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 Display" w:hAnsi="Aptos Display"/>
          <w:b/>
          <w:sz w:val="32"/>
        </w:rPr>
        <w:t>FINANCIAL STATEMENT ANALYSIS - INFOSYS LIMITED</w:t>
      </w:r>
    </w:p>
    <w:p>
      <w:pPr>
        <w:spacing w:after="140"/>
        <w:jc w:val="center"/>
      </w:pPr>
      <w:r>
        <w:rPr>
          <w:i/>
          <w:sz w:val="18"/>
        </w:rPr>
        <w:t>FY 2025-26 | Consolidated IFRS | Amounts in ₹ crore unless stated otherwise</w:t>
      </w:r>
    </w:p>
    <w:p>
      <w:pPr>
        <w:spacing w:before="80" w:after="40"/>
      </w:pPr>
      <w:r>
        <w:rPr>
          <w:b/>
          <w:sz w:val="21"/>
        </w:rPr>
        <w:t>Company Overview</w:t>
      </w:r>
    </w:p>
    <w:p>
      <w:pPr>
        <w:spacing w:after="60" w:line="240" w:lineRule="auto"/>
        <w:jc w:val="both"/>
      </w:pPr>
      <w:r>
        <w:rPr>
          <w:sz w:val="18"/>
        </w:rPr>
        <w:t>Infosys Limited is an Indian listed technology services and consulting company. This analysis uses the company's FY 2025-26 consolidated IFRS financial information for the year ended March 31, 2026 and compares key figures with FY 2024-25.</w:t>
      </w:r>
    </w:p>
    <w:p>
      <w:pPr>
        <w:spacing w:before="80" w:after="40"/>
      </w:pPr>
      <w:r>
        <w:rPr>
          <w:b/>
          <w:sz w:val="21"/>
        </w:rPr>
        <w:t>Key Financial Highlights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</w:tcPr>
          <w:p>
            <w:r>
              <w:rPr>
                <w:b/>
                <w:sz w:val="17"/>
              </w:rPr>
              <w:t>Metric</w:t>
            </w:r>
          </w:p>
        </w:tc>
        <w:tc>
          <w:tcPr>
            <w:tcW w:type="dxa" w:w="2628"/>
            <w:vAlign w:val="center"/>
          </w:tcPr>
          <w:p>
            <w:r>
              <w:rPr>
                <w:b/>
                <w:sz w:val="17"/>
              </w:rPr>
              <w:t>FY26</w:t>
            </w:r>
          </w:p>
        </w:tc>
        <w:tc>
          <w:tcPr>
            <w:tcW w:type="dxa" w:w="2628"/>
            <w:vAlign w:val="center"/>
          </w:tcPr>
          <w:p>
            <w:r>
              <w:rPr>
                <w:b/>
                <w:sz w:val="17"/>
              </w:rPr>
              <w:t>FY25</w:t>
            </w:r>
          </w:p>
        </w:tc>
        <w:tc>
          <w:tcPr>
            <w:tcW w:type="dxa" w:w="2628"/>
            <w:vAlign w:val="center"/>
          </w:tcPr>
          <w:p>
            <w:r>
              <w:rPr>
                <w:b/>
                <w:sz w:val="17"/>
              </w:rPr>
              <w:t>Change / Comment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7"/>
              </w:rPr>
              <w:t>Revenue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178,650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162,990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+9.6%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7"/>
              </w:rPr>
              <w:t>Operating profit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36,254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34,424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+5.3%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7"/>
              </w:rPr>
              <w:t>Net profit attributable to owners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29,440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26,713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+10.2%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7"/>
              </w:rPr>
              <w:t>Basic EPS (₹)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71.58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64.50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+11.0%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7"/>
              </w:rPr>
              <w:t>Total assets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155,967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148,903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+4.7%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7"/>
              </w:rPr>
              <w:t>Total equity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93,297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96,203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-3.0%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7"/>
              </w:rPr>
              <w:t>Cash and cash equivalents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22,201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24,455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-9.2%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7"/>
              </w:rPr>
              <w:t>Free cash flow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33,097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7"/>
              </w:rPr>
              <w:t>Strong cash generation</w:t>
            </w:r>
          </w:p>
        </w:tc>
      </w:tr>
    </w:tbl>
    <w:p>
      <w:pPr>
        <w:spacing w:before="80" w:after="40"/>
      </w:pPr>
      <w:r>
        <w:rPr>
          <w:b/>
          <w:sz w:val="21"/>
        </w:rPr>
        <w:t>Profit &amp; Loss Statement Analysis</w:t>
      </w:r>
    </w:p>
    <w:p>
      <w:pPr>
        <w:pStyle w:val="ListBullet"/>
        <w:spacing w:after="30" w:line="240" w:lineRule="auto"/>
      </w:pPr>
      <w:r>
        <w:rPr>
          <w:sz w:val="18"/>
        </w:rPr>
        <w:t>Revenue increased from ₹162,990 crore in FY25 to ₹178,650 crore in FY26, representing 9.6% year-on-year growth.</w:t>
      </w:r>
    </w:p>
    <w:p>
      <w:pPr>
        <w:pStyle w:val="ListBullet"/>
        <w:spacing w:after="30" w:line="240" w:lineRule="auto"/>
      </w:pPr>
      <w:r>
        <w:rPr>
          <w:sz w:val="18"/>
        </w:rPr>
        <w:t>Operating profit rose by 5.3% to ₹36,254 crore. However, reported operating margin was 20.3% versus 21.1% in FY25, indicating some margin pressure despite higher revenue.</w:t>
      </w:r>
    </w:p>
    <w:p>
      <w:pPr>
        <w:pStyle w:val="ListBullet"/>
        <w:spacing w:after="30" w:line="240" w:lineRule="auto"/>
      </w:pPr>
      <w:r>
        <w:rPr>
          <w:sz w:val="18"/>
        </w:rPr>
        <w:t>Net profit attributable to owners increased 10.2% to ₹29,440 crore, while basic EPS increased 11.0% to ₹71.58. This shows that bottom-line growth outpaced operating-profit growth.</w:t>
      </w:r>
    </w:p>
    <w:p>
      <w:pPr>
        <w:spacing w:before="80" w:after="40"/>
      </w:pPr>
      <w:r>
        <w:rPr>
          <w:b/>
          <w:sz w:val="21"/>
        </w:rPr>
        <w:t>Balance Sheet Analysis</w:t>
      </w:r>
    </w:p>
    <w:p>
      <w:pPr>
        <w:pStyle w:val="ListBullet"/>
        <w:spacing w:after="30" w:line="240" w:lineRule="auto"/>
      </w:pPr>
      <w:r>
        <w:rPr>
          <w:sz w:val="18"/>
        </w:rPr>
        <w:t>Total assets increased about 4.7% to ₹155,967 crore, showing moderate expansion of the asset base.</w:t>
      </w:r>
    </w:p>
    <w:p>
      <w:pPr>
        <w:pStyle w:val="ListBullet"/>
        <w:spacing w:after="30" w:line="240" w:lineRule="auto"/>
      </w:pPr>
      <w:r>
        <w:rPr>
          <w:sz w:val="18"/>
        </w:rPr>
        <w:t>Total equity declined about 3.0% to ₹93,297 crore. Infosys also completed an ₹18,000 crore share buyback during FY26, which is relevant when interpreting the lower year-end equity position.</w:t>
      </w:r>
    </w:p>
    <w:p>
      <w:pPr>
        <w:pStyle w:val="ListBullet"/>
        <w:spacing w:after="30" w:line="240" w:lineRule="auto"/>
      </w:pPr>
      <w:r>
        <w:rPr>
          <w:sz w:val="18"/>
        </w:rPr>
        <w:t>Cash and cash equivalents decreased to ₹22,201 crore from ₹24,455 crore, but the company reported consolidated cash and investments of ₹43,075 crore, indicating a strong liquidity position.</w:t>
      </w:r>
    </w:p>
    <w:p>
      <w:pPr>
        <w:spacing w:before="80" w:after="40"/>
      </w:pPr>
      <w:r>
        <w:rPr>
          <w:b/>
          <w:sz w:val="21"/>
        </w:rPr>
        <w:t>Cash Flow Analysis</w:t>
      </w:r>
    </w:p>
    <w:p>
      <w:pPr>
        <w:pStyle w:val="ListBullet"/>
        <w:spacing w:after="30" w:line="240" w:lineRule="auto"/>
      </w:pPr>
      <w:r>
        <w:rPr>
          <w:sz w:val="18"/>
        </w:rPr>
        <w:t>Free cash flow for FY26 was ₹33,097 crore, with free-cash-flow conversion reported at 112.3% of net profit. This indicates strong conversion of accounting profit into cash.</w:t>
      </w:r>
    </w:p>
    <w:p>
      <w:pPr>
        <w:pStyle w:val="ListBullet"/>
        <w:spacing w:after="30" w:line="240" w:lineRule="auto"/>
      </w:pPr>
      <w:r>
        <w:rPr>
          <w:sz w:val="18"/>
        </w:rPr>
        <w:t>The combination of strong free cash flow and sizeable cash/investment balances suggests the company retained substantial financial flexibility even after dividends and the share buyback.</w:t>
      </w:r>
    </w:p>
    <w:p>
      <w:pPr>
        <w:spacing w:before="80" w:after="40"/>
      </w:pPr>
      <w:r>
        <w:rPr>
          <w:b/>
          <w:sz w:val="21"/>
        </w:rPr>
        <w:t>Ratio &amp; Performance Interpretation</w:t>
      </w:r>
    </w:p>
    <w:p>
      <w:pPr>
        <w:pStyle w:val="ListBullet"/>
        <w:spacing w:after="30" w:line="240" w:lineRule="auto"/>
      </w:pPr>
      <w:r>
        <w:rPr>
          <w:sz w:val="18"/>
        </w:rPr>
        <w:t>Return on equity was 31.6%, up from 29.0% in FY25, indicating improved profitability relative to shareholder equity.</w:t>
      </w:r>
    </w:p>
    <w:p>
      <w:pPr>
        <w:pStyle w:val="ListBullet"/>
        <w:spacing w:after="30" w:line="240" w:lineRule="auto"/>
      </w:pPr>
      <w:r>
        <w:rPr>
          <w:sz w:val="18"/>
        </w:rPr>
        <w:t>Year-end P/E was 17.5 compared with 24.4 in FY25, while book value per share was ₹229. The lower P/E indicates a lower market valuation multiple relative to earnings at the respective year ends.</w:t>
      </w:r>
    </w:p>
    <w:p>
      <w:pPr>
        <w:pStyle w:val="ListBullet"/>
        <w:spacing w:after="30" w:line="240" w:lineRule="auto"/>
      </w:pPr>
      <w:r>
        <w:rPr>
          <w:sz w:val="18"/>
        </w:rPr>
        <w:t>Days sales outstanding improved to 67 days from 69 days, suggesting slightly faster collection of receivables.</w:t>
      </w:r>
    </w:p>
    <w:p>
      <w:pPr>
        <w:spacing w:before="80" w:after="40"/>
      </w:pPr>
      <w:r>
        <w:rPr>
          <w:b/>
          <w:sz w:val="21"/>
        </w:rPr>
        <w:t>Overall Conclusion</w:t>
      </w:r>
    </w:p>
    <w:p>
      <w:pPr>
        <w:spacing w:after="60" w:line="240" w:lineRule="auto"/>
        <w:jc w:val="both"/>
      </w:pPr>
      <w:r>
        <w:rPr>
          <w:sz w:val="18"/>
        </w:rPr>
        <w:t>Infosys delivered a financially strong FY 2025-26, with healthy revenue growth, double-digit net-profit and EPS growth, strong free cash flow and improved return on equity. The main area to watch is the slight decline in reported operating margin and the lower year-end equity and cash balances, partly in the context of capital returns such as the share buyback. Overall, the financial statements indicate solid profitability, liquidity and cash-generation capacity.</w:t>
      </w:r>
    </w:p>
    <w:p>
      <w:pPr>
        <w:spacing w:before="80" w:after="40"/>
      </w:pPr>
      <w:r>
        <w:rPr>
          <w:b/>
          <w:sz w:val="21"/>
        </w:rPr>
        <w:t>Sources</w:t>
      </w:r>
    </w:p>
    <w:p>
      <w:pPr>
        <w:spacing w:after="60" w:line="240" w:lineRule="auto"/>
        <w:jc w:val="both"/>
      </w:pPr>
      <w:r>
        <w:rPr>
          <w:sz w:val="18"/>
        </w:rPr>
        <w:t>1. Infosys Integrated Annual Report 2025-26, FY2026 Business Highlights.</w:t>
        <w:br/>
        <w:t>2. Infosys Three Year Overview (IFRS), Consolidated INR Data Sheet and Balance Sheet Data.</w:t>
        <w:br/>
        <w:t>3. Infosys FY2026 Financial Snapshot / Fourth Quarter and Year ended March 31, 2026.</w:t>
      </w:r>
    </w:p>
    <w:p>
      <w:pPr>
        <w:spacing w:before="40"/>
      </w:pPr>
      <w:r>
        <w:rPr>
          <w:i/>
          <w:sz w:val="16"/>
        </w:rPr>
        <w:t>Note: Prepared for educational and data-analytics purposes only; not investment advice.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