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C748" w14:textId="77777777" w:rsidR="0060787C" w:rsidRDefault="00957DDA">
      <w:pPr>
        <w:spacing w:after="0"/>
        <w:jc w:val="center"/>
      </w:pPr>
      <w:r>
        <w:rPr>
          <w:rFonts w:ascii="Arial" w:eastAsia="Arial" w:hAnsi="Arial" w:cs="Arial"/>
          <w:b/>
          <w:sz w:val="36"/>
        </w:rPr>
        <w:t>Kotak Mahindra Bank Ltd</w:t>
      </w:r>
    </w:p>
    <w:p w14:paraId="6AFDE9E6" w14:textId="77777777" w:rsidR="0060787C" w:rsidRDefault="00957DDA">
      <w:pPr>
        <w:spacing w:after="256"/>
        <w:jc w:val="center"/>
      </w:pPr>
      <w:r>
        <w:rPr>
          <w:rFonts w:ascii="Arial" w:eastAsia="Arial" w:hAnsi="Arial" w:cs="Arial"/>
          <w:b/>
          <w:color w:val="555555"/>
          <w:sz w:val="18"/>
        </w:rPr>
        <w:t>KOTAKBANK</w:t>
      </w:r>
      <w:r>
        <w:rPr>
          <w:rFonts w:ascii="Arial" w:eastAsia="Arial" w:hAnsi="Arial" w:cs="Arial"/>
          <w:color w:val="555555"/>
          <w:sz w:val="18"/>
        </w:rPr>
        <w:t xml:space="preserve"> | Financials | Private Banks</w:t>
      </w:r>
    </w:p>
    <w:p w14:paraId="2A03071B" w14:textId="77777777" w:rsidR="0060787C" w:rsidRDefault="00957DDA">
      <w:pPr>
        <w:pStyle w:val="Heading1"/>
        <w:ind w:left="115"/>
      </w:pPr>
      <w:r>
        <w:t>Financial Snapshot</w:t>
      </w:r>
    </w:p>
    <w:tbl>
      <w:tblPr>
        <w:tblStyle w:val="TableGrid"/>
        <w:tblW w:w="8759" w:type="dxa"/>
        <w:tblInd w:w="723" w:type="dxa"/>
        <w:tblCellMar>
          <w:top w:w="0" w:type="dxa"/>
          <w:left w:w="0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303"/>
        <w:gridCol w:w="1559"/>
        <w:gridCol w:w="57"/>
        <w:gridCol w:w="1247"/>
        <w:gridCol w:w="1559"/>
        <w:gridCol w:w="114"/>
        <w:gridCol w:w="1190"/>
        <w:gridCol w:w="1730"/>
      </w:tblGrid>
      <w:tr w:rsidR="0060787C" w14:paraId="61B655D8" w14:textId="77777777">
        <w:trPr>
          <w:trHeight w:val="709"/>
        </w:trPr>
        <w:tc>
          <w:tcPr>
            <w:tcW w:w="2920" w:type="dxa"/>
            <w:gridSpan w:val="3"/>
            <w:tcBorders>
              <w:top w:val="single" w:sz="3" w:space="0" w:color="AAB7C4"/>
              <w:left w:val="single" w:sz="3" w:space="0" w:color="AAB7C4"/>
              <w:bottom w:val="single" w:sz="3" w:space="0" w:color="AAB7C4"/>
              <w:right w:val="single" w:sz="3" w:space="0" w:color="AAB7C4"/>
            </w:tcBorders>
            <w:shd w:val="clear" w:color="auto" w:fill="F5F8FB"/>
            <w:vAlign w:val="center"/>
          </w:tcPr>
          <w:p w14:paraId="513455AC" w14:textId="77777777" w:rsidR="0060787C" w:rsidRDefault="00957DDA">
            <w:pPr>
              <w:spacing w:after="0"/>
              <w:ind w:left="143" w:right="143"/>
              <w:jc w:val="center"/>
            </w:pPr>
            <w:r>
              <w:rPr>
                <w:rFonts w:ascii="Arial" w:eastAsia="Arial" w:hAnsi="Arial" w:cs="Arial"/>
                <w:sz w:val="14"/>
              </w:rPr>
              <w:t xml:space="preserve">ROE </w:t>
            </w:r>
            <w:r>
              <w:rPr>
                <w:rFonts w:ascii="Arial" w:eastAsia="Arial" w:hAnsi="Arial" w:cs="Arial"/>
                <w:b/>
              </w:rPr>
              <w:t>14.0%</w:t>
            </w:r>
          </w:p>
        </w:tc>
        <w:tc>
          <w:tcPr>
            <w:tcW w:w="2920" w:type="dxa"/>
            <w:gridSpan w:val="3"/>
            <w:tcBorders>
              <w:top w:val="single" w:sz="3" w:space="0" w:color="AAB7C4"/>
              <w:left w:val="single" w:sz="3" w:space="0" w:color="AAB7C4"/>
              <w:bottom w:val="single" w:sz="3" w:space="0" w:color="AAB7C4"/>
              <w:right w:val="single" w:sz="3" w:space="0" w:color="AAB7C4"/>
            </w:tcBorders>
            <w:shd w:val="clear" w:color="auto" w:fill="F5F8FB"/>
            <w:vAlign w:val="center"/>
          </w:tcPr>
          <w:p w14:paraId="5FC79088" w14:textId="77777777" w:rsidR="0060787C" w:rsidRDefault="00957DDA">
            <w:pPr>
              <w:spacing w:after="0"/>
              <w:ind w:left="154" w:right="154"/>
              <w:jc w:val="center"/>
            </w:pPr>
            <w:r>
              <w:rPr>
                <w:rFonts w:ascii="Arial" w:eastAsia="Arial" w:hAnsi="Arial" w:cs="Arial"/>
                <w:sz w:val="14"/>
              </w:rPr>
              <w:t xml:space="preserve">ROCE </w:t>
            </w:r>
            <w:r>
              <w:rPr>
                <w:rFonts w:ascii="Arial" w:eastAsia="Arial" w:hAnsi="Arial" w:cs="Arial"/>
                <w:b/>
              </w:rPr>
              <w:t>7.1%</w:t>
            </w:r>
          </w:p>
        </w:tc>
        <w:tc>
          <w:tcPr>
            <w:tcW w:w="2920" w:type="dxa"/>
            <w:gridSpan w:val="2"/>
            <w:tcBorders>
              <w:top w:val="single" w:sz="3" w:space="0" w:color="AAB7C4"/>
              <w:left w:val="single" w:sz="3" w:space="0" w:color="AAB7C4"/>
              <w:bottom w:val="single" w:sz="3" w:space="0" w:color="AAB7C4"/>
              <w:right w:val="single" w:sz="3" w:space="0" w:color="AAB7C4"/>
            </w:tcBorders>
            <w:shd w:val="clear" w:color="auto" w:fill="F5F8FB"/>
            <w:vAlign w:val="center"/>
          </w:tcPr>
          <w:p w14:paraId="0600A493" w14:textId="77777777" w:rsidR="0060787C" w:rsidRDefault="00957DDA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 xml:space="preserve">Debt / Equity </w:t>
            </w:r>
            <w:r>
              <w:rPr>
                <w:rFonts w:ascii="Arial" w:eastAsia="Arial" w:hAnsi="Arial" w:cs="Arial"/>
                <w:b/>
              </w:rPr>
              <w:t>4.00x</w:t>
            </w:r>
          </w:p>
        </w:tc>
      </w:tr>
      <w:tr w:rsidR="0060787C" w14:paraId="0CF578C9" w14:textId="77777777">
        <w:trPr>
          <w:trHeight w:val="709"/>
        </w:trPr>
        <w:tc>
          <w:tcPr>
            <w:tcW w:w="2920" w:type="dxa"/>
            <w:gridSpan w:val="3"/>
            <w:tcBorders>
              <w:top w:val="single" w:sz="3" w:space="0" w:color="AAB7C4"/>
              <w:left w:val="single" w:sz="3" w:space="0" w:color="AAB7C4"/>
              <w:bottom w:val="single" w:sz="3" w:space="0" w:color="AAB7C4"/>
              <w:right w:val="single" w:sz="3" w:space="0" w:color="AAB7C4"/>
            </w:tcBorders>
            <w:shd w:val="clear" w:color="auto" w:fill="F5F8FB"/>
            <w:vAlign w:val="center"/>
          </w:tcPr>
          <w:p w14:paraId="2B083362" w14:textId="77777777" w:rsidR="0060787C" w:rsidRDefault="00957DDA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 xml:space="preserve">Revenue CAGR 5Y </w:t>
            </w:r>
            <w:r>
              <w:rPr>
                <w:rFonts w:ascii="Arial" w:eastAsia="Arial" w:hAnsi="Arial" w:cs="Arial"/>
                <w:b/>
              </w:rPr>
              <w:t>13.5%</w:t>
            </w:r>
          </w:p>
        </w:tc>
        <w:tc>
          <w:tcPr>
            <w:tcW w:w="2920" w:type="dxa"/>
            <w:gridSpan w:val="3"/>
            <w:tcBorders>
              <w:top w:val="single" w:sz="3" w:space="0" w:color="AAB7C4"/>
              <w:left w:val="single" w:sz="3" w:space="0" w:color="AAB7C4"/>
              <w:bottom w:val="single" w:sz="3" w:space="0" w:color="AAB7C4"/>
              <w:right w:val="single" w:sz="3" w:space="0" w:color="AAB7C4"/>
            </w:tcBorders>
            <w:shd w:val="clear" w:color="auto" w:fill="F5F8FB"/>
            <w:vAlign w:val="center"/>
          </w:tcPr>
          <w:p w14:paraId="74A8105D" w14:textId="77777777" w:rsidR="0060787C" w:rsidRDefault="00957DDA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14"/>
              </w:rPr>
              <w:t xml:space="preserve">PAT CAGR 5Y </w:t>
            </w:r>
            <w:r>
              <w:rPr>
                <w:rFonts w:ascii="Arial" w:eastAsia="Arial" w:hAnsi="Arial" w:cs="Arial"/>
                <w:b/>
              </w:rPr>
              <w:t>20.4%</w:t>
            </w:r>
          </w:p>
        </w:tc>
        <w:tc>
          <w:tcPr>
            <w:tcW w:w="2920" w:type="dxa"/>
            <w:gridSpan w:val="2"/>
            <w:tcBorders>
              <w:top w:val="single" w:sz="3" w:space="0" w:color="AAB7C4"/>
              <w:left w:val="single" w:sz="3" w:space="0" w:color="AAB7C4"/>
              <w:bottom w:val="single" w:sz="3" w:space="0" w:color="AAB7C4"/>
              <w:right w:val="single" w:sz="3" w:space="0" w:color="AAB7C4"/>
            </w:tcBorders>
            <w:shd w:val="clear" w:color="auto" w:fill="F5F8FB"/>
            <w:vAlign w:val="center"/>
          </w:tcPr>
          <w:p w14:paraId="6E88B0D9" w14:textId="77777777" w:rsidR="0060787C" w:rsidRDefault="00957DDA">
            <w:pPr>
              <w:spacing w:after="0"/>
              <w:ind w:left="179" w:hanging="66"/>
              <w:jc w:val="both"/>
            </w:pPr>
            <w:r>
              <w:rPr>
                <w:rFonts w:ascii="Arial" w:eastAsia="Arial" w:hAnsi="Arial" w:cs="Arial"/>
                <w:sz w:val="14"/>
              </w:rPr>
              <w:t xml:space="preserve">Free Cash Flow </w:t>
            </w:r>
            <w:r>
              <w:rPr>
                <w:rFonts w:ascii="Arial" w:eastAsia="Arial" w:hAnsi="Arial" w:cs="Arial"/>
                <w:b/>
              </w:rPr>
              <w:t>6,766 Cr</w:t>
            </w:r>
          </w:p>
        </w:tc>
      </w:tr>
      <w:tr w:rsidR="0060787C" w14:paraId="42D51474" w14:textId="77777777">
        <w:trPr>
          <w:trHeight w:val="360"/>
        </w:trPr>
        <w:tc>
          <w:tcPr>
            <w:tcW w:w="13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027658D" w14:textId="77777777" w:rsidR="0060787C" w:rsidRDefault="00957DDA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4"/>
              </w:rPr>
              <w:t>Latest FY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26FA458" w14:textId="77777777" w:rsidR="0060787C" w:rsidRDefault="00957DDA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2024-03</w:t>
            </w:r>
          </w:p>
        </w:tc>
        <w:tc>
          <w:tcPr>
            <w:tcW w:w="1304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000A0CE" w14:textId="77777777" w:rsidR="0060787C" w:rsidRDefault="00957DDA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4"/>
              </w:rPr>
              <w:t>P/E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325DAB3" w14:textId="77777777" w:rsidR="0060787C" w:rsidRDefault="00957DDA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32.90x</w:t>
            </w:r>
          </w:p>
        </w:tc>
        <w:tc>
          <w:tcPr>
            <w:tcW w:w="1304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E43D308" w14:textId="77777777" w:rsidR="0060787C" w:rsidRDefault="00957DDA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4"/>
              </w:rPr>
              <w:t>P/B</w:t>
            </w:r>
          </w:p>
        </w:tc>
        <w:tc>
          <w:tcPr>
            <w:tcW w:w="17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B0390C1" w14:textId="77777777" w:rsidR="0060787C" w:rsidRDefault="00957DDA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1.15x</w:t>
            </w:r>
          </w:p>
        </w:tc>
      </w:tr>
      <w:tr w:rsidR="0060787C" w14:paraId="47F7D1AC" w14:textId="77777777">
        <w:trPr>
          <w:trHeight w:val="360"/>
        </w:trPr>
        <w:tc>
          <w:tcPr>
            <w:tcW w:w="13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7E85E7" w14:textId="77777777" w:rsidR="0060787C" w:rsidRDefault="00957DDA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4"/>
              </w:rPr>
              <w:t>EPS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E3A7A4" w14:textId="77777777" w:rsidR="0060787C" w:rsidRDefault="00957DDA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92.0</w:t>
            </w:r>
          </w:p>
        </w:tc>
        <w:tc>
          <w:tcPr>
            <w:tcW w:w="1304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3A3054F" w14:textId="77777777" w:rsidR="0060787C" w:rsidRDefault="00957DDA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4"/>
              </w:rPr>
              <w:t>Book Value / Sha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00F9386" w14:textId="77777777" w:rsidR="0060787C" w:rsidRDefault="00957DDA">
            <w:pPr>
              <w:spacing w:after="0"/>
              <w:ind w:left="-48"/>
            </w:pPr>
            <w:r>
              <w:rPr>
                <w:rFonts w:ascii="Arial" w:eastAsia="Arial" w:hAnsi="Arial" w:cs="Arial"/>
                <w:b/>
                <w:sz w:val="14"/>
              </w:rPr>
              <w:t xml:space="preserve">re </w:t>
            </w:r>
            <w:r>
              <w:rPr>
                <w:rFonts w:ascii="Arial" w:eastAsia="Arial" w:hAnsi="Arial" w:cs="Arial"/>
                <w:sz w:val="14"/>
              </w:rPr>
              <w:t>653.8</w:t>
            </w:r>
          </w:p>
        </w:tc>
        <w:tc>
          <w:tcPr>
            <w:tcW w:w="1304" w:type="dxa"/>
            <w:gridSpan w:val="2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9B3DC4" w14:textId="77777777" w:rsidR="0060787C" w:rsidRDefault="00957DDA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4"/>
              </w:rPr>
              <w:t>Dividend Payout</w:t>
            </w:r>
          </w:p>
        </w:tc>
        <w:tc>
          <w:tcPr>
            <w:tcW w:w="17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E9D69FD" w14:textId="77777777" w:rsidR="0060787C" w:rsidRDefault="00957DDA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2.0%</w:t>
            </w:r>
          </w:p>
        </w:tc>
      </w:tr>
    </w:tbl>
    <w:p w14:paraId="09338742" w14:textId="77777777" w:rsidR="0060787C" w:rsidRDefault="00957DDA">
      <w:pPr>
        <w:spacing w:after="6192"/>
        <w:ind w:left="709"/>
      </w:pPr>
      <w:r>
        <w:rPr>
          <w:noProof/>
        </w:rPr>
        <mc:AlternateContent>
          <mc:Choice Requires="wpg">
            <w:drawing>
              <wp:inline distT="0" distB="0" distL="0" distR="0" wp14:anchorId="3B490E19" wp14:editId="7CAEA1BB">
                <wp:extent cx="5580001" cy="3546000"/>
                <wp:effectExtent l="0" t="0" r="0" b="0"/>
                <wp:docPr id="2050" name="Group 2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1" cy="3546000"/>
                          <a:chOff x="0" y="0"/>
                          <a:chExt cx="5580001" cy="3546000"/>
                        </a:xfrm>
                      </wpg:grpSpPr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1" cy="1854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872000"/>
                            <a:ext cx="5580001" cy="167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0" style="width:439.37pt;height:279.213pt;mso-position-horizontal-relative:char;mso-position-vertical-relative:line" coordsize="55800,35460">
                <v:shape id="Picture 55" style="position:absolute;width:55800;height:18540;left:0;top:0;" filled="f">
                  <v:imagedata r:id="rId6"/>
                </v:shape>
                <v:shape id="Picture 57" style="position:absolute;width:55800;height:16740;left:0;top:18720;" filled="f">
                  <v:imagedata r:id="rId7"/>
                </v:shape>
              </v:group>
            </w:pict>
          </mc:Fallback>
        </mc:AlternateContent>
      </w:r>
    </w:p>
    <w:p w14:paraId="18D8A54D" w14:textId="77777777" w:rsidR="0060787C" w:rsidRDefault="00957DDA">
      <w:pPr>
        <w:tabs>
          <w:tab w:val="right" w:pos="10205"/>
        </w:tabs>
        <w:spacing w:after="198"/>
        <w:ind w:left="-15" w:right="-15"/>
      </w:pPr>
      <w:r>
        <w:rPr>
          <w:rFonts w:ascii="Arial" w:eastAsia="Arial" w:hAnsi="Arial" w:cs="Arial"/>
          <w:color w:val="666666"/>
          <w:sz w:val="14"/>
        </w:rPr>
        <w:t>Nifty 100 Financial Intelligence Platform</w:t>
      </w:r>
      <w:r>
        <w:rPr>
          <w:rFonts w:ascii="Arial" w:eastAsia="Arial" w:hAnsi="Arial" w:cs="Arial"/>
          <w:color w:val="666666"/>
          <w:sz w:val="14"/>
        </w:rPr>
        <w:tab/>
        <w:t>Page 1</w:t>
      </w:r>
    </w:p>
    <w:p w14:paraId="4A4A48E6" w14:textId="77777777" w:rsidR="0060787C" w:rsidRDefault="00957DDA">
      <w:pPr>
        <w:pStyle w:val="Heading1"/>
        <w:ind w:left="115"/>
      </w:pPr>
      <w:r>
        <w:lastRenderedPageBreak/>
        <w:t>Balance Sheet &amp; Cash Flow</w:t>
      </w:r>
    </w:p>
    <w:p w14:paraId="1EDB75CD" w14:textId="77777777" w:rsidR="0060787C" w:rsidRDefault="00957DDA">
      <w:pPr>
        <w:spacing w:after="279"/>
        <w:ind w:left="709"/>
      </w:pPr>
      <w:r>
        <w:rPr>
          <w:noProof/>
        </w:rPr>
        <mc:AlternateContent>
          <mc:Choice Requires="wpg">
            <w:drawing>
              <wp:inline distT="0" distB="0" distL="0" distR="0" wp14:anchorId="527F7C2B" wp14:editId="7FCB538F">
                <wp:extent cx="5526000" cy="1908000"/>
                <wp:effectExtent l="0" t="0" r="0" b="0"/>
                <wp:docPr id="2027" name="Group 2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6000" cy="1908000"/>
                          <a:chOff x="0" y="0"/>
                          <a:chExt cx="5526000" cy="1908000"/>
                        </a:xfrm>
                      </wpg:grpSpPr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1" cy="190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790000" y="0"/>
                            <a:ext cx="2736001" cy="1908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7" style="width:435.118pt;height:150.236pt;mso-position-horizontal-relative:char;mso-position-vertical-relative:line" coordsize="55260,19080">
                <v:shape id="Picture 82" style="position:absolute;width:27360;height:19080;left:0;top:0;" filled="f">
                  <v:imagedata r:id="rId10"/>
                </v:shape>
                <v:shape id="Picture 84" style="position:absolute;width:27360;height:19080;left:27900;top:0;" filled="f">
                  <v:imagedata r:id="rId11"/>
                </v:shape>
              </v:group>
            </w:pict>
          </mc:Fallback>
        </mc:AlternateContent>
      </w:r>
    </w:p>
    <w:p w14:paraId="6442EF92" w14:textId="77777777" w:rsidR="0060787C" w:rsidRDefault="00957DDA">
      <w:pPr>
        <w:pStyle w:val="Heading1"/>
        <w:ind w:left="115"/>
      </w:pPr>
      <w:r>
        <w:t>Cash Flow Intelligence</w:t>
      </w:r>
    </w:p>
    <w:tbl>
      <w:tblPr>
        <w:tblStyle w:val="TableGrid"/>
        <w:tblW w:w="8787" w:type="dxa"/>
        <w:tblInd w:w="709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6519"/>
      </w:tblGrid>
      <w:tr w:rsidR="0060787C" w14:paraId="3851AB72" w14:textId="77777777">
        <w:trPr>
          <w:trHeight w:val="400"/>
        </w:trPr>
        <w:tc>
          <w:tcPr>
            <w:tcW w:w="226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AF0F6"/>
            <w:vAlign w:val="center"/>
          </w:tcPr>
          <w:p w14:paraId="76ED936B" w14:textId="77777777" w:rsidR="0060787C" w:rsidRDefault="00957DDA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CFO Quality</w:t>
            </w:r>
          </w:p>
        </w:tc>
        <w:tc>
          <w:tcPr>
            <w:tcW w:w="65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vAlign w:val="center"/>
          </w:tcPr>
          <w:p w14:paraId="133D78D8" w14:textId="77777777" w:rsidR="0060787C" w:rsidRDefault="00957DDA">
            <w:pPr>
              <w:spacing w:after="0"/>
            </w:pPr>
            <w:proofErr w:type="gramStart"/>
            <w:r>
              <w:rPr>
                <w:rFonts w:ascii="Arial" w:eastAsia="Arial" w:hAnsi="Arial" w:cs="Arial"/>
                <w:sz w:val="15"/>
              </w:rPr>
              <w:t>High Quality</w:t>
            </w:r>
            <w:proofErr w:type="gramEnd"/>
            <w:r>
              <w:rPr>
                <w:rFonts w:ascii="Arial" w:eastAsia="Arial" w:hAnsi="Arial" w:cs="Arial"/>
                <w:sz w:val="15"/>
              </w:rPr>
              <w:t xml:space="preserve"> Earnings</w:t>
            </w:r>
          </w:p>
        </w:tc>
      </w:tr>
      <w:tr w:rsidR="0060787C" w14:paraId="68F6E161" w14:textId="77777777">
        <w:trPr>
          <w:trHeight w:val="400"/>
        </w:trPr>
        <w:tc>
          <w:tcPr>
            <w:tcW w:w="226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AF0F6"/>
            <w:vAlign w:val="center"/>
          </w:tcPr>
          <w:p w14:paraId="302AF800" w14:textId="77777777" w:rsidR="0060787C" w:rsidRDefault="00957DDA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FCF CAGR 5Y</w:t>
            </w:r>
          </w:p>
        </w:tc>
        <w:tc>
          <w:tcPr>
            <w:tcW w:w="65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vAlign w:val="center"/>
          </w:tcPr>
          <w:p w14:paraId="7B78EBB1" w14:textId="77777777" w:rsidR="0060787C" w:rsidRDefault="00957DD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N/A</w:t>
            </w:r>
          </w:p>
        </w:tc>
      </w:tr>
      <w:tr w:rsidR="0060787C" w14:paraId="463A43F8" w14:textId="77777777">
        <w:trPr>
          <w:trHeight w:val="400"/>
        </w:trPr>
        <w:tc>
          <w:tcPr>
            <w:tcW w:w="226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AF0F6"/>
            <w:vAlign w:val="center"/>
          </w:tcPr>
          <w:p w14:paraId="62313EA5" w14:textId="77777777" w:rsidR="0060787C" w:rsidRDefault="00957DDA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15"/>
              </w:rPr>
              <w:t>CapEx</w:t>
            </w:r>
            <w:proofErr w:type="spellEnd"/>
            <w:r>
              <w:rPr>
                <w:rFonts w:ascii="Arial" w:eastAsia="Arial" w:hAnsi="Arial" w:cs="Arial"/>
                <w:b/>
                <w:sz w:val="15"/>
              </w:rPr>
              <w:t xml:space="preserve"> Intensity</w:t>
            </w:r>
          </w:p>
        </w:tc>
        <w:tc>
          <w:tcPr>
            <w:tcW w:w="65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vAlign w:val="center"/>
          </w:tcPr>
          <w:p w14:paraId="163D3C2D" w14:textId="77777777" w:rsidR="0060787C" w:rsidRDefault="00957DD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15.9% (Capital Intensive)</w:t>
            </w:r>
          </w:p>
        </w:tc>
      </w:tr>
      <w:tr w:rsidR="0060787C" w14:paraId="1CF7F95A" w14:textId="77777777">
        <w:trPr>
          <w:trHeight w:val="400"/>
        </w:trPr>
        <w:tc>
          <w:tcPr>
            <w:tcW w:w="226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AF0F6"/>
            <w:vAlign w:val="center"/>
          </w:tcPr>
          <w:p w14:paraId="444E4EB8" w14:textId="77777777" w:rsidR="0060787C" w:rsidRDefault="00957DDA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FCF Conversion</w:t>
            </w:r>
          </w:p>
        </w:tc>
        <w:tc>
          <w:tcPr>
            <w:tcW w:w="65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vAlign w:val="center"/>
          </w:tcPr>
          <w:p w14:paraId="0B2EC994" w14:textId="77777777" w:rsidR="0060787C" w:rsidRDefault="00957DD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14.4% (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CapEx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Heavy)</w:t>
            </w:r>
          </w:p>
        </w:tc>
      </w:tr>
      <w:tr w:rsidR="0060787C" w14:paraId="09030E85" w14:textId="77777777">
        <w:trPr>
          <w:trHeight w:val="400"/>
        </w:trPr>
        <w:tc>
          <w:tcPr>
            <w:tcW w:w="226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AF0F6"/>
            <w:vAlign w:val="center"/>
          </w:tcPr>
          <w:p w14:paraId="7025A937" w14:textId="77777777" w:rsidR="0060787C" w:rsidRDefault="00957DDA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Capital Allocation</w:t>
            </w:r>
          </w:p>
        </w:tc>
        <w:tc>
          <w:tcPr>
            <w:tcW w:w="65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vAlign w:val="center"/>
          </w:tcPr>
          <w:p w14:paraId="6FD993AC" w14:textId="77777777" w:rsidR="0060787C" w:rsidRDefault="00957DD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Mixed</w:t>
            </w:r>
          </w:p>
        </w:tc>
      </w:tr>
      <w:tr w:rsidR="0060787C" w14:paraId="7942B593" w14:textId="77777777">
        <w:trPr>
          <w:trHeight w:val="400"/>
        </w:trPr>
        <w:tc>
          <w:tcPr>
            <w:tcW w:w="226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AF0F6"/>
            <w:vAlign w:val="center"/>
          </w:tcPr>
          <w:p w14:paraId="5550C07C" w14:textId="77777777" w:rsidR="0060787C" w:rsidRDefault="00957DDA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Deleveraging</w:t>
            </w:r>
          </w:p>
        </w:tc>
        <w:tc>
          <w:tcPr>
            <w:tcW w:w="65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vAlign w:val="center"/>
          </w:tcPr>
          <w:p w14:paraId="15F5296B" w14:textId="77777777" w:rsidR="0060787C" w:rsidRDefault="00957DD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No</w:t>
            </w:r>
          </w:p>
        </w:tc>
      </w:tr>
      <w:tr w:rsidR="0060787C" w14:paraId="655F8115" w14:textId="77777777">
        <w:trPr>
          <w:trHeight w:val="400"/>
        </w:trPr>
        <w:tc>
          <w:tcPr>
            <w:tcW w:w="2268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AF0F6"/>
            <w:vAlign w:val="center"/>
          </w:tcPr>
          <w:p w14:paraId="0F3CC217" w14:textId="77777777" w:rsidR="0060787C" w:rsidRDefault="00957DDA">
            <w:pPr>
              <w:spacing w:after="0"/>
            </w:pPr>
            <w:r>
              <w:rPr>
                <w:rFonts w:ascii="Arial" w:eastAsia="Arial" w:hAnsi="Arial" w:cs="Arial"/>
                <w:b/>
                <w:sz w:val="15"/>
              </w:rPr>
              <w:t>Distress Alert</w:t>
            </w:r>
          </w:p>
        </w:tc>
        <w:tc>
          <w:tcPr>
            <w:tcW w:w="652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vAlign w:val="center"/>
          </w:tcPr>
          <w:p w14:paraId="28EE9F3C" w14:textId="77777777" w:rsidR="0060787C" w:rsidRDefault="00957DDA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No</w:t>
            </w:r>
          </w:p>
        </w:tc>
      </w:tr>
    </w:tbl>
    <w:p w14:paraId="1BE7FCFD" w14:textId="77777777" w:rsidR="0060787C" w:rsidRDefault="00957DDA">
      <w:pPr>
        <w:pStyle w:val="Heading1"/>
        <w:ind w:left="115"/>
      </w:pPr>
      <w:r>
        <w:t>Qualitative Investment Insights</w:t>
      </w:r>
    </w:p>
    <w:tbl>
      <w:tblPr>
        <w:tblStyle w:val="TableGrid"/>
        <w:tblW w:w="8787" w:type="dxa"/>
        <w:tblInd w:w="709" w:type="dxa"/>
        <w:tblCellMar>
          <w:top w:w="119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93"/>
        <w:gridCol w:w="4394"/>
      </w:tblGrid>
      <w:tr w:rsidR="0060787C" w14:paraId="743A41F1" w14:textId="77777777">
        <w:trPr>
          <w:trHeight w:val="380"/>
        </w:trPr>
        <w:tc>
          <w:tcPr>
            <w:tcW w:w="43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AF0F6"/>
            <w:vAlign w:val="center"/>
          </w:tcPr>
          <w:p w14:paraId="2DE14124" w14:textId="77777777" w:rsidR="0060787C" w:rsidRDefault="00957DDA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Pros</w:t>
            </w:r>
          </w:p>
        </w:tc>
        <w:tc>
          <w:tcPr>
            <w:tcW w:w="43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EAF0F6"/>
            <w:vAlign w:val="center"/>
          </w:tcPr>
          <w:p w14:paraId="358CC3A4" w14:textId="77777777" w:rsidR="0060787C" w:rsidRDefault="00957DDA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Cons / Risks</w:t>
            </w:r>
          </w:p>
        </w:tc>
      </w:tr>
      <w:tr w:rsidR="0060787C" w14:paraId="1C21B2F2" w14:textId="77777777">
        <w:trPr>
          <w:trHeight w:val="340"/>
        </w:trPr>
        <w:tc>
          <w:tcPr>
            <w:tcW w:w="43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7A00B2CF" w14:textId="77777777" w:rsidR="0060787C" w:rsidRDefault="00957DD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Healthy 5-year PAT CAGR of 20.4%.</w:t>
            </w:r>
          </w:p>
        </w:tc>
        <w:tc>
          <w:tcPr>
            <w:tcW w:w="43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07D89D93" w14:textId="77777777" w:rsidR="0060787C" w:rsidRDefault="00957DD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Low ROCE of 7.1%.</w:t>
            </w:r>
          </w:p>
        </w:tc>
      </w:tr>
      <w:tr w:rsidR="0060787C" w14:paraId="58F2092B" w14:textId="77777777">
        <w:trPr>
          <w:trHeight w:val="340"/>
        </w:trPr>
        <w:tc>
          <w:tcPr>
            <w:tcW w:w="43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3DABDA3" w14:textId="77777777" w:rsidR="0060787C" w:rsidRDefault="00957DD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Healthy 5-year EPS CAGR of 19.3%.</w:t>
            </w:r>
          </w:p>
        </w:tc>
        <w:tc>
          <w:tcPr>
            <w:tcW w:w="43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09A9FA3F" w14:textId="77777777" w:rsidR="0060787C" w:rsidRDefault="00957DD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Weak FCF conversion of 14.4%.</w:t>
            </w:r>
          </w:p>
        </w:tc>
      </w:tr>
      <w:tr w:rsidR="0060787C" w14:paraId="41D95650" w14:textId="77777777">
        <w:trPr>
          <w:trHeight w:val="340"/>
        </w:trPr>
        <w:tc>
          <w:tcPr>
            <w:tcW w:w="43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58569EFF" w14:textId="77777777" w:rsidR="0060787C" w:rsidRDefault="0060787C"/>
        </w:tc>
        <w:tc>
          <w:tcPr>
            <w:tcW w:w="4394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 w14:paraId="0E1E7774" w14:textId="77777777" w:rsidR="0060787C" w:rsidRDefault="00957DDA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 xml:space="preserve">High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CapEx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intensity of 15.9%.</w:t>
            </w:r>
          </w:p>
        </w:tc>
      </w:tr>
    </w:tbl>
    <w:p w14:paraId="49D1053E" w14:textId="77777777" w:rsidR="0060787C" w:rsidRDefault="00957DDA">
      <w:pPr>
        <w:spacing w:after="6104" w:line="268" w:lineRule="auto"/>
        <w:ind w:left="120"/>
      </w:pPr>
      <w:r>
        <w:rPr>
          <w:rFonts w:ascii="Arial" w:eastAsia="Arial" w:hAnsi="Arial" w:cs="Arial"/>
          <w:b/>
          <w:sz w:val="14"/>
        </w:rPr>
        <w:t>Note:</w:t>
      </w:r>
      <w:r>
        <w:rPr>
          <w:rFonts w:ascii="Arial" w:eastAsia="Arial" w:hAnsi="Arial" w:cs="Arial"/>
          <w:sz w:val="14"/>
        </w:rPr>
        <w:t xml:space="preserve"> This report is generated from the project's structured financial datasets. Rule-based distress, valuation and qualitative signals are analytical indicators and should be interpreted with sector and company context.</w:t>
      </w:r>
    </w:p>
    <w:p w14:paraId="72C2EE9E" w14:textId="77777777" w:rsidR="0060787C" w:rsidRDefault="00957DDA">
      <w:pPr>
        <w:tabs>
          <w:tab w:val="right" w:pos="10205"/>
        </w:tabs>
        <w:spacing w:after="198"/>
        <w:ind w:left="-15" w:right="-15"/>
      </w:pPr>
      <w:r>
        <w:rPr>
          <w:rFonts w:ascii="Arial" w:eastAsia="Arial" w:hAnsi="Arial" w:cs="Arial"/>
          <w:color w:val="666666"/>
          <w:sz w:val="14"/>
        </w:rPr>
        <w:t>Nifty 100 Financial Intelligence Platform</w:t>
      </w:r>
      <w:r>
        <w:rPr>
          <w:rFonts w:ascii="Arial" w:eastAsia="Arial" w:hAnsi="Arial" w:cs="Arial"/>
          <w:color w:val="666666"/>
          <w:sz w:val="14"/>
        </w:rPr>
        <w:tab/>
        <w:t>Page 2</w:t>
      </w:r>
    </w:p>
    <w:sectPr w:rsidR="0060787C">
      <w:pgSz w:w="11906" w:h="16838"/>
      <w:pgMar w:top="947" w:right="850" w:bottom="396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7C"/>
    <w:rsid w:val="00077DCE"/>
    <w:rsid w:val="0060787C"/>
    <w:rsid w:val="00957DDA"/>
    <w:rsid w:val="00FC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3ED42"/>
  <w15:docId w15:val="{FF16A556-81A2-4788-8E2E-6129C18F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0" w:hanging="10"/>
      <w:outlineLvl w:val="0"/>
    </w:pPr>
    <w:rPr>
      <w:rFonts w:ascii="Arial" w:eastAsia="Arial" w:hAnsi="Arial" w:cs="Arial"/>
      <w:b/>
      <w:color w:val="17365D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7365D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0" Type="http://schemas.openxmlformats.org/officeDocument/2006/relationships/image" Target="media/image20.jpg"/><Relationship Id="rId4" Type="http://schemas.openxmlformats.org/officeDocument/2006/relationships/image" Target="media/image1.jp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KOTAKBANK Financial Tearsheet</dc:title>
  <dc:subject>(unspecified)</dc:subject>
  <dc:creator>Nifty 100 Financial Intelligence Platform</dc:creator>
  <cp:keywords/>
  <cp:lastModifiedBy>saisrii2429@gmail.com</cp:lastModifiedBy>
  <cp:revision>2</cp:revision>
  <dcterms:created xsi:type="dcterms:W3CDTF">2026-09-21T08:41:00Z</dcterms:created>
  <dcterms:modified xsi:type="dcterms:W3CDTF">2026-09-21T08:41:00Z</dcterms:modified>
</cp:coreProperties>
</file>