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pacing w:val="80"/>
          <w:sz w:val="56"/>
          <w:szCs w:val="56"/>
        </w:rPr>
        <w:t xml:space="preserve">SATYA BHANU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Mortgage Loan Originator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666666"/>
          <w:sz w:val="19"/>
          <w:szCs w:val="19"/>
        </w:rPr>
        <w:t xml:space="preserve">[Your City, State]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[Phone Number]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[personal-email@gmail.com]</w:t>
      </w:r>
      <w:r>
        <w:rPr>
          <w:rFonts w:ascii="Arial" w:cs="Arial" w:eastAsia="Arial" w:hAnsi="Arial"/>
          <w:color w:val="1B3A6B"/>
          <w:sz w:val="19"/>
          <w:szCs w:val="19"/>
        </w:rPr>
        <w:t xml:space="preserve">  •  </w:t>
      </w:r>
      <w:r>
        <w:rPr>
          <w:rFonts w:ascii="Arial" w:cs="Arial" w:eastAsia="Arial" w:hAnsi="Arial"/>
          <w:color w:val="666666"/>
          <w:sz w:val="19"/>
          <w:szCs w:val="19"/>
        </w:rPr>
        <w:t xml:space="preserve">linkedin.com/in/[your-handle]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NMLS# </w:t>
      </w: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[Your NMLS ID]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 |   Licensed in: 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[State(s)]</w:t>
      </w:r>
    </w:p>
    <w:p>
      <w:pPr>
        <w:pBdr>
          <w:bottom w:val="single" w:color="1B3A6B" w:sz="8" w:space="1"/>
        </w:pBdr>
        <w:spacing w:after="80" w:before="0"/>
      </w:pPr>
    </w:p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SUMMARY</w:t>
      </w:r>
    </w:p>
    <w:p>
      <w:pPr>
        <w:spacing w:after="40" w:before="0"/>
      </w:pPr>
    </w:p>
    <w:p>
      <w:pPr>
        <w:spacing w:after="4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NMLS-licensed Mortgage Loan Originator with a strong foundation in financial services, regulatory compliance, and customer-facing operations built through [X] years at PayPal. Passed the SAFE MLO National Exam on the first attempt with a score of 77%. Brings deep familiarity with federal mortgage regulations (TRID, RESPA, TILA, ECOA, HOEPA, HMDA) and the ability to translate complex financial products into clear, client-centered guidance. Eager to leverage fintech and compliance expertise to build a client pipeline and deliver an exceptional home-financing experience.</w:t>
      </w:r>
    </w:p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LICENSES &amp; CREDENTIALS</w:t>
      </w:r>
    </w:p>
    <w:p>
      <w:pPr>
        <w:spacing w:after="50" w:before="0"/>
      </w:pPr>
    </w:p>
    <w:p>
      <w:pPr>
        <w:tabs>
          <w:tab w:val="right" w:pos="9026"/>
        </w:tabs>
        <w:spacing w:after="3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NMLS SAFE MLO — National Exam Passed (77%)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June 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Nationwide Multistate Licensing System &amp; Registry (NMLS)  |  NMLS# [Your NMLS ID]</w:t>
      </w:r>
    </w:p>
    <w:p>
      <w:pPr>
        <w:tabs>
          <w:tab w:val="right" w:pos="9026"/>
        </w:tabs>
        <w:spacing w:after="30" w:before="50"/>
      </w:pPr>
      <w:r>
        <w:rPr>
          <w:rFonts w:ascii="Arial" w:cs="Arial" w:eastAsia="Arial" w:hAnsi="Arial"/>
          <w:b/>
          <w:bCs/>
          <w:color w:val="1A1A1A"/>
          <w:sz w:val="21"/>
          <w:szCs w:val="21"/>
        </w:rPr>
        <w:t xml:space="preserve">[State] MLO License — [Active / Pending Sponsorship]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2026</w:t>
      </w:r>
    </w:p>
    <w:p>
      <w:pPr>
        <w:spacing w:after="40" w:before="0"/>
      </w:pPr>
      <w:r>
        <w:rPr>
          <w:rFonts w:ascii="Arial" w:cs="Arial" w:eastAsia="Arial" w:hAnsi="Arial"/>
          <w:i/>
          <w:iCs/>
          <w:color w:val="444444"/>
          <w:sz w:val="19"/>
          <w:szCs w:val="19"/>
        </w:rPr>
        <w:t xml:space="preserve">NMLS State Application Submitted  |  Background Check &amp; Credit Check Completed</w:t>
      </w:r>
    </w:p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EXPERIENCE</w:t>
      </w:r>
    </w:p>
    <w:p>
      <w:pPr>
        <w:spacing w:after="30" w:before="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[Your Job Title — e.g. Risk Analyst / Compliance Specialist / Operations Lead]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[Month Year] – Present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PayPal, Inc.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[City, State / Remote]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[X] financial transactions / accounts / compliance reviews per [day/month], ensuring adherence to federal and state financial regulations.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cross-functional teams to identify risk, resolve disputes, and maintain regulatory compliance across a portfolio of [X] accounts.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Guided customers through complex financial decisions, explaining payment products, credit terms, and resolution options in clear, accessible language.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Analyzed borrower/customer financial data to assess risk, flag discrepancies, and recommend appropriate product solutions.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[Add a specific achievement: e.g., 'Reduced dispute resolution time by 30% by implementing a streamlined documentation workflow.']</w:t>
      </w:r>
    </w:p>
    <w:p>
      <w:pPr>
        <w:spacing w:after="40" w:before="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[Prior Role — if applicable]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[Month Year] – [Month Year]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[Employer Name]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[City, State]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[Key responsibility demonstrating financial, sales, or customer-facing experience.]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[Achievement with measurable outcome — e.g., 'Consistently ranked in top 10% for customer satisfaction scores.']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[Any experience involving loan processing, banking, insurance, or regulatory compliance is valuable here.]</w:t>
      </w:r>
    </w:p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MORTGAGE &amp; REGULATORY KNOWLEDGE</w:t>
      </w:r>
    </w:p>
    <w:p>
      <w:pPr>
        <w:spacing w:after="50" w:before="0"/>
      </w:pPr>
    </w:p>
    <w:p>
      <w:pPr>
        <w:spacing w:after="60" w:before="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Comprehensive knowledge of federal mortgage laws and guidelines, demonstrated through NMLS SAFE exam preparation and passing: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2080"/>
      </w:tblGrid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TRID / RESPA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TILA / Reg Z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ECOA / Reg 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Fair Housing Act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HOEPA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HMDA / LAR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Dodd-Frank / QM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SAFE Act / NMLS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FHA / VA / USDA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Conventional / PMI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ARM Disclosures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ATR / QM Rules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Underwriting Basics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DTI Calculation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UDAAP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Adverse Action</w:t>
            </w:r>
          </w:p>
        </w:tc>
      </w:tr>
    </w:tbl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CORE SKILLS</w:t>
      </w:r>
    </w:p>
    <w:p>
      <w:pPr>
        <w:spacing w:after="5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2080"/>
        <w:gridCol w:w="2080"/>
        <w:gridCol w:w="2080"/>
      </w:tblGrid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Client Relationship Mgmt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Financial Analysis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Regulatory Compliance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Loan Pipeline Mgmt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Risk Assessment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CRM / Loan Origination SW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Cross-functional Collab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Data-Driven Decision Making</w:t>
            </w:r>
          </w:p>
        </w:tc>
      </w:tr>
      <w:tr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[Tech/Software you use]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[Language if bilingual]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Microsoft Office / Excel</w:t>
            </w:r>
          </w:p>
        </w:tc>
        <w:tc>
          <w:tcPr>
            <w:tcW w:type="dxa" w:w="2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Detail Orientation</w:t>
            </w:r>
          </w:p>
        </w:tc>
      </w:tr>
    </w:tbl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EDUCATION</w:t>
      </w:r>
    </w:p>
    <w:p>
      <w:pPr>
        <w:spacing w:after="30" w:before="0"/>
      </w:pPr>
    </w:p>
    <w:p>
      <w:pPr>
        <w:tabs>
          <w:tab w:val="right" w:pos="9026"/>
        </w:tabs>
        <w:spacing w:after="3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[Degree — e.g., B.S. in Finance / Business Administration / Economics]</w:t>
      </w:r>
      <w:r>
        <w:rPr>
          <w:rFonts w:ascii="Arial" w:cs="Arial" w:eastAsia="Arial" w:hAnsi="Arial"/>
          <w:sz w:val="22"/>
          <w:szCs w:val="22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[Graduation Year]</w:t>
      </w:r>
    </w:p>
    <w:p>
      <w:pPr>
        <w:tabs>
          <w:tab w:val="right" w:pos="9026"/>
        </w:tabs>
        <w:spacing w:after="60" w:before="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[University Name]</w:t>
      </w:r>
      <w:r>
        <w:rPr>
          <w:rFonts w:ascii="Arial" w:cs="Arial" w:eastAsia="Arial" w:hAnsi="Arial"/>
          <w:sz w:val="20"/>
          <w:szCs w:val="20"/>
        </w:rPr>
        <w:t xml:space="preserve">	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[City, State]</w:t>
      </w:r>
    </w:p>
    <w:p>
      <w:pPr>
        <w:spacing w:after="30" w:before="0"/>
      </w:pPr>
    </w:p>
    <w:p>
      <w:pPr>
        <w:pBdr>
          <w:bottom w:val="single" w:color="1B3A6B" w:sz="8" w:space="2"/>
        </w:pBdr>
        <w:spacing w:after="60" w:before="220"/>
      </w:pPr>
      <w:r>
        <w:rPr>
          <w:rFonts w:ascii="Arial" w:cs="Arial" w:eastAsia="Arial" w:hAnsi="Arial"/>
          <w:b/>
          <w:bCs/>
          <w:color w:val="1B3A6B"/>
          <w:spacing w:val="40"/>
          <w:sz w:val="22"/>
          <w:szCs w:val="22"/>
        </w:rPr>
        <w:t xml:space="preserve">PROFESSIONAL DEVELOPMENT</w:t>
      </w:r>
    </w:p>
    <w:p>
      <w:pPr>
        <w:spacing w:after="50" w:before="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NMLS SAFE 20-Hour Pre-Licensure Education — Federal Law, Ethics, Nontraditional Mortgages, State Electives  (2026)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NMLS 8-Hour Annual Continuing Education — [will complete December 2026]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[Any additional certifications, courses, or memberships — e.g., Mortgage Bankers Association, local NAHREP/NAREB chapter]</w:t>
      </w:r>
    </w:p>
    <w:p>
      <w:pPr>
        <w:spacing w:after="60" w:before="0"/>
      </w:pP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666666"/>
          <w:sz w:val="17"/>
          <w:szCs w:val="17"/>
        </w:rPr>
        <w:t xml:space="preserve">References available upon request  •  Background check and credit check clear  •  Available for immediate sponsorship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2026-06-30T03:24:36.555Z</dcterms:created>
  <dcterms:modified xsi:type="dcterms:W3CDTF">2026-06-30T03:24:36.556Z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