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Times New Roman" w:cs="Times New Roman" w:eastAsia="Times New Roman" w:hAnsi="Times New Roman"/>
          <w:b/>
          <w:bCs/>
          <w:sz w:val="44"/>
          <w:szCs w:val="44"/>
        </w:rPr>
        <w:t xml:space="preserve">Backtesting d'une stratégie de trading</w:t>
      </w:r>
    </w:p>
    <w:p>
      <w:pPr>
        <w:spacing w:after="80"/>
      </w:pPr>
      <w:r>
        <w:rPr>
          <w:rFonts w:ascii="Times New Roman" w:cs="Times New Roman" w:eastAsia="Times New Roman" w:hAnsi="Times New Roman"/>
          <w:b/>
          <w:bCs/>
          <w:color w:val="1F5FBF"/>
          <w:sz w:val="27"/>
          <w:szCs w:val="27"/>
        </w:rPr>
        <w:t xml:space="preserve">Suivi de tendance par croisement de moyennes mobiles (50/200 jours)</w:t>
      </w:r>
    </w:p>
    <w:p>
      <w:pPr>
        <w:spacing w:after="160"/>
      </w:pPr>
      <w:r>
        <w:rPr>
          <w:rFonts w:ascii="Times New Roman" w:cs="Times New Roman" w:eastAsia="Times New Roman" w:hAnsi="Times New Roman"/>
          <w:i/>
          <w:iCs/>
          <w:color w:val="666666"/>
          <w:sz w:val="20"/>
          <w:szCs w:val="20"/>
        </w:rPr>
        <w:t xml:space="preserve">Projet personnel — recherche de stage / alternance en finance de marché (risk management, front office)</w:t>
      </w:r>
    </w:p>
    <w:p>
      <w:pPr>
        <w:spacing w:after="60" w:before="120"/>
        <w:jc w:val="center"/>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8130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19"/>
          <w:szCs w:val="19"/>
        </w:rPr>
        <w:t xml:space="preserve">Portefeuille équipondéré LVMH / TotalEnergies / Sanofi — stratégie et buy &amp; hold (octobre 2019 - septembre 2026)</w:t>
      </w:r>
    </w:p>
    <w:p>
      <w:pPr>
        <w:pStyle w:val="Heading1"/>
        <w:keepNext/>
        <w:spacing w:after="160" w:before="320"/>
      </w:pPr>
      <w:r>
        <w:rPr>
          <w:rFonts w:ascii="Arial" w:cs="Arial" w:eastAsia="Arial" w:hAnsi="Arial"/>
          <w:color w:val="1F5FBF"/>
          <w:sz w:val="32"/>
          <w:szCs w:val="32"/>
        </w:rPr>
        <w:t xml:space="preserve">1. Contexte et objectif</w:t>
      </w:r>
    </w:p>
    <w:p>
      <w:pPr>
        <w:spacing w:after="140" w:line="276"/>
      </w:pPr>
      <w:r>
        <w:rPr>
          <w:rFonts w:ascii="Times New Roman" w:cs="Times New Roman" w:eastAsia="Times New Roman" w:hAnsi="Times New Roman"/>
          <w:sz w:val="22"/>
          <w:szCs w:val="22"/>
        </w:rPr>
        <w:t xml:space="preserve">Ce projet complète la série de projets personnels en finance quantitative (réconciliation post-trade, pricer d'options, VaR de portefeuille) en abordant le trading systématique : tester une règle de trading sur des données réelles, avec la rigueur d'un backtest, plutôt que de se fier à une intuition de marché.</w:t>
      </w:r>
    </w:p>
    <w:p>
      <w:pPr>
        <w:spacing w:after="140" w:line="276"/>
      </w:pPr>
      <w:r>
        <w:rPr>
          <w:rFonts w:ascii="Times New Roman" w:cs="Times New Roman" w:eastAsia="Times New Roman" w:hAnsi="Times New Roman"/>
          <w:sz w:val="22"/>
          <w:szCs w:val="22"/>
        </w:rPr>
        <w:t xml:space="preserve">La stratégie choisie est un classique du suivi de tendance : rester investi quand la moyenne mobile 50 jours est au-dessus de la moyenne mobile 200 jours (« golden cross »), passer en cash sinon (« death cross »). Elle est testée sur un portefeuille équipondéré de trois valeurs du CAC 40, LVMH (MC.PA), TotalEnergies (TTE.PA) et Sanofi (SAN.PA), et comparée à une détention passive (buy &amp; hold) du 14 octobre 2019 au 25 septembre 2026, soit 7,1 ans.</w:t>
      </w:r>
    </w:p>
    <w:p>
      <w:pPr>
        <w:spacing w:after="140" w:line="276"/>
      </w:pPr>
      <w:r>
        <w:rPr>
          <w:rFonts w:ascii="Times New Roman" w:cs="Times New Roman" w:eastAsia="Times New Roman" w:hAnsi="Times New Roman"/>
          <w:sz w:val="22"/>
          <w:szCs w:val="22"/>
        </w:rPr>
        <w:t xml:space="preserve">L'objectif n'est pas de démontrer qu'une stratégie « gagne », mais de la tester sans l'ajuster : mesurer sa performance, puis identifier dans quelles conditions de marché elle aide et dans lesquelles elle coûte.</w:t>
      </w:r>
    </w:p>
    <w:p>
      <w:pPr>
        <w:pStyle w:val="Heading1"/>
        <w:keepNext/>
        <w:spacing w:after="160" w:before="320"/>
      </w:pPr>
      <w:r>
        <w:rPr>
          <w:rFonts w:ascii="Arial" w:cs="Arial" w:eastAsia="Arial" w:hAnsi="Arial"/>
          <w:color w:val="1F5FBF"/>
          <w:sz w:val="32"/>
          <w:szCs w:val="32"/>
        </w:rPr>
        <w:t xml:space="preserve">2. Méthodologie</w:t>
      </w:r>
    </w:p>
    <w:p>
      <w:pPr>
        <w:pStyle w:val="Heading2"/>
        <w:keepNext/>
        <w:spacing w:after="120" w:before="220"/>
      </w:pPr>
      <w:r>
        <w:rPr>
          <w:rFonts w:ascii="Arial" w:cs="Arial" w:eastAsia="Arial" w:hAnsi="Arial"/>
          <w:color w:val="1F5FBF"/>
          <w:sz w:val="25"/>
          <w:szCs w:val="25"/>
        </w:rPr>
        <w:t xml:space="preserve">2.1 Récupération des données</w:t>
      </w:r>
    </w:p>
    <w:p>
      <w:pPr>
        <w:spacing w:after="140" w:line="276"/>
      </w:pPr>
      <w:r>
        <w:rPr>
          <w:rFonts w:ascii="Times New Roman" w:cs="Times New Roman" w:eastAsia="Times New Roman" w:hAnsi="Times New Roman"/>
          <w:sz w:val="22"/>
          <w:szCs w:val="22"/>
        </w:rPr>
        <w:t xml:space="preserve">Les prix de clôture, ajustés des dividendes et des splits, sont récupérés via Yahoo Finance du 2 janvier 2019 au 25 septembre 2026 (1 982 séances). L'historique commence neuf mois avant la période d'évaluation, car il faut 200 séances pour calculer la première moyenne mobile longue.</w:t>
      </w:r>
    </w:p>
    <w:p>
      <w:pPr>
        <w:keepLines/>
        <w:shd w:fill="F2F3F5" w:val="clear"/>
        <w:spacing w:after="0" w:before="80" w:line="250"/>
        <w:ind w:left="200" w:right="200"/>
      </w:pPr>
      <w:r>
        <w:rPr>
          <w:rFonts w:ascii="Courier New" w:cs="Courier New" w:eastAsia="Courier New" w:hAnsi="Courier New"/>
          <w:sz w:val="17"/>
          <w:szCs w:val="17"/>
        </w:rPr>
        <w:t xml:space="preserve">tickers = ["MC.PA", "TTE.PA", "SAN.PA"]</w:t>
      </w:r>
    </w:p>
    <w:p>
      <w:pPr>
        <w:keepLines/>
        <w:shd w:fill="F2F3F5" w:val="clear"/>
        <w:spacing w:after="0" w:before="0" w:line="250"/>
        <w:ind w:left="200" w:right="200"/>
      </w:pPr>
      <w:r>
        <w:rPr>
          <w:rFonts w:ascii="Courier New" w:cs="Courier New" w:eastAsia="Courier New" w:hAnsi="Courier New"/>
          <w:sz w:val="17"/>
          <w:szCs w:val="17"/>
        </w:rPr>
        <w:t xml:space="preserve">data = yf.download(tickers, start="2019-01-01", end="2026-09-27", auto_adjust=True)</w:t>
      </w:r>
    </w:p>
    <w:p>
      <w:pPr>
        <w:keepLines/>
        <w:shd w:fill="F2F3F5" w:val="clear"/>
        <w:spacing w:after="200" w:before="0" w:line="250"/>
        <w:ind w:left="200" w:right="200"/>
      </w:pPr>
      <w:r>
        <w:rPr>
          <w:rFonts w:ascii="Courier New" w:cs="Courier New" w:eastAsia="Courier New" w:hAnsi="Courier New"/>
          <w:sz w:val="17"/>
          <w:szCs w:val="17"/>
        </w:rPr>
        <w:t xml:space="preserve">close_prices = data["Close"][tickers]</w:t>
      </w:r>
    </w:p>
    <w:p>
      <w:pPr>
        <w:pStyle w:val="Heading2"/>
        <w:keepNext/>
        <w:spacing w:after="120" w:before="220"/>
      </w:pPr>
      <w:r>
        <w:rPr>
          <w:rFonts w:ascii="Arial" w:cs="Arial" w:eastAsia="Arial" w:hAnsi="Arial"/>
          <w:color w:val="1F5FBF"/>
          <w:sz w:val="25"/>
          <w:szCs w:val="25"/>
        </w:rPr>
        <w:t xml:space="preserve">2.2 Signal de trading : croisement de moyennes mobiles</w:t>
      </w:r>
    </w:p>
    <w:p>
      <w:pPr>
        <w:spacing w:after="140" w:line="276"/>
      </w:pPr>
      <w:r>
        <w:rPr>
          <w:rFonts w:ascii="Times New Roman" w:cs="Times New Roman" w:eastAsia="Times New Roman" w:hAnsi="Times New Roman"/>
          <w:sz w:val="22"/>
          <w:szCs w:val="22"/>
        </w:rPr>
        <w:t xml:space="preserve">Le signal compare une moyenne mobile courte (50 jours) à une moyenne mobile longue (200 jours). Quand la MM50 est au-dessus de la MM200, la position vaut 1 (investi) ; sinon elle vaut 0 (cash). Deux précautions sont prises.</w:t>
      </w:r>
    </w:p>
    <w:p>
      <w:pPr>
        <w:pStyle w:val="ListParagraph"/>
        <w:numPr>
          <w:ilvl w:val="0"/>
          <w:numId w:val="2"/>
        </w:numPr>
        <w:spacing w:after="90" w:line="276"/>
      </w:pPr>
      <w:r>
        <w:rPr>
          <w:rFonts w:ascii="Times New Roman" w:cs="Times New Roman" w:eastAsia="Times New Roman" w:hAnsi="Times New Roman"/>
          <w:b/>
          <w:bCs/>
          <w:sz w:val="22"/>
          <w:szCs w:val="22"/>
        </w:rPr>
        <w:t xml:space="preserve">Décalage d'un jour.</w:t>
      </w:r>
      <w:r>
        <w:rPr>
          <w:rFonts w:ascii="Times New Roman" w:cs="Times New Roman" w:eastAsia="Times New Roman" w:hAnsi="Times New Roman"/>
          <w:sz w:val="22"/>
          <w:szCs w:val="22"/>
        </w:rPr>
        <w:t xml:space="preserve"> La décision prise à la clôture du jour J n'est appliquée qu'à partir du jour J+1, pour ne pas utiliser une information qui n'est pas encore connue (biais d'anticipation).</w:t>
      </w:r>
    </w:p>
    <w:p>
      <w:pPr>
        <w:pStyle w:val="ListParagraph"/>
        <w:numPr>
          <w:ilvl w:val="0"/>
          <w:numId w:val="2"/>
        </w:numPr>
        <w:spacing w:after="90" w:line="276"/>
      </w:pPr>
      <w:r>
        <w:rPr>
          <w:rFonts w:ascii="Times New Roman" w:cs="Times New Roman" w:eastAsia="Times New Roman" w:hAnsi="Times New Roman"/>
          <w:b/>
          <w:bCs/>
          <w:sz w:val="22"/>
          <w:szCs w:val="22"/>
        </w:rPr>
        <w:t xml:space="preserve">Pas de signal avant que la MM200 existe.</w:t>
      </w:r>
      <w:r>
        <w:rPr>
          <w:rFonts w:ascii="Times New Roman" w:cs="Times New Roman" w:eastAsia="Times New Roman" w:hAnsi="Times New Roman"/>
          <w:sz w:val="22"/>
          <w:szCs w:val="22"/>
        </w:rPr>
        <w:t xml:space="preserve"> Pendant les 200 premières séances, la comparaison renvoie « faux » faute de données, ce qui mettrait la stratégie en cash sans qu'elle ait rien décidé. Ces jours sont exclus de l'évaluation.</w:t>
      </w:r>
    </w:p>
    <w:p>
      <w:pPr>
        <w:keepLines/>
        <w:shd w:fill="F2F3F5" w:val="clear"/>
        <w:spacing w:after="0" w:before="80" w:line="250"/>
        <w:ind w:left="200" w:right="200"/>
      </w:pPr>
      <w:r>
        <w:rPr>
          <w:rFonts w:ascii="Courier New" w:cs="Courier New" w:eastAsia="Courier New" w:hAnsi="Courier New"/>
          <w:sz w:val="17"/>
          <w:szCs w:val="17"/>
        </w:rPr>
        <w:t xml:space="preserve">sma_short = close_prices.rolling(50).mean()</w:t>
      </w:r>
    </w:p>
    <w:p>
      <w:pPr>
        <w:keepLines/>
        <w:shd w:fill="F2F3F5" w:val="clear"/>
        <w:spacing w:after="0" w:before="0" w:line="250"/>
        <w:ind w:left="200" w:right="200"/>
      </w:pPr>
      <w:r>
        <w:rPr>
          <w:rFonts w:ascii="Courier New" w:cs="Courier New" w:eastAsia="Courier New" w:hAnsi="Courier New"/>
          <w:sz w:val="17"/>
          <w:szCs w:val="17"/>
        </w:rPr>
        <w:t xml:space="preserve">sma_long = close_prices.rolling(200).mean()</w:t>
      </w:r>
    </w:p>
    <w:p>
      <w:pPr>
        <w:keepLines/>
        <w:shd w:fill="F2F3F5" w:val="clear"/>
        <w:spacing w:after="0" w:before="0" w:line="250"/>
        <w:ind w:left="200" w:right="200"/>
      </w:pPr>
      <w:r>
        <w:rPr>
          <w:rFonts w:ascii="Courier New" w:cs="Courier New" w:eastAsia="Courier New" w:hAnsi="Courier New"/>
          <w:sz w:val="17"/>
          <w:szCs w:val="17"/>
        </w:rPr>
        <w:t xml:space="preserve"> </w:t>
      </w:r>
    </w:p>
    <w:p>
      <w:pPr>
        <w:keepLines/>
        <w:shd w:fill="F2F3F5" w:val="clear"/>
        <w:spacing w:after="0" w:before="0" w:line="250"/>
        <w:ind w:left="200" w:right="200"/>
      </w:pPr>
      <w:r>
        <w:rPr>
          <w:rFonts w:ascii="Courier New" w:cs="Courier New" w:eastAsia="Courier New" w:hAnsi="Courier New"/>
          <w:sz w:val="17"/>
          <w:szCs w:val="17"/>
        </w:rPr>
        <w:t xml:space="preserve">signal = (sma_short &gt; sma_long).astype(float)</w:t>
      </w:r>
    </w:p>
    <w:p>
      <w:pPr>
        <w:keepLines/>
        <w:shd w:fill="F2F3F5" w:val="clear"/>
        <w:spacing w:after="0" w:before="0" w:line="250"/>
        <w:ind w:left="200" w:right="200"/>
      </w:pPr>
      <w:r>
        <w:rPr>
          <w:rFonts w:ascii="Courier New" w:cs="Courier New" w:eastAsia="Courier New" w:hAnsi="Courier New"/>
          <w:sz w:val="17"/>
          <w:szCs w:val="17"/>
        </w:rPr>
        <w:t xml:space="preserve">signal[sma_long.isna()] = np.nan        # pas de signal tant que la MM200 n'existe pas</w:t>
      </w:r>
    </w:p>
    <w:p>
      <w:pPr>
        <w:keepLines/>
        <w:shd w:fill="F2F3F5" w:val="clear"/>
        <w:spacing w:after="0" w:before="0" w:line="250"/>
        <w:ind w:left="200" w:right="200"/>
      </w:pPr>
      <w:r>
        <w:rPr>
          <w:rFonts w:ascii="Courier New" w:cs="Courier New" w:eastAsia="Courier New" w:hAnsi="Courier New"/>
          <w:sz w:val="17"/>
          <w:szCs w:val="17"/>
        </w:rPr>
        <w:t xml:space="preserve">position = signal.shift(1)              # on trade le lendemain du signal</w:t>
      </w:r>
    </w:p>
    <w:p>
      <w:pPr>
        <w:keepLines/>
        <w:shd w:fill="F2F3F5" w:val="clear"/>
        <w:spacing w:after="200" w:before="0" w:line="250"/>
        <w:ind w:left="200" w:right="200"/>
      </w:pPr>
      <w:r>
        <w:rPr>
          <w:rFonts w:ascii="Courier New" w:cs="Courier New" w:eastAsia="Courier New" w:hAnsi="Courier New"/>
          <w:sz w:val="17"/>
          <w:szCs w:val="17"/>
        </w:rPr>
        <w:t xml:space="preserve">debut = position.dropna().index[0]      # 14 octobre 2019</w:t>
      </w:r>
    </w:p>
    <w:p>
      <w:pPr>
        <w:pStyle w:val="Heading2"/>
        <w:keepNext/>
        <w:spacing w:after="120" w:before="220"/>
      </w:pPr>
      <w:r>
        <w:rPr>
          <w:rFonts w:ascii="Arial" w:cs="Arial" w:eastAsia="Arial" w:hAnsi="Arial"/>
          <w:color w:val="1F5FBF"/>
          <w:sz w:val="25"/>
          <w:szCs w:val="25"/>
        </w:rPr>
        <w:t xml:space="preserve">2.3 Rendements de la stratégie et du buy &amp; hold</w:t>
      </w:r>
    </w:p>
    <w:p>
      <w:pPr>
        <w:spacing w:after="140" w:line="276"/>
      </w:pPr>
      <w:r>
        <w:rPr>
          <w:rFonts w:ascii="Times New Roman" w:cs="Times New Roman" w:eastAsia="Times New Roman" w:hAnsi="Times New Roman"/>
          <w:sz w:val="22"/>
          <w:szCs w:val="22"/>
        </w:rPr>
        <w:t xml:space="preserve">Le rendement de la stratégie un jour donné est le rendement de l'action multiplié par la position de la veille : identique au buy &amp; hold quand on est investi, nul quand on est en cash (cash rémunéré à 0 %, par simplification). Les deux approches sont évaluées sur exactement les mêmes jours, à partir du 14 octobre 2019. Sans cela, le buy &amp; hold bénéficierait de neuf mois de hausse en 2019 (+22 % sur le portefeuille) pendant lesquels la stratégie ne peut pas encore trader.</w:t>
      </w:r>
    </w:p>
    <w:p>
      <w:pPr>
        <w:keepLines/>
        <w:shd w:fill="F2F3F5" w:val="clear"/>
        <w:spacing w:after="0" w:before="80" w:line="250"/>
        <w:ind w:left="200" w:right="200"/>
      </w:pPr>
      <w:r>
        <w:rPr>
          <w:rFonts w:ascii="Courier New" w:cs="Courier New" w:eastAsia="Courier New" w:hAnsi="Courier New"/>
          <w:sz w:val="17"/>
          <w:szCs w:val="17"/>
        </w:rPr>
        <w:t xml:space="preserve">returns = close_prices.pct_change().loc[debut:]</w:t>
      </w:r>
    </w:p>
    <w:p>
      <w:pPr>
        <w:keepLines/>
        <w:shd w:fill="F2F3F5" w:val="clear"/>
        <w:spacing w:after="0" w:before="0" w:line="250"/>
        <w:ind w:left="200" w:right="200"/>
      </w:pPr>
      <w:r>
        <w:rPr>
          <w:rFonts w:ascii="Courier New" w:cs="Courier New" w:eastAsia="Courier New" w:hAnsi="Courier New"/>
          <w:sz w:val="17"/>
          <w:szCs w:val="17"/>
        </w:rPr>
        <w:t xml:space="preserve">position = position.loc[debut:]</w:t>
      </w:r>
    </w:p>
    <w:p>
      <w:pPr>
        <w:keepLines/>
        <w:shd w:fill="F2F3F5" w:val="clear"/>
        <w:spacing w:after="0" w:before="0" w:line="250"/>
        <w:ind w:left="200" w:right="200"/>
      </w:pPr>
      <w:r>
        <w:rPr>
          <w:rFonts w:ascii="Courier New" w:cs="Courier New" w:eastAsia="Courier New" w:hAnsi="Courier New"/>
          <w:sz w:val="17"/>
          <w:szCs w:val="17"/>
        </w:rPr>
        <w:t xml:space="preserve"> </w:t>
      </w:r>
    </w:p>
    <w:p>
      <w:pPr>
        <w:keepLines/>
        <w:shd w:fill="F2F3F5" w:val="clear"/>
        <w:spacing w:after="0" w:before="0" w:line="250"/>
        <w:ind w:left="200" w:right="200"/>
      </w:pPr>
      <w:r>
        <w:rPr>
          <w:rFonts w:ascii="Courier New" w:cs="Courier New" w:eastAsia="Courier New" w:hAnsi="Courier New"/>
          <w:sz w:val="17"/>
          <w:szCs w:val="17"/>
        </w:rPr>
        <w:t xml:space="preserve">strategy_returns = position * returns</w:t>
      </w:r>
    </w:p>
    <w:p>
      <w:pPr>
        <w:keepLines/>
        <w:shd w:fill="F2F3F5" w:val="clear"/>
        <w:spacing w:after="200" w:before="0" w:line="250"/>
        <w:ind w:left="200" w:right="200"/>
      </w:pPr>
      <w:r>
        <w:rPr>
          <w:rFonts w:ascii="Courier New" w:cs="Courier New" w:eastAsia="Courier New" w:hAnsi="Courier New"/>
          <w:sz w:val="17"/>
          <w:szCs w:val="17"/>
        </w:rPr>
        <w:t xml:space="preserve">buy_hold_returns = returns</w:t>
      </w:r>
    </w:p>
    <w:p>
      <w:pPr>
        <w:pStyle w:val="Heading2"/>
        <w:keepNext/>
        <w:spacing w:after="120" w:before="220"/>
      </w:pPr>
      <w:r>
        <w:rPr>
          <w:rFonts w:ascii="Arial" w:cs="Arial" w:eastAsia="Arial" w:hAnsi="Arial"/>
          <w:color w:val="1F5FBF"/>
          <w:sz w:val="25"/>
          <w:szCs w:val="25"/>
        </w:rPr>
        <w:t xml:space="preserve">2.4 Construction du portefeuille</w:t>
      </w:r>
    </w:p>
    <w:p>
      <w:pPr>
        <w:spacing w:after="140" w:line="276"/>
      </w:pPr>
      <w:r>
        <w:rPr>
          <w:rFonts w:ascii="Times New Roman" w:cs="Times New Roman" w:eastAsia="Times New Roman" w:hAnsi="Times New Roman"/>
          <w:sz w:val="22"/>
          <w:szCs w:val="22"/>
        </w:rPr>
        <w:t xml:space="preserve">Les trois actions sont pondérées à parts égales (1/3 chacune), avec une hypothèse de rééquilibrage quotidien. Dans le portefeuille « stratégie », la part d'une action en position 0 est détenue en cash.</w:t>
      </w:r>
    </w:p>
    <w:p>
      <w:pPr>
        <w:keepLines/>
        <w:shd w:fill="F2F3F5" w:val="clear"/>
        <w:spacing w:after="0" w:before="80" w:line="250"/>
        <w:ind w:left="200" w:right="200"/>
      </w:pPr>
      <w:r>
        <w:rPr>
          <w:rFonts w:ascii="Courier New" w:cs="Courier New" w:eastAsia="Courier New" w:hAnsi="Courier New"/>
          <w:sz w:val="17"/>
          <w:szCs w:val="17"/>
        </w:rPr>
        <w:t xml:space="preserve">weights = np.array([1/3, 1/3, 1/3])</w:t>
      </w:r>
    </w:p>
    <w:p>
      <w:pPr>
        <w:keepLines/>
        <w:shd w:fill="F2F3F5" w:val="clear"/>
        <w:spacing w:after="0" w:before="0" w:line="250"/>
        <w:ind w:left="200" w:right="200"/>
      </w:pPr>
      <w:r>
        <w:rPr>
          <w:rFonts w:ascii="Courier New" w:cs="Courier New" w:eastAsia="Courier New" w:hAnsi="Courier New"/>
          <w:sz w:val="17"/>
          <w:szCs w:val="17"/>
        </w:rPr>
        <w:t xml:space="preserve">portfolio_strategy_returns = strategy_returns.dot(weights)</w:t>
      </w:r>
    </w:p>
    <w:p>
      <w:pPr>
        <w:keepLines/>
        <w:shd w:fill="F2F3F5" w:val="clear"/>
        <w:spacing w:after="200" w:before="0" w:line="250"/>
        <w:ind w:left="200" w:right="200"/>
      </w:pPr>
      <w:r>
        <w:rPr>
          <w:rFonts w:ascii="Courier New" w:cs="Courier New" w:eastAsia="Courier New" w:hAnsi="Courier New"/>
          <w:sz w:val="17"/>
          <w:szCs w:val="17"/>
        </w:rPr>
        <w:t xml:space="preserve">portfolio_buy_hold_returns = buy_hold_returns.dot(weights)</w:t>
      </w:r>
    </w:p>
    <w:p>
      <w:pPr>
        <w:pStyle w:val="Heading2"/>
        <w:keepNext/>
        <w:spacing w:after="120" w:before="220"/>
      </w:pPr>
      <w:r>
        <w:rPr>
          <w:rFonts w:ascii="Arial" w:cs="Arial" w:eastAsia="Arial" w:hAnsi="Arial"/>
          <w:color w:val="1F5FBF"/>
          <w:sz w:val="25"/>
          <w:szCs w:val="25"/>
        </w:rPr>
        <w:t xml:space="preserve">2.5 Métriques de performance</w:t>
      </w:r>
    </w:p>
    <w:p>
      <w:pPr>
        <w:spacing w:after="140" w:line="276"/>
      </w:pPr>
      <w:r>
        <w:rPr>
          <w:rFonts w:ascii="Times New Roman" w:cs="Times New Roman" w:eastAsia="Times New Roman" w:hAnsi="Times New Roman"/>
          <w:sz w:val="22"/>
          <w:szCs w:val="22"/>
        </w:rPr>
        <w:t xml:space="preserve">Quatre indicateurs sont calculés pour chaque série de rendements : le CAGR (rendement annuel composé), la volatilité annualisée (écart-type journalier × √252), le ratio de Sharpe (rendement annualisé / volatilité annualisée, taux sans risque supposé nul) et le drawdown maximal (pire perte depuis un plus haut), avec les dates du plus haut et du point bas pour identifier l'épisode de marché correspondant.</w:t>
      </w:r>
    </w:p>
    <w:p>
      <w:pPr>
        <w:keepLines/>
        <w:shd w:fill="F2F3F5" w:val="clear"/>
        <w:spacing w:after="0" w:before="80" w:line="250"/>
        <w:ind w:left="200" w:right="200"/>
      </w:pPr>
      <w:r>
        <w:rPr>
          <w:rFonts w:ascii="Courier New" w:cs="Courier New" w:eastAsia="Courier New" w:hAnsi="Courier New"/>
          <w:sz w:val="17"/>
          <w:szCs w:val="17"/>
        </w:rPr>
        <w:t xml:space="preserve">def compute_metrics(returns):</w:t>
      </w:r>
    </w:p>
    <w:p>
      <w:pPr>
        <w:keepLines/>
        <w:shd w:fill="F2F3F5" w:val="clear"/>
        <w:spacing w:after="0" w:before="0" w:line="250"/>
        <w:ind w:left="200" w:right="200"/>
      </w:pPr>
      <w:r>
        <w:rPr>
          <w:rFonts w:ascii="Courier New" w:cs="Courier New" w:eastAsia="Courier New" w:hAnsi="Courier New"/>
          <w:sz w:val="17"/>
          <w:szCs w:val="17"/>
        </w:rPr>
        <w:t xml:space="preserve">    returns = returns.dropna()</w:t>
      </w:r>
    </w:p>
    <w:p>
      <w:pPr>
        <w:keepLines/>
        <w:shd w:fill="F2F3F5" w:val="clear"/>
        <w:spacing w:after="0" w:before="0" w:line="250"/>
        <w:ind w:left="200" w:right="200"/>
      </w:pPr>
      <w:r>
        <w:rPr>
          <w:rFonts w:ascii="Courier New" w:cs="Courier New" w:eastAsia="Courier New" w:hAnsi="Courier New"/>
          <w:sz w:val="17"/>
          <w:szCs w:val="17"/>
        </w:rPr>
        <w:t xml:space="preserve">    cumulative = (1 + returns).cumprod()</w:t>
      </w:r>
    </w:p>
    <w:p>
      <w:pPr>
        <w:keepLines/>
        <w:shd w:fill="F2F3F5" w:val="clear"/>
        <w:spacing w:after="0" w:before="0" w:line="250"/>
        <w:ind w:left="200" w:right="200"/>
      </w:pPr>
      <w:r>
        <w:rPr>
          <w:rFonts w:ascii="Courier New" w:cs="Courier New" w:eastAsia="Courier New" w:hAnsi="Courier New"/>
          <w:sz w:val="17"/>
          <w:szCs w:val="17"/>
        </w:rPr>
        <w:t xml:space="preserve">    n_years = len(returns) / 252</w:t>
      </w:r>
    </w:p>
    <w:p>
      <w:pPr>
        <w:keepLines/>
        <w:shd w:fill="F2F3F5" w:val="clear"/>
        <w:spacing w:after="0" w:before="0" w:line="250"/>
        <w:ind w:left="200" w:right="200"/>
      </w:pPr>
      <w:r>
        <w:rPr>
          <w:rFonts w:ascii="Courier New" w:cs="Courier New" w:eastAsia="Courier New" w:hAnsi="Courier New"/>
          <w:sz w:val="17"/>
          <w:szCs w:val="17"/>
        </w:rPr>
        <w:t xml:space="preserve">    cagr = cumulative.iloc[-1] ** (1 / n_years) - 1</w:t>
      </w:r>
    </w:p>
    <w:p>
      <w:pPr>
        <w:keepLines/>
        <w:shd w:fill="F2F3F5" w:val="clear"/>
        <w:spacing w:after="0" w:before="0" w:line="250"/>
        <w:ind w:left="200" w:right="200"/>
      </w:pPr>
      <w:r>
        <w:rPr>
          <w:rFonts w:ascii="Courier New" w:cs="Courier New" w:eastAsia="Courier New" w:hAnsi="Courier New"/>
          <w:sz w:val="17"/>
          <w:szCs w:val="17"/>
        </w:rPr>
        <w:t xml:space="preserve">    vol_annual = returns.std() * np.sqrt(252)</w:t>
      </w:r>
    </w:p>
    <w:p>
      <w:pPr>
        <w:keepLines/>
        <w:shd w:fill="F2F3F5" w:val="clear"/>
        <w:spacing w:after="0" w:before="0" w:line="250"/>
        <w:ind w:left="200" w:right="200"/>
      </w:pPr>
      <w:r>
        <w:rPr>
          <w:rFonts w:ascii="Courier New" w:cs="Courier New" w:eastAsia="Courier New" w:hAnsi="Courier New"/>
          <w:sz w:val="17"/>
          <w:szCs w:val="17"/>
        </w:rPr>
        <w:t xml:space="preserve">    sharpe = (returns.mean() * 252) / vol_annual</w:t>
      </w:r>
    </w:p>
    <w:p>
      <w:pPr>
        <w:keepLines/>
        <w:shd w:fill="F2F3F5" w:val="clear"/>
        <w:spacing w:after="0" w:before="0" w:line="250"/>
        <w:ind w:left="200" w:right="200"/>
      </w:pPr>
      <w:r>
        <w:rPr>
          <w:rFonts w:ascii="Courier New" w:cs="Courier New" w:eastAsia="Courier New" w:hAnsi="Courier New"/>
          <w:sz w:val="17"/>
          <w:szCs w:val="17"/>
        </w:rPr>
        <w:t xml:space="preserve">    drawdown = cumulative / cumulative.cummax() - 1</w:t>
      </w:r>
    </w:p>
    <w:p>
      <w:pPr>
        <w:keepLines/>
        <w:shd w:fill="F2F3F5" w:val="clear"/>
        <w:spacing w:after="200" w:before="0" w:line="250"/>
        <w:ind w:left="200" w:right="200"/>
      </w:pPr>
      <w:r>
        <w:rPr>
          <w:rFonts w:ascii="Courier New" w:cs="Courier New" w:eastAsia="Courier New" w:hAnsi="Courier New"/>
          <w:sz w:val="17"/>
          <w:szCs w:val="17"/>
        </w:rPr>
        <w:t xml:space="preserve">    return cagr, vol_annual, sharpe, drawdown.min()</w:t>
      </w:r>
    </w:p>
    <w:p>
      <w:pPr>
        <w:pStyle w:val="Heading1"/>
        <w:keepNext/>
        <w:spacing w:after="160" w:before="320"/>
      </w:pPr>
      <w:r>
        <w:rPr>
          <w:rFonts w:ascii="Arial" w:cs="Arial" w:eastAsia="Arial" w:hAnsi="Arial"/>
          <w:color w:val="1F5FBF"/>
          <w:sz w:val="32"/>
          <w:szCs w:val="32"/>
        </w:rPr>
        <w:t xml:space="preserve">3. 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38"/>
        <w:gridCol w:w="1300"/>
        <w:gridCol w:w="1300"/>
        <w:gridCol w:w="1300"/>
        <w:gridCol w:w="1300"/>
        <w:gridCol w:w="1300"/>
        <w:gridCol w:w="1300"/>
      </w:tblGrid>
      <w:tr>
        <w:trPr>
          <w:cantSplit/>
          <w:tblHeader/>
        </w:trPr>
        <w:tc>
          <w:tcPr>
            <w:tcW w:type="dxa" w:w="1838"/>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left"/>
            </w:pPr>
            <w:r>
              <w:rPr>
                <w:rFonts w:ascii="Times New Roman" w:cs="Times New Roman" w:eastAsia="Times New Roman" w:hAnsi="Times New Roman"/>
                <w:b/>
                <w:bCs/>
                <w:color w:val="FFFFFF"/>
                <w:sz w:val="19"/>
                <w:szCs w:val="19"/>
              </w:rPr>
              <w:t xml:space="preserve"/>
            </w:r>
          </w:p>
        </w:tc>
        <w:tc>
          <w:tcPr>
            <w:tcW w:type="dxa" w:w="1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CAGR stratégie</w:t>
            </w:r>
          </w:p>
        </w:tc>
        <w:tc>
          <w:tcPr>
            <w:tcW w:type="dxa" w:w="1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CAGR buy &amp; hold</w:t>
            </w:r>
          </w:p>
        </w:tc>
        <w:tc>
          <w:tcPr>
            <w:tcW w:type="dxa" w:w="1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Sharpe stratégie</w:t>
            </w:r>
          </w:p>
        </w:tc>
        <w:tc>
          <w:tcPr>
            <w:tcW w:type="dxa" w:w="1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Sharpe buy &amp; hold</w:t>
            </w:r>
          </w:p>
        </w:tc>
        <w:tc>
          <w:tcPr>
            <w:tcW w:type="dxa" w:w="1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Max DD stratégie</w:t>
            </w:r>
          </w:p>
        </w:tc>
        <w:tc>
          <w:tcPr>
            <w:tcW w:type="dxa" w:w="1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Max DD buy &amp; hold</w:t>
            </w:r>
          </w:p>
        </w:tc>
      </w:tr>
      <w:tr>
        <w:trPr>
          <w:cantSplit/>
        </w:trPr>
        <w:tc>
          <w:tcPr>
            <w:tcW w:type="dxa" w:w="18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LVMH</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-2,33 %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2,40 %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0,00</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0,23</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-60,40 %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-52,61 %</w:t>
            </w:r>
          </w:p>
        </w:tc>
      </w:tr>
      <w:tr>
        <w:trPr>
          <w:cantSplit/>
        </w:trPr>
        <w:tc>
          <w:tcPr>
            <w:tcW w:type="dxa" w:w="18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TotalEnergies</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11,43 %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14,59 %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0,63</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0,61</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-27,04 %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-56,79 %</w:t>
            </w:r>
          </w:p>
        </w:tc>
      </w:tr>
      <w:tr>
        <w:trPr>
          <w:cantSplit/>
        </w:trPr>
        <w:tc>
          <w:tcPr>
            <w:tcW w:type="dxa" w:w="18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Sanofi</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-0,79 %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2,21 %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0,05</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0,21</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-29,83 %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-27,80 %</w:t>
            </w:r>
          </w:p>
        </w:tc>
      </w:tr>
      <w:tr>
        <w:trPr>
          <w:cantSplit/>
        </w:trPr>
        <w:tc>
          <w:tcPr>
            <w:tcW w:type="dxa" w:w="18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1F5FBF"/>
                <w:sz w:val="19"/>
                <w:szCs w:val="19"/>
              </w:rPr>
              <w:t xml:space="preserve">Portefeuille</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bCs/>
                <w:color w:val="000000"/>
                <w:sz w:val="19"/>
                <w:szCs w:val="19"/>
              </w:rPr>
              <w:t xml:space="preserve">3,76 %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bCs/>
                <w:color w:val="000000"/>
                <w:sz w:val="19"/>
                <w:szCs w:val="19"/>
              </w:rPr>
              <w:t xml:space="preserve">8,26 %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bCs/>
                <w:color w:val="000000"/>
                <w:sz w:val="19"/>
                <w:szCs w:val="19"/>
              </w:rPr>
              <w:t xml:space="preserve">0,34</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bCs/>
                <w:color w:val="000000"/>
                <w:sz w:val="19"/>
                <w:szCs w:val="19"/>
              </w:rPr>
              <w:t xml:space="preserve">0,50</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bCs/>
                <w:color w:val="000000"/>
                <w:sz w:val="19"/>
                <w:szCs w:val="19"/>
              </w:rPr>
              <w:t xml:space="preserve">-26,29 %</w:t>
            </w:r>
          </w:p>
        </w:tc>
        <w:tc>
          <w:tcPr>
            <w:tcW w:type="dxa" w:w="1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bCs/>
                <w:color w:val="000000"/>
                <w:sz w:val="19"/>
                <w:szCs w:val="19"/>
              </w:rPr>
              <w:t xml:space="preserve">-37,17 %</w:t>
            </w:r>
          </w:p>
        </w:tc>
      </w:tr>
    </w:tbl>
    <w:p>
      <w:pPr>
        <w:spacing w:after="120"/>
      </w:pPr>
    </w:p>
    <w:p>
      <w:pPr>
        <w:spacing w:after="140" w:line="276"/>
      </w:pPr>
      <w:r>
        <w:rPr>
          <w:rFonts w:ascii="Times New Roman" w:cs="Times New Roman" w:eastAsia="Times New Roman" w:hAnsi="Times New Roman"/>
          <w:b/>
          <w:bCs/>
          <w:sz w:val="22"/>
          <w:szCs w:val="22"/>
        </w:rPr>
        <w:t xml:space="preserve">Résultat :</w:t>
      </w:r>
      <w:r>
        <w:rPr>
          <w:rFonts w:ascii="Times New Roman" w:cs="Times New Roman" w:eastAsia="Times New Roman" w:hAnsi="Times New Roman"/>
          <w:sz w:val="22"/>
          <w:szCs w:val="22"/>
        </w:rPr>
        <w:t xml:space="preserve"> sur ce panier, la stratégie ne bat pas le buy &amp; hold, ni en rendement (3,76 % contre 8,26 % par an), ni en rendement ajusté du risque (Sharpe 0,34 contre 0,50). Elle réduit la volatilité (13,6 % contre 19,8 %) et le drawdown maximal (-26 % contre -37 %), mais le rendement abandonné est trop important.</w:t>
      </w:r>
    </w:p>
    <w:p>
      <w:pPr>
        <w:pStyle w:val="ListParagraph"/>
        <w:numPr>
          <w:ilvl w:val="0"/>
          <w:numId w:val="2"/>
        </w:numPr>
        <w:spacing w:after="90" w:line="276"/>
      </w:pPr>
      <w:r>
        <w:rPr>
          <w:rFonts w:ascii="Times New Roman" w:cs="Times New Roman" w:eastAsia="Times New Roman" w:hAnsi="Times New Roman"/>
          <w:b/>
          <w:bCs/>
          <w:sz w:val="22"/>
          <w:szCs w:val="22"/>
        </w:rPr>
        <w:t xml:space="preserve">TotalEnergies :</w:t>
      </w:r>
      <w:r>
        <w:rPr>
          <w:rFonts w:ascii="Times New Roman" w:cs="Times New Roman" w:eastAsia="Times New Roman" w:hAnsi="Times New Roman"/>
          <w:sz w:val="22"/>
          <w:szCs w:val="22"/>
        </w:rPr>
        <w:t xml:space="preserve"> la stratégie divise le drawdown par deux pour un Sharpe équivalent, avec un rendement inférieur.</w:t>
      </w:r>
    </w:p>
    <w:p>
      <w:pPr>
        <w:pStyle w:val="ListParagraph"/>
        <w:numPr>
          <w:ilvl w:val="0"/>
          <w:numId w:val="2"/>
        </w:numPr>
        <w:spacing w:after="90" w:line="276"/>
      </w:pPr>
      <w:r>
        <w:rPr>
          <w:rFonts w:ascii="Times New Roman" w:cs="Times New Roman" w:eastAsia="Times New Roman" w:hAnsi="Times New Roman"/>
          <w:b/>
          <w:bCs/>
          <w:sz w:val="22"/>
          <w:szCs w:val="22"/>
        </w:rPr>
        <w:t xml:space="preserve">LVMH :</w:t>
      </w:r>
      <w:r>
        <w:rPr>
          <w:rFonts w:ascii="Times New Roman" w:cs="Times New Roman" w:eastAsia="Times New Roman" w:hAnsi="Times New Roman"/>
          <w:sz w:val="22"/>
          <w:szCs w:val="22"/>
        </w:rPr>
        <w:t xml:space="preserve"> la stratégie perd de l'argent, et son drawdown est plus profond que celui du buy &amp; hold. Ce drawdown va d'avril 2023 à mars 2026 : il ne vient pas du krach Covid mais de la longue baisse du titre, pendant laquelle la stratégie est rentrée plusieurs fois à contretemps.</w:t>
      </w:r>
    </w:p>
    <w:p>
      <w:pPr>
        <w:pStyle w:val="ListParagraph"/>
        <w:numPr>
          <w:ilvl w:val="0"/>
          <w:numId w:val="2"/>
        </w:numPr>
        <w:spacing w:after="90" w:line="276"/>
      </w:pPr>
      <w:r>
        <w:rPr>
          <w:rFonts w:ascii="Times New Roman" w:cs="Times New Roman" w:eastAsia="Times New Roman" w:hAnsi="Times New Roman"/>
          <w:b/>
          <w:bCs/>
          <w:sz w:val="22"/>
          <w:szCs w:val="22"/>
        </w:rPr>
        <w:t xml:space="preserve">Sanofi :</w:t>
      </w:r>
      <w:r>
        <w:rPr>
          <w:rFonts w:ascii="Times New Roman" w:cs="Times New Roman" w:eastAsia="Times New Roman" w:hAnsi="Times New Roman"/>
          <w:sz w:val="22"/>
          <w:szCs w:val="22"/>
        </w:rPr>
        <w:t xml:space="preserve"> rendement légèrement négatif et drawdown comparable. Le titre évolue sans tendance durable, ce qui multiplie les faux signaux.</w:t>
      </w:r>
    </w:p>
    <w:p>
      <w:pPr>
        <w:spacing w:after="60" w:before="12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448175"/>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19"/>
          <w:szCs w:val="19"/>
        </w:rPr>
        <w:t xml:space="preserve">Capital cumulé par action — stratégie et buy &amp; hold (échelle logarithmique)</w:t>
      </w:r>
    </w:p>
    <w:p>
      <w:pPr>
        <w:pStyle w:val="Heading1"/>
        <w:keepNext/>
        <w:spacing w:after="160" w:before="320"/>
      </w:pPr>
      <w:r>
        <w:rPr>
          <w:rFonts w:ascii="Arial" w:cs="Arial" w:eastAsia="Arial" w:hAnsi="Arial"/>
          <w:color w:val="1F5FBF"/>
          <w:sz w:val="32"/>
          <w:szCs w:val="32"/>
        </w:rPr>
        <w:t xml:space="preserve">4. D'où vient l'écart : décomposition par année</w:t>
      </w:r>
    </w:p>
    <w:p>
      <w:pPr>
        <w:spacing w:after="140" w:line="276"/>
      </w:pPr>
      <w:r>
        <w:rPr>
          <w:rFonts w:ascii="Times New Roman" w:cs="Times New Roman" w:eastAsia="Times New Roman" w:hAnsi="Times New Roman"/>
          <w:sz w:val="22"/>
          <w:szCs w:val="22"/>
        </w:rPr>
        <w:t xml:space="preserve">La performance globale ne dit pas quand la stratégie perd du terrain. Le tableau ci-dessous donne, pour le portefeuille, la performance de chaque année civile et la part moyenne investie.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1800"/>
        <w:gridCol w:w="1800"/>
        <w:gridCol w:w="1800"/>
        <w:gridCol w:w="1800"/>
      </w:tblGrid>
      <w:tr>
        <w:trPr>
          <w:cantSplit/>
          <w:tblHeader/>
        </w:trPr>
        <w:tc>
          <w:tcPr>
            <w:tcW w:type="dxa" w:w="2438"/>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left"/>
            </w:pPr>
            <w:r>
              <w:rPr>
                <w:rFonts w:ascii="Times New Roman" w:cs="Times New Roman" w:eastAsia="Times New Roman" w:hAnsi="Times New Roman"/>
                <w:b/>
                <w:bCs/>
                <w:color w:val="FFFFFF"/>
                <w:sz w:val="19"/>
                <w:szCs w:val="19"/>
              </w:rPr>
              <w:t xml:space="preserve">Année</w:t>
            </w:r>
          </w:p>
        </w:tc>
        <w:tc>
          <w:tcPr>
            <w:tcW w:type="dxa" w:w="18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Stratégie</w:t>
            </w:r>
          </w:p>
        </w:tc>
        <w:tc>
          <w:tcPr>
            <w:tcW w:type="dxa" w:w="18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Buy &amp; hold</w:t>
            </w:r>
          </w:p>
        </w:tc>
        <w:tc>
          <w:tcPr>
            <w:tcW w:type="dxa" w:w="18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Écart</w:t>
            </w:r>
          </w:p>
        </w:tc>
        <w:tc>
          <w:tcPr>
            <w:tcW w:type="dxa" w:w="18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Part investie</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2019 (dès le 14/10)</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+6,6 %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+8,6 %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-2,0 pts</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86 %</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2020</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-5,5 %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-4,0 pts</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55 %</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2021</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+27,4 %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+33,2 %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-5,8 pts</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89 %</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2022</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+9,1 %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+15,3 %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-6,2 pts</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74 %</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2023</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+3,6 %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+9,9 %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-6,3 pts</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76 %</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2024</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-1,2 %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-3,0 %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+1,8 pt</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53 %</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2025</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-9,9 %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+4,2 %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-14,1 pts</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24 %</w:t>
            </w:r>
          </w:p>
        </w:tc>
      </w:tr>
      <w:tr>
        <w:trPr>
          <w:cantSplit/>
        </w:trPr>
        <w:tc>
          <w:tcPr>
            <w:tcW w:type="dxa" w:w="24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2026 (au 25/09)</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+0,6 %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-3,9 %</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+4,5 pts</w:t>
            </w:r>
          </w:p>
        </w:tc>
        <w:tc>
          <w:tcPr>
            <w:tcW w:type="dxa" w:w="18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46 %</w:t>
            </w:r>
          </w:p>
        </w:tc>
      </w:tr>
    </w:tbl>
    <w:p>
      <w:pPr>
        <w:spacing w:after="120"/>
      </w:pPr>
    </w:p>
    <w:p>
      <w:pPr>
        <w:pStyle w:val="ListParagraph"/>
        <w:numPr>
          <w:ilvl w:val="0"/>
          <w:numId w:val="2"/>
        </w:numPr>
        <w:spacing w:after="90" w:line="276"/>
      </w:pPr>
      <w:r>
        <w:rPr>
          <w:rFonts w:ascii="Times New Roman" w:cs="Times New Roman" w:eastAsia="Times New Roman" w:hAnsi="Times New Roman"/>
          <w:b/>
          <w:bCs/>
          <w:sz w:val="22"/>
          <w:szCs w:val="22"/>
        </w:rPr>
        <w:t xml:space="preserve">2025 est l'année la plus coûteuse</w:t>
      </w:r>
      <w:r>
        <w:rPr>
          <w:rFonts w:ascii="Times New Roman" w:cs="Times New Roman" w:eastAsia="Times New Roman" w:hAnsi="Times New Roman"/>
          <w:sz w:val="22"/>
          <w:szCs w:val="22"/>
        </w:rPr>
        <w:t xml:space="preserve"> (-14 points). La stratégie est en cash pendant la hausse de janvier, rentre en février-mars juste avant la baisse de mars-avril, ressort, puis reste en cash de juin à octobre pendant le rebond. C'est le cas d'école du faux signal (whipsaw).</w:t>
      </w:r>
    </w:p>
    <w:p>
      <w:pPr>
        <w:pStyle w:val="ListParagraph"/>
        <w:numPr>
          <w:ilvl w:val="0"/>
          <w:numId w:val="2"/>
        </w:numPr>
        <w:spacing w:after="90" w:line="276"/>
      </w:pPr>
      <w:r>
        <w:rPr>
          <w:rFonts w:ascii="Times New Roman" w:cs="Times New Roman" w:eastAsia="Times New Roman" w:hAnsi="Times New Roman"/>
          <w:b/>
          <w:bCs/>
          <w:sz w:val="22"/>
          <w:szCs w:val="22"/>
        </w:rPr>
        <w:t xml:space="preserve">2021 à 2023 coûtent environ 6 points par an.</w:t>
      </w:r>
      <w:r>
        <w:rPr>
          <w:rFonts w:ascii="Times New Roman" w:cs="Times New Roman" w:eastAsia="Times New Roman" w:hAnsi="Times New Roman"/>
          <w:sz w:val="22"/>
          <w:szCs w:val="22"/>
        </w:rPr>
        <w:t xml:space="preserve"> Le marché monte et la stratégie n'est investie qu'à 74-89 % : chaque période en cash fait manquer une partie de la hausse.</w:t>
      </w:r>
    </w:p>
    <w:p>
      <w:pPr>
        <w:pStyle w:val="ListParagraph"/>
        <w:numPr>
          <w:ilvl w:val="0"/>
          <w:numId w:val="2"/>
        </w:numPr>
        <w:spacing w:after="90" w:line="276"/>
      </w:pPr>
      <w:r>
        <w:rPr>
          <w:rFonts w:ascii="Times New Roman" w:cs="Times New Roman" w:eastAsia="Times New Roman" w:hAnsi="Times New Roman"/>
          <w:b/>
          <w:bCs/>
          <w:sz w:val="22"/>
          <w:szCs w:val="22"/>
        </w:rPr>
        <w:t xml:space="preserve">2024 et 2026 sont favorables à la stratégie</w:t>
      </w:r>
      <w:r>
        <w:rPr>
          <w:rFonts w:ascii="Times New Roman" w:cs="Times New Roman" w:eastAsia="Times New Roman" w:hAnsi="Times New Roman"/>
          <w:sz w:val="22"/>
          <w:szCs w:val="22"/>
        </w:rPr>
        <w:t xml:space="preserve"> : ce sont des années de baisse du buy &amp; hold, où être partiellement en cash aide.</w:t>
      </w:r>
    </w:p>
    <w:p>
      <w:pPr>
        <w:pStyle w:val="Heading2"/>
        <w:keepNext/>
        <w:spacing w:after="120" w:before="220"/>
      </w:pPr>
      <w:r>
        <w:rPr>
          <w:rFonts w:ascii="Arial" w:cs="Arial" w:eastAsia="Arial" w:hAnsi="Arial"/>
          <w:color w:val="1F5FBF"/>
          <w:sz w:val="25"/>
          <w:szCs w:val="25"/>
        </w:rPr>
        <w:t xml:space="preserve">4.1 Nombre de transactions et frais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2300"/>
        <w:gridCol w:w="2300"/>
        <w:gridCol w:w="2300"/>
      </w:tblGrid>
      <w:tr>
        <w:trPr>
          <w:cantSplit/>
          <w:tblHeader/>
        </w:trPr>
        <w:tc>
          <w:tcPr>
            <w:tcW w:type="dxa" w:w="2738"/>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left"/>
            </w:pPr>
            <w:r>
              <w:rPr>
                <w:rFonts w:ascii="Times New Roman" w:cs="Times New Roman" w:eastAsia="Times New Roman" w:hAnsi="Times New Roman"/>
                <w:b/>
                <w:bCs/>
                <w:color w:val="FFFFFF"/>
                <w:sz w:val="19"/>
                <w:szCs w:val="19"/>
              </w:rPr>
              <w:t xml:space="preserve"/>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Changements de position</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Part du temps investie</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Part du temps en cash</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LVMH</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11</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58 %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42 %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TotalEnergies</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68 %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32 %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Sanofi</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12</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57 %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43 %</w:t>
            </w:r>
          </w:p>
        </w:tc>
      </w:tr>
    </w:tbl>
    <w:p>
      <w:pPr>
        <w:spacing w:after="120"/>
      </w:pPr>
    </w:p>
    <w:p>
      <w:pPr>
        <w:spacing w:after="140" w:line="276"/>
      </w:pPr>
      <w:r>
        <w:rPr>
          <w:rFonts w:ascii="Times New Roman" w:cs="Times New Roman" w:eastAsia="Times New Roman" w:hAnsi="Times New Roman"/>
          <w:sz w:val="22"/>
          <w:szCs w:val="22"/>
        </w:rPr>
        <w:t xml:space="preserve">La stratégie trade très peu : 7 à 12 changements de position par action en sept ans. Deux conséquences. D'une part, l'échantillon est trop petit pour conclure statistiquement sur la règle elle-même. D'autre part, les frais de transaction ne changent pas le résultat : avec 0,1 % par transaction, le rendement annuel du portefeuille passe de 3,76 % à 3,62 %.</w:t>
      </w:r>
    </w:p>
    <w:p>
      <w:pPr>
        <w:pStyle w:val="Heading1"/>
        <w:keepNext/>
        <w:spacing w:after="160" w:before="320"/>
      </w:pPr>
      <w:r>
        <w:rPr>
          <w:rFonts w:ascii="Arial" w:cs="Arial" w:eastAsia="Arial" w:hAnsi="Arial"/>
          <w:color w:val="1F5FBF"/>
          <w:sz w:val="32"/>
          <w:szCs w:val="32"/>
        </w:rPr>
        <w:t xml:space="preserve">5. Le cas du krach Covid</w:t>
      </w:r>
    </w:p>
    <w:p>
      <w:pPr>
        <w:spacing w:after="140" w:line="276"/>
      </w:pPr>
      <w:r>
        <w:rPr>
          <w:rFonts w:ascii="Times New Roman" w:cs="Times New Roman" w:eastAsia="Times New Roman" w:hAnsi="Times New Roman"/>
          <w:sz w:val="22"/>
          <w:szCs w:val="22"/>
        </w:rPr>
        <w:t xml:space="preserve">On isole la période novembre 2019 - décembre 2020 et on rebase les deux courbes à 1 au début de la fenêtre. Le graphique du bas montre la part du portefeuille investie (moyenne des trois positions).</w:t>
      </w:r>
    </w:p>
    <w:p>
      <w:pPr>
        <w:spacing w:after="60" w:before="120"/>
        <w:jc w:val="center"/>
      </w:pPr>
      <w:r>
        <w:drawing>
          <wp:inline distT="0" distB="0" distL="0" distR="0">
            <wp:extent cx="3619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419350"/>
                    </a:xfrm>
                    <a:prstGeom prst="rect">
                      <a:avLst/>
                    </a:prstGeom>
                  </pic:spPr>
                </pic:pic>
              </a:graphicData>
            </a:graphic>
          </wp:inline>
        </w:drawing>
      </w:r>
    </w:p>
    <w:p>
      <w:pPr>
        <w:spacing w:after="200"/>
        <w:jc w:val="center"/>
      </w:pPr>
      <w:r>
        <w:rPr>
          <w:rFonts w:ascii="Times New Roman" w:cs="Times New Roman" w:eastAsia="Times New Roman" w:hAnsi="Times New Roman"/>
          <w:i/>
          <w:iCs/>
          <w:color w:val="666666"/>
          <w:sz w:val="19"/>
          <w:szCs w:val="19"/>
        </w:rPr>
        <w:t xml:space="preserve">Zoom sur le krach Covid — capital rebasé à 1, et part du portefeuille investie</w:t>
      </w:r>
    </w:p>
    <w:p>
      <w:pPr>
        <w:spacing w:after="140" w:line="276"/>
      </w:pPr>
      <w:r>
        <w:rPr>
          <w:rFonts w:ascii="Times New Roman" w:cs="Times New Roman" w:eastAsia="Times New Roman" w:hAnsi="Times New Roman"/>
          <w:sz w:val="22"/>
          <w:szCs w:val="22"/>
        </w:rPr>
        <w:t xml:space="preserve">Pendant le krach, la stratégie protège : sa pire baisse sur la fenêtre est de -24 %, contre -37 % pour le buy &amp; hold, parce qu'elle a commencé à réduire son exposition début mars. En contrepartie, elle se réinvestit lentement : la part investie reste à un tiers ou moins jusqu'à la mi-juillet, et elle n'est encore que d'un tiers lors du rebond de novembre 2020. Sur l'ensemble de la fenêtre, elle finit à -0,1 % contre +5,1 %.</w:t>
      </w:r>
    </w:p>
    <w:p>
      <w:pPr>
        <w:spacing w:after="140" w:line="276"/>
      </w:pPr>
      <w:r>
        <w:rPr>
          <w:rFonts w:ascii="Times New Roman" w:cs="Times New Roman" w:eastAsia="Times New Roman" w:hAnsi="Times New Roman"/>
          <w:sz w:val="22"/>
          <w:szCs w:val="22"/>
        </w:rPr>
        <w:t xml:space="preserve">Le krach Covid illustre donc le compromis de la stratégie (moins de baisse, moins de rebond), mais il n'explique qu'une petite partie de l'écart total : 2025 et les années de hausse 2021-2023 pèsent davantage.</w:t>
      </w:r>
    </w:p>
    <w:p>
      <w:pPr>
        <w:spacing w:after="140" w:line="276"/>
      </w:pPr>
      <w:r>
        <w:rPr>
          <w:rFonts w:ascii="Times New Roman" w:cs="Times New Roman" w:eastAsia="Times New Roman" w:hAnsi="Times New Roman"/>
          <w:b/>
          <w:bCs/>
          <w:sz w:val="22"/>
          <w:szCs w:val="22"/>
        </w:rPr>
        <w:t xml:space="preserve">Référence.</w:t>
      </w:r>
      <w:r>
        <w:rPr>
          <w:rFonts w:ascii="Times New Roman" w:cs="Times New Roman" w:eastAsia="Times New Roman" w:hAnsi="Times New Roman"/>
          <w:sz w:val="22"/>
          <w:szCs w:val="22"/>
        </w:rPr>
        <w:t xml:space="preserve"> Faber (2007), « A Quantitative Approach to Tactical Asset Allocation », applique une règle voisine (rester investi quand le prix est au-dessus de sa moyenne mobile 10 mois) à cinq classes d'actifs, et rapporte un rendement comparable au buy &amp; hold avec une volatilité et un drawdown réduits. Ici, la réduction du risque est retrouvée, mais pas le maintien du rendement. Une explication possible est la différence de périmètre : trois actions individuelles au lieu d'indices diversifiés, où les faux signaux d'un titre ne sont pas compensés par les autres.</w:t>
      </w:r>
    </w:p>
    <w:p>
      <w:pPr>
        <w:pStyle w:val="Heading1"/>
        <w:keepNext/>
        <w:spacing w:after="160" w:before="320"/>
      </w:pPr>
      <w:r>
        <w:rPr>
          <w:rFonts w:ascii="Arial" w:cs="Arial" w:eastAsia="Arial" w:hAnsi="Arial"/>
          <w:color w:val="1F5FBF"/>
          <w:sz w:val="32"/>
          <w:szCs w:val="32"/>
        </w:rPr>
        <w:t xml:space="preserve">6. Limites et pistes d'amélioration</w:t>
      </w:r>
    </w:p>
    <w:p>
      <w:pPr>
        <w:pStyle w:val="ListParagraph"/>
        <w:numPr>
          <w:ilvl w:val="0"/>
          <w:numId w:val="2"/>
        </w:numPr>
        <w:spacing w:after="90" w:line="276"/>
      </w:pPr>
      <w:r>
        <w:rPr>
          <w:rFonts w:ascii="Times New Roman" w:cs="Times New Roman" w:eastAsia="Times New Roman" w:hAnsi="Times New Roman"/>
          <w:b/>
          <w:bCs/>
          <w:sz w:val="22"/>
          <w:szCs w:val="22"/>
        </w:rPr>
        <w:t xml:space="preserve">Échantillon très petit :</w:t>
      </w:r>
      <w:r>
        <w:rPr>
          <w:rFonts w:ascii="Times New Roman" w:cs="Times New Roman" w:eastAsia="Times New Roman" w:hAnsi="Times New Roman"/>
          <w:sz w:val="22"/>
          <w:szCs w:val="22"/>
        </w:rPr>
        <w:t xml:space="preserve"> 7 à 12 changements de position par action, une seule période, trois titres. Le résultat décrit ce qui s'est passé ; il ne permet pas de conclure statistiquement sur la règle.</w:t>
      </w:r>
    </w:p>
    <w:p>
      <w:pPr>
        <w:pStyle w:val="ListParagraph"/>
        <w:numPr>
          <w:ilvl w:val="0"/>
          <w:numId w:val="2"/>
        </w:numPr>
        <w:spacing w:after="90" w:line="276"/>
      </w:pPr>
      <w:r>
        <w:rPr>
          <w:rFonts w:ascii="Times New Roman" w:cs="Times New Roman" w:eastAsia="Times New Roman" w:hAnsi="Times New Roman"/>
          <w:b/>
          <w:bCs/>
          <w:sz w:val="22"/>
          <w:szCs w:val="22"/>
        </w:rPr>
        <w:t xml:space="preserve">Trois actions seulement :</w:t>
      </w:r>
      <w:r>
        <w:rPr>
          <w:rFonts w:ascii="Times New Roman" w:cs="Times New Roman" w:eastAsia="Times New Roman" w:hAnsi="Times New Roman"/>
          <w:sz w:val="22"/>
          <w:szCs w:val="22"/>
        </w:rPr>
        <w:t xml:space="preserve"> le résultat dépend fortement de LVMH, un tiers du portefeuille. Un panier plus large ou un indice lisserait les faux signaux individuels.</w:t>
      </w:r>
    </w:p>
    <w:p>
      <w:pPr>
        <w:pStyle w:val="ListParagraph"/>
        <w:numPr>
          <w:ilvl w:val="0"/>
          <w:numId w:val="2"/>
        </w:numPr>
        <w:spacing w:after="90" w:line="276"/>
      </w:pPr>
      <w:r>
        <w:rPr>
          <w:rFonts w:ascii="Times New Roman" w:cs="Times New Roman" w:eastAsia="Times New Roman" w:hAnsi="Times New Roman"/>
          <w:b/>
          <w:bCs/>
          <w:sz w:val="22"/>
          <w:szCs w:val="22"/>
        </w:rPr>
        <w:t xml:space="preserve">Cash rémunéré à 0 % :</w:t>
      </w:r>
      <w:r>
        <w:rPr>
          <w:rFonts w:ascii="Times New Roman" w:cs="Times New Roman" w:eastAsia="Times New Roman" w:hAnsi="Times New Roman"/>
          <w:sz w:val="22"/>
          <w:szCs w:val="22"/>
        </w:rPr>
        <w:t xml:space="preserve"> un taux sans risque réel améliorerait la stratégie, en cash 39 % du temps en moyenne.</w:t>
      </w:r>
    </w:p>
    <w:p>
      <w:pPr>
        <w:pStyle w:val="ListParagraph"/>
        <w:numPr>
          <w:ilvl w:val="0"/>
          <w:numId w:val="2"/>
        </w:numPr>
        <w:spacing w:after="90" w:line="276"/>
      </w:pPr>
      <w:r>
        <w:rPr>
          <w:rFonts w:ascii="Times New Roman" w:cs="Times New Roman" w:eastAsia="Times New Roman" w:hAnsi="Times New Roman"/>
          <w:b/>
          <w:bCs/>
          <w:sz w:val="22"/>
          <w:szCs w:val="22"/>
        </w:rPr>
        <w:t xml:space="preserve">Frais :</w:t>
      </w:r>
      <w:r>
        <w:rPr>
          <w:rFonts w:ascii="Times New Roman" w:cs="Times New Roman" w:eastAsia="Times New Roman" w:hAnsi="Times New Roman"/>
          <w:sz w:val="22"/>
          <w:szCs w:val="22"/>
        </w:rPr>
        <w:t xml:space="preserve"> testés à 0,1 % par transaction, effet négligeable. La fiscalité et l'écart achat-vente ne sont pas modélisés.</w:t>
      </w:r>
    </w:p>
    <w:p>
      <w:pPr>
        <w:pStyle w:val="ListParagraph"/>
        <w:numPr>
          <w:ilvl w:val="0"/>
          <w:numId w:val="2"/>
        </w:numPr>
        <w:spacing w:after="90" w:line="276"/>
      </w:pPr>
      <w:r>
        <w:rPr>
          <w:rFonts w:ascii="Times New Roman" w:cs="Times New Roman" w:eastAsia="Times New Roman" w:hAnsi="Times New Roman"/>
          <w:b/>
          <w:bCs/>
          <w:sz w:val="22"/>
          <w:szCs w:val="22"/>
        </w:rPr>
        <w:t xml:space="preserve">Paramètres 50/200 non optimisés,</w:t>
      </w:r>
      <w:r>
        <w:rPr>
          <w:rFonts w:ascii="Times New Roman" w:cs="Times New Roman" w:eastAsia="Times New Roman" w:hAnsi="Times New Roman"/>
          <w:sz w:val="22"/>
          <w:szCs w:val="22"/>
        </w:rPr>
        <w:t xml:space="preserve"> volontairement, pour éviter le sur-ajustement. Un autre réglage, ou un filtre de confirmation du signal, pourrait donner un résultat différent sur cette période.</w:t>
      </w:r>
    </w:p>
    <w:p>
      <w:pPr>
        <w:pStyle w:val="ListParagraph"/>
        <w:numPr>
          <w:ilvl w:val="0"/>
          <w:numId w:val="2"/>
        </w:numPr>
        <w:spacing w:after="90" w:line="276"/>
      </w:pPr>
      <w:r>
        <w:rPr>
          <w:rFonts w:ascii="Times New Roman" w:cs="Times New Roman" w:eastAsia="Times New Roman" w:hAnsi="Times New Roman"/>
          <w:b/>
          <w:bCs/>
          <w:sz w:val="22"/>
          <w:szCs w:val="22"/>
        </w:rPr>
        <w:t xml:space="preserve">Rééquilibrage quotidien à poids égaux</w:t>
      </w:r>
      <w:r>
        <w:rPr>
          <w:rFonts w:ascii="Times New Roman" w:cs="Times New Roman" w:eastAsia="Times New Roman" w:hAnsi="Times New Roman"/>
          <w:sz w:val="22"/>
          <w:szCs w:val="22"/>
        </w:rPr>
        <w:t xml:space="preserve"> supposé, une simplification par rapport à un portefeuille réel.</w:t>
      </w:r>
    </w:p>
    <w:p>
      <w:pPr>
        <w:pStyle w:val="Heading1"/>
        <w:keepNext/>
        <w:spacing w:after="160" w:before="320"/>
      </w:pPr>
      <w:r>
        <w:rPr>
          <w:rFonts w:ascii="Arial" w:cs="Arial" w:eastAsia="Arial" w:hAnsi="Arial"/>
          <w:color w:val="1F5FBF"/>
          <w:sz w:val="32"/>
          <w:szCs w:val="32"/>
        </w:rPr>
        <w:t xml:space="preserve">7. Conclusion</w:t>
      </w:r>
    </w:p>
    <w:p>
      <w:pPr>
        <w:spacing w:after="140" w:line="276"/>
      </w:pPr>
      <w:r>
        <w:rPr>
          <w:rFonts w:ascii="Times New Roman" w:cs="Times New Roman" w:eastAsia="Times New Roman" w:hAnsi="Times New Roman"/>
          <w:sz w:val="22"/>
          <w:szCs w:val="22"/>
        </w:rPr>
        <w:t xml:space="preserve">Sur trois valeurs du CAC 40 et sept ans, le croisement de moyennes mobiles 50/200 réduit le risque mais ne bat pas le buy &amp; hold : 3,76 % par an contre 8,26 %, Sharpe 0,34 contre 0,50. La stratégie protège dans les chutes franches, comme le krach Covid, mais elle coûte en marché haussier, où elle n'est jamais totalement investie, et en marché sans tendance, où elle se fait piéger par des faux signaux.</w:t>
      </w:r>
    </w:p>
    <w:p>
      <w:pPr>
        <w:spacing w:after="140" w:line="276"/>
      </w:pPr>
      <w:r>
        <w:rPr>
          <w:rFonts w:ascii="Times New Roman" w:cs="Times New Roman" w:eastAsia="Times New Roman" w:hAnsi="Times New Roman"/>
          <w:sz w:val="22"/>
          <w:szCs w:val="22"/>
        </w:rPr>
        <w:t xml:space="preserve">Le projet couvre l'implémentation d'un backtest sans biais d'anticipation, la comparaison sur une période commune, les indicateurs standards (CAGR, volatilité, Sharpe, drawdown) et la décomposition d'un résultat négatif par année pour en identifier les causes. Le notebook exécutable est fourni avec ce document.</w:t>
      </w:r>
    </w:p>
    <w:p>
      <w:pPr>
        <w:pStyle w:val="Heading1"/>
        <w:pageBreakBefore/>
        <w:spacing w:after="160"/>
      </w:pPr>
      <w:r>
        <w:rPr>
          <w:rFonts w:ascii="Arial" w:cs="Arial" w:eastAsia="Arial" w:hAnsi="Arial"/>
          <w:color w:val="1F5FBF"/>
          <w:sz w:val="32"/>
          <w:szCs w:val="32"/>
        </w:rPr>
        <w:t xml:space="preserve">Annexe A — Données utilisées</w:t>
      </w:r>
    </w:p>
    <w:p>
      <w:pPr>
        <w:pStyle w:val="Heading2"/>
        <w:keepNext/>
        <w:spacing w:after="120" w:before="220"/>
      </w:pPr>
      <w:r>
        <w:rPr>
          <w:rFonts w:ascii="Arial" w:cs="Arial" w:eastAsia="Arial" w:hAnsi="Arial"/>
          <w:color w:val="1F5FBF"/>
          <w:sz w:val="25"/>
          <w:szCs w:val="25"/>
        </w:rPr>
        <w:t xml:space="preserve">A.1 Source et périmètre</w:t>
      </w:r>
    </w:p>
    <w:p>
      <w:pPr>
        <w:spacing w:after="140" w:line="276"/>
      </w:pPr>
      <w:r>
        <w:rPr>
          <w:rFonts w:ascii="Times New Roman" w:cs="Times New Roman" w:eastAsia="Times New Roman" w:hAnsi="Times New Roman"/>
          <w:sz w:val="22"/>
          <w:szCs w:val="22"/>
        </w:rPr>
        <w:t xml:space="preserve">Prix de clôture ajustés des dividendes et des splits, récupérés via Yahoo Finance (librairie Python yfinance) pour MC.PA (LVMH), TTE.PA (TotalEnergies) et SAN.PA (Sanofi), du 2 janvier 2019 au 25 septembre 2026. La période d'évaluation va du 14 octobre 2019 au 25 septembre 2026 (1 782 rendements journaliers).</w:t>
      </w:r>
    </w:p>
    <w:p>
      <w:pPr>
        <w:pStyle w:val="Heading2"/>
        <w:keepNext/>
        <w:spacing w:after="120" w:before="220"/>
      </w:pPr>
      <w:r>
        <w:rPr>
          <w:rFonts w:ascii="Arial" w:cs="Arial" w:eastAsia="Arial" w:hAnsi="Arial"/>
          <w:color w:val="1F5FBF"/>
          <w:sz w:val="25"/>
          <w:szCs w:val="25"/>
        </w:rPr>
        <w:t xml:space="preserve">A.2 Échantillon de prix de clôture ajustés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2300"/>
        <w:gridCol w:w="2300"/>
        <w:gridCol w:w="2300"/>
      </w:tblGrid>
      <w:tr>
        <w:trPr>
          <w:cantSplit/>
          <w:tblHeader/>
        </w:trPr>
        <w:tc>
          <w:tcPr>
            <w:tcW w:type="dxa" w:w="2738"/>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left"/>
            </w:pPr>
            <w:r>
              <w:rPr>
                <w:rFonts w:ascii="Times New Roman" w:cs="Times New Roman" w:eastAsia="Times New Roman" w:hAnsi="Times New Roman"/>
                <w:b/>
                <w:bCs/>
                <w:color w:val="FFFFFF"/>
                <w:sz w:val="19"/>
                <w:szCs w:val="19"/>
              </w:rPr>
              <w:t xml:space="preserve">Date</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LVMH (€)</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TotalEnergies (€)</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Sanofi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2019-10-14</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336,53</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29,81</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61,02</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2019-10-15</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337,64</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30,21</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61,80</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2019-10-16</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335,51</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30,18</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61,98</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2026-09-23</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396,90</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78,70</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73,11</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2026-09-24</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397,10</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80,12</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72,10</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2026-09-25</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396,85</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79,07</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71,79</w:t>
            </w:r>
          </w:p>
        </w:tc>
      </w:tr>
    </w:tbl>
    <w:p>
      <w:pPr>
        <w:pStyle w:val="Heading2"/>
        <w:keepNext/>
        <w:spacing w:after="120" w:before="220"/>
      </w:pPr>
      <w:r>
        <w:rPr>
          <w:rFonts w:ascii="Arial" w:cs="Arial" w:eastAsia="Arial" w:hAnsi="Arial"/>
          <w:color w:val="1F5FBF"/>
          <w:sz w:val="25"/>
          <w:szCs w:val="25"/>
        </w:rPr>
        <w:t xml:space="preserve">A.3 Statistiques des rendements journaliers (période d'évaluation)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2300"/>
        <w:gridCol w:w="2300"/>
        <w:gridCol w:w="2300"/>
      </w:tblGrid>
      <w:tr>
        <w:trPr>
          <w:cantSplit/>
          <w:tblHeader/>
        </w:trPr>
        <w:tc>
          <w:tcPr>
            <w:tcW w:type="dxa" w:w="2738"/>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left"/>
            </w:pPr>
            <w:r>
              <w:rPr>
                <w:rFonts w:ascii="Times New Roman" w:cs="Times New Roman" w:eastAsia="Times New Roman" w:hAnsi="Times New Roman"/>
                <w:b/>
                <w:bCs/>
                <w:color w:val="FFFFFF"/>
                <w:sz w:val="19"/>
                <w:szCs w:val="19"/>
              </w:rPr>
              <w:t xml:space="preserve">Statistique</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LVMH</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TotalEnergies</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Sanofi</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Observations</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1 782</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1 782</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1 782</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Moyenne</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0,027 %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0,071 %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0,020 %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Écart-type</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1,887 %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1,857 %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1,465 %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Minimum</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-8,68 %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-16,61 %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-18,93 %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Médiane</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0,031 %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0,099 %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0,044 %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Maximum</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12,81 %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15,07 %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8,44 %</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Volatilité annualisée</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29,9 %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29,5 %</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23,3 %</w:t>
            </w:r>
          </w:p>
        </w:tc>
      </w:tr>
    </w:tbl>
    <w:p>
      <w:pPr>
        <w:spacing w:after="120"/>
      </w:pPr>
    </w:p>
    <w:p>
      <w:pPr>
        <w:spacing w:after="140" w:line="276"/>
      </w:pPr>
      <w:r>
        <w:rPr>
          <w:rFonts w:ascii="Times New Roman" w:cs="Times New Roman" w:eastAsia="Times New Roman" w:hAnsi="Times New Roman"/>
          <w:sz w:val="22"/>
          <w:szCs w:val="22"/>
        </w:rPr>
        <w:t xml:space="preserve">Les minimums ne tombent pas le même jour : 12 mars 2020 pour LVMH et 9 mars 2020 pour TotalEnergies, pendant le krach Covid, mais 27 octobre 2023 pour Sanofi, un choc propre au titre.</w:t>
      </w:r>
    </w:p>
    <w:p>
      <w:pPr>
        <w:pStyle w:val="Heading2"/>
        <w:keepNext/>
        <w:spacing w:after="120" w:before="220"/>
      </w:pPr>
      <w:r>
        <w:rPr>
          <w:rFonts w:ascii="Arial" w:cs="Arial" w:eastAsia="Arial" w:hAnsi="Arial"/>
          <w:color w:val="1F5FBF"/>
          <w:sz w:val="25"/>
          <w:szCs w:val="25"/>
        </w:rPr>
        <w:t xml:space="preserve">A.4 Matrice de corrélation des rendements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8"/>
        <w:gridCol w:w="2300"/>
        <w:gridCol w:w="2300"/>
        <w:gridCol w:w="2300"/>
      </w:tblGrid>
      <w:tr>
        <w:trPr>
          <w:cantSplit/>
          <w:tblHeader/>
        </w:trPr>
        <w:tc>
          <w:tcPr>
            <w:tcW w:type="dxa" w:w="2738"/>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left"/>
            </w:pPr>
            <w:r>
              <w:rPr>
                <w:rFonts w:ascii="Times New Roman" w:cs="Times New Roman" w:eastAsia="Times New Roman" w:hAnsi="Times New Roman"/>
                <w:b/>
                <w:bCs/>
                <w:color w:val="FFFFFF"/>
                <w:sz w:val="19"/>
                <w:szCs w:val="19"/>
              </w:rPr>
              <w:t xml:space="preserve"/>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LVMH</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TotalEnergies</w:t>
            </w:r>
          </w:p>
        </w:tc>
        <w:tc>
          <w:tcPr>
            <w:tcW w:type="dxa" w:w="2300"/>
            <w:tcBorders>
              <w:top w:val="single" w:color="C9CED6" w:sz="4"/>
              <w:left w:val="single" w:color="C9CED6" w:sz="4"/>
              <w:bottom w:val="single" w:color="C9CED6" w:sz="4"/>
              <w:right w:val="single" w:color="C9CED6" w:sz="4"/>
            </w:tcBorders>
            <w:shd w:fill="1F2A44" w:val="clear"/>
            <w:tcMar>
              <w:top w:type="dxa" w:w="45"/>
              <w:left w:type="dxa" w:w="100"/>
              <w:bottom w:type="dxa" w:w="45"/>
              <w:right w:type="dxa" w:w="100"/>
            </w:tcMar>
            <w:vAlign w:val="center"/>
          </w:tcPr>
          <w:p>
            <w:pPr>
              <w:jc w:val="center"/>
            </w:pPr>
            <w:r>
              <w:rPr>
                <w:rFonts w:ascii="Times New Roman" w:cs="Times New Roman" w:eastAsia="Times New Roman" w:hAnsi="Times New Roman"/>
                <w:b/>
                <w:bCs/>
                <w:color w:val="FFFFFF"/>
                <w:sz w:val="19"/>
                <w:szCs w:val="19"/>
              </w:rPr>
              <w:t xml:space="preserve">Sanofi</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LVMH</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1,00</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0,34</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0,25</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TotalEnergies</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0,34</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1,00</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0,22</w:t>
            </w:r>
          </w:p>
        </w:tc>
      </w:tr>
      <w:tr>
        <w:trPr>
          <w:cantSplit/>
        </w:trPr>
        <w:tc>
          <w:tcPr>
            <w:tcW w:type="dxa" w:w="2738"/>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left"/>
            </w:pPr>
            <w:r>
              <w:rPr>
                <w:rFonts w:ascii="Times New Roman" w:cs="Times New Roman" w:eastAsia="Times New Roman" w:hAnsi="Times New Roman"/>
                <w:b/>
                <w:bCs/>
                <w:color w:val="000000"/>
                <w:sz w:val="19"/>
                <w:szCs w:val="19"/>
              </w:rPr>
              <w:t xml:space="preserve">Sanofi</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0,25</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0,22</w:t>
            </w:r>
          </w:p>
        </w:tc>
        <w:tc>
          <w:tcPr>
            <w:tcW w:type="dxa" w:w="2300"/>
            <w:tcBorders>
              <w:top w:val="single" w:color="C9CED6" w:sz="4"/>
              <w:left w:val="single" w:color="C9CED6" w:sz="4"/>
              <w:bottom w:val="single" w:color="C9CED6" w:sz="4"/>
              <w:right w:val="single" w:color="C9CED6" w:sz="4"/>
            </w:tcBorders>
            <w:tcMar>
              <w:top w:type="dxa" w:w="45"/>
              <w:left w:type="dxa" w:w="100"/>
              <w:bottom w:type="dxa" w:w="45"/>
              <w:right w:type="dxa" w:w="100"/>
            </w:tcMar>
            <w:vAlign w:val="center"/>
          </w:tcPr>
          <w:p>
            <w:pPr>
              <w:jc w:val="center"/>
            </w:pPr>
            <w:r>
              <w:rPr>
                <w:rFonts w:ascii="Times New Roman" w:cs="Times New Roman" w:eastAsia="Times New Roman" w:hAnsi="Times New Roman"/>
                <w:b w:val="false"/>
                <w:bCs w:val="false"/>
                <w:color w:val="000000"/>
                <w:sz w:val="19"/>
                <w:szCs w:val="19"/>
              </w:rPr>
              <w:t xml:space="preserve">1,00</w:t>
            </w:r>
          </w:p>
        </w:tc>
      </w:tr>
    </w:tbl>
    <w:p>
      <w:pPr>
        <w:spacing w:after="120"/>
      </w:pPr>
    </w:p>
    <w:p>
      <w:pPr>
        <w:spacing w:after="140" w:line="276"/>
      </w:pPr>
      <w:r>
        <w:rPr>
          <w:rFonts w:ascii="Times New Roman" w:cs="Times New Roman" w:eastAsia="Times New Roman" w:hAnsi="Times New Roman"/>
          <w:sz w:val="22"/>
          <w:szCs w:val="22"/>
        </w:rPr>
        <w:t xml:space="preserve">Les corrélations sont faibles à modérées (0,22 à 0,34) : les trois valeurs appartiennent à des secteurs différents (luxe, énergie, santé). Cela n'empêche pas un choc de marché global, comme le Covid, de les affecter en même temps.</w:t>
      </w:r>
    </w:p>
    <w:p>
      <w:pPr>
        <w:pStyle w:val="Heading2"/>
        <w:keepNext/>
        <w:spacing w:after="120" w:before="220"/>
      </w:pPr>
      <w:r>
        <w:rPr>
          <w:rFonts w:ascii="Arial" w:cs="Arial" w:eastAsia="Arial" w:hAnsi="Arial"/>
          <w:color w:val="1F5FBF"/>
          <w:sz w:val="25"/>
          <w:szCs w:val="25"/>
        </w:rPr>
        <w:t xml:space="preserve">A.5 Outils et reproductibilité</w:t>
      </w:r>
    </w:p>
    <w:p>
      <w:pPr>
        <w:spacing w:after="140" w:line="276"/>
      </w:pPr>
      <w:r>
        <w:rPr>
          <w:rFonts w:ascii="Times New Roman" w:cs="Times New Roman" w:eastAsia="Times New Roman" w:hAnsi="Times New Roman"/>
          <w:sz w:val="22"/>
          <w:szCs w:val="22"/>
        </w:rPr>
        <w:t xml:space="preserve">Python (pandas, numpy, yfinance, matplotlib), notebook Google Colab. Les prix ajustés fournis par Yahoo Finance sont recalculés à chaque nouveau dividende : relancer le notebook plus tard peut modifier légèrement les chiffres. Le fichier </w:t>
      </w:r>
      <w:r>
        <w:rPr>
          <w:rFonts w:ascii="Courier New" w:cs="Courier New" w:eastAsia="Courier New" w:hAnsi="Courier New"/>
          <w:sz w:val="20"/>
          <w:szCs w:val="20"/>
        </w:rPr>
        <w:t xml:space="preserve">prix_actions.csv</w:t>
      </w:r>
      <w:r>
        <w:rPr>
          <w:rFonts w:ascii="Times New Roman" w:cs="Times New Roman" w:eastAsia="Times New Roman" w:hAnsi="Times New Roman"/>
          <w:sz w:val="22"/>
          <w:szCs w:val="22"/>
        </w:rPr>
        <w:t xml:space="preserve"> fourni contient les prix utilisés ici.</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6"/>
        <w:szCs w:val="16"/>
      </w:rPr>
      <w:t xml:space="preserve">Backtesting — Stratégie de suivi de tendance (moyennes mobiles)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3aa0eadcb5be6937e2180d397c546a443292a8.png"/><Relationship Id="rId10" Type="http://schemas.openxmlformats.org/officeDocument/2006/relationships/image" Target="media/8a933a38afc51817ce402db5445e6b79120b49a2.png"/><Relationship Id="rId11" Type="http://schemas.openxmlformats.org/officeDocument/2006/relationships/image" Target="media/79f2012ee3030d74b203e3e4e4d33b216075355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Backtesting d'une stratégie de trading</dc:title>
  <dc:creator>Satya Chalin</dc:creator>
  <cp:lastModifiedBy>Un-named</cp:lastModifiedBy>
  <cp:revision>1</cp:revision>
  <dcterms:created xsi:type="dcterms:W3CDTF">2026-10-07T10:31:38.460Z</dcterms:created>
  <dcterms:modified xsi:type="dcterms:W3CDTF">2026-10-07T10:31:38.460Z</dcterms:modified>
</cp:coreProperties>
</file>

<file path=docProps/custom.xml><?xml version="1.0" encoding="utf-8"?>
<Properties xmlns="http://schemas.openxmlformats.org/officeDocument/2006/custom-properties" xmlns:vt="http://schemas.openxmlformats.org/officeDocument/2006/docPropsVTypes"/>
</file>