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937"/>
          <w:sz w:val="44"/>
          <w:szCs w:val="44"/>
        </w:rPr>
        <w:t xml:space="preserve">Pricer d'Options</w:t>
      </w:r>
    </w:p>
    <w:p>
      <w:pPr>
        <w:spacing w:after="100"/>
      </w:pPr>
      <w:r>
        <w:rPr>
          <w:b/>
          <w:bCs/>
          <w:color w:val="2563EB"/>
          <w:sz w:val="28"/>
          <w:szCs w:val="28"/>
        </w:rPr>
        <w:t xml:space="preserve">Black-Scholes, Monte Carlo, arbre binomial et Greeks</w:t>
      </w:r>
    </w:p>
    <w:p>
      <w:pPr>
        <w:spacing w:after="300"/>
      </w:pPr>
      <w:r>
        <w:rPr>
          <w:i/>
          <w:iCs/>
          <w:color w:val="6B7280"/>
          <w:sz w:val="20"/>
          <w:szCs w:val="20"/>
        </w:rPr>
        <w:t xml:space="preserve">Projet personnel — recherche de stage / alternance en Front Office, Produits Structurés</w:t>
      </w:r>
    </w:p>
    <w:p>
      <w:pPr>
        <w:pStyle w:val="Heading1"/>
        <w:keepNext/>
        <w:spacing w:after="200" w:before="400"/>
      </w:pPr>
      <w:r>
        <w:t xml:space="preserve">1. Contexte et objectif</w:t>
      </w:r>
    </w:p>
    <w:p>
      <w:pPr>
        <w:spacing w:after="160"/>
      </w:pPr>
      <w:r>
        <w:rPr>
          <w:sz w:val="21"/>
          <w:szCs w:val="21"/>
        </w:rPr>
        <w:t xml:space="preserve">Une option vanille européenne possède une formule fermée, celle de Black-Scholes. Mais cette formule ne couvre ni les options américaines, exerçables à tout moment, ni les produits structurés à barrières dont le prix dépend de toute la trajectoire du sous-jacent. Les salles de marché utilisent donc plusieurs méthodes de pricing, et la compétence utile est de savoir laquelle choisir et ce que valent ses résultats.</w:t>
      </w:r>
    </w:p>
    <w:p>
      <w:pPr>
        <w:spacing w:after="160"/>
      </w:pPr>
      <w:r>
        <w:rPr>
          <w:sz w:val="21"/>
          <w:szCs w:val="21"/>
        </w:rPr>
        <w:t xml:space="preserve">Ce projet implémente trois méthodes en Python, sans librairie de pricing : Black-Scholes (formule fermée), Monte Carlo (simulation) et l'arbre binomial de Cox-Ross-Rubinstein. L'objectif est double : vérifier que les trois convergent vers le même prix sur une option européenne, ce qui valide chaque implémentation, puis exploiter l'arbre pour l'exercice anticipé. Les sensibilités (Greeks) sont calculées par formule analytique puis recalculées par différences finies, la méthode applicable quand aucune formule n'existe.</w:t>
      </w:r>
    </w:p>
    <w:p>
      <w:pPr>
        <w:spacing w:after="160"/>
      </w:pPr>
      <w:r>
        <w:rPr>
          <w:b/>
          <w:bCs/>
          <w:sz w:val="21"/>
          <w:szCs w:val="21"/>
        </w:rPr>
        <w:t xml:space="preserve">Option de référence : </w:t>
      </w:r>
      <w:r>
        <w:rPr>
          <w:sz w:val="21"/>
          <w:szCs w:val="21"/>
        </w:rPr>
        <w:t xml:space="preserve">call et put à la monnaie, spot = strike = 100, maturité 1 an, taux sans risque 3 %, volatilité 20 %, sans dividende.</w:t>
      </w:r>
    </w:p>
    <w:p>
      <w:pPr>
        <w:pStyle w:val="Heading1"/>
        <w:keepNext/>
        <w:spacing w:after="200" w:before="400"/>
      </w:pPr>
      <w:r>
        <w:t xml:space="preserve">2. Méthodologie</w:t>
      </w:r>
    </w:p>
    <w:p>
      <w:pPr>
        <w:pStyle w:val="Heading2"/>
        <w:keepNext/>
        <w:spacing w:after="150" w:before="300"/>
      </w:pPr>
      <w:r>
        <w:t xml:space="preserve">2.1 Black-Scholes : la formule fermée</w:t>
      </w:r>
    </w:p>
    <w:p>
      <w:pPr>
        <w:spacing w:after="160"/>
      </w:pPr>
      <w:r>
        <w:rPr>
          <w:sz w:val="21"/>
          <w:szCs w:val="21"/>
        </w:rPr>
        <w:t xml:space="preserve">Sous l'hypothèse d'une volatilité constante et d'un marché sans friction, le payoff de l'option peut être répliqué en continu par une position en sous-jacent et en cash : le prix de l'option est le coût de cette réplication.</w:t>
      </w:r>
    </w:p>
    <w:p>
      <w:pPr>
        <w:spacing w:after="160" w:before="120"/>
        <w:ind w:left="400"/>
      </w:pPr>
      <w:r>
        <w:rPr>
          <w:rFonts w:ascii="Consolas" w:cs="Consolas" w:eastAsia="Consolas" w:hAnsi="Consolas"/>
          <w:b/>
          <w:bCs/>
          <w:color w:val="1F2937"/>
          <w:sz w:val="20"/>
          <w:szCs w:val="20"/>
        </w:rPr>
        <w:t xml:space="preserve">Call = S0·e^(-qT)·N(d1) − K·e^(-rT)·N(d2)</w:t>
      </w:r>
    </w:p>
    <w:p>
      <w:pPr>
        <w:spacing w:after="160" w:before="120"/>
        <w:ind w:left="400"/>
      </w:pPr>
      <w:r>
        <w:rPr>
          <w:rFonts w:ascii="Consolas" w:cs="Consolas" w:eastAsia="Consolas" w:hAnsi="Consolas"/>
          <w:b/>
          <w:bCs/>
          <w:color w:val="1F2937"/>
          <w:sz w:val="20"/>
          <w:szCs w:val="20"/>
        </w:rPr>
        <w:t xml:space="preserve">d1 = [ln(S0/K) + (r − q + σ²/2)·T] / (σ·√T)     d2 = d1 − σ·√T</w:t>
      </w:r>
    </w:p>
    <w:p>
      <w:pPr>
        <w:spacing w:after="160"/>
      </w:pPr>
      <w:r>
        <w:rPr>
          <w:sz w:val="21"/>
          <w:szCs w:val="21"/>
        </w:rPr>
        <w:t xml:space="preserve">N(d2) s'interprète, sous la probabilité risque-neutre, comme la probabilité d'exercice de l'option.</w:t>
      </w:r>
    </w:p>
    <w:tbl>
      <w:tblPr>
        <w:tblW w:type="dxa" w:w="9026"/>
        <w:tblBorders>
          <w:top w:val="single" w:color="D1D5DB" w:sz="2"/>
          <w:left w:val="single" w:color="D1D5DB" w:sz="2"/>
          <w:bottom w:val="single" w:color="D1D5DB" w:sz="2"/>
          <w:right w:val="single" w:color="D1D5DB" w:sz="2"/>
          <w:insideH w:val="none"/>
          <w:insideV w:val="none"/>
        </w:tblBorders>
      </w:tblPr>
      <w:tblGrid>
        <w:gridCol w:w="9026"/>
      </w:tblGrid>
      <w:tr>
        <w:tc>
          <w:tcPr>
            <w:tcW w:type="dxa" w:w="9026"/>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d1 = (np.log(S0 / K) + (r - q + 0.5 * sigma**2) * T) / (sigma * np.sqrt(T))</w:t>
            </w:r>
          </w:p>
          <w:p>
            <w:pPr>
              <w:spacing w:after="20"/>
            </w:pPr>
            <w:r>
              <w:rPr>
                <w:rFonts w:ascii="Consolas" w:cs="Consolas" w:eastAsia="Consolas" w:hAnsi="Consolas"/>
                <w:color w:val="1F2937"/>
                <w:sz w:val="17"/>
                <w:szCs w:val="17"/>
              </w:rPr>
              <w:t xml:space="preserve">d2 = d1 - sigma * np.sqrt(T)</w:t>
            </w:r>
          </w:p>
          <w:p>
            <w:pPr>
              <w:spacing w:after="20"/>
            </w:pPr>
            <w:r>
              <w:rPr>
                <w:rFonts w:ascii="Consolas" w:cs="Consolas" w:eastAsia="Consolas" w:hAnsi="Consolas"/>
                <w:color w:val="1F2937"/>
                <w:sz w:val="17"/>
                <w:szCs w:val="17"/>
              </w:rPr>
              <w:t xml:space="preserve">price = S0 * np.exp(-q * T) * norm.cdf(d1) - K * np.exp(-r * T) * norm.cdf(d2)</w:t>
            </w:r>
          </w:p>
        </w:tc>
      </w:tr>
    </w:tbl>
    <w:p>
      <w:pPr>
        <w:spacing w:after="120"/>
      </w:pPr>
    </w:p>
    <w:p>
      <w:pPr>
        <w:pStyle w:val="Heading2"/>
        <w:keepNext/>
        <w:spacing w:after="150" w:before="300"/>
      </w:pPr>
      <w:r>
        <w:t xml:space="preserve">2.2 Monte Carlo : pricer par simulation</w:t>
      </w:r>
    </w:p>
    <w:p>
      <w:pPr>
        <w:spacing w:after="160"/>
      </w:pPr>
      <w:r>
        <w:rPr>
          <w:sz w:val="21"/>
          <w:szCs w:val="21"/>
        </w:rPr>
        <w:t xml:space="preserve">Pour une option européenne, seul le prix à l'échéance compte : on tire directement S(T) = S0·exp[(r − q − σ²/2)·T + σ·√T·Z], avec Z de loi normale standard. Le prix est la moyenne des payoffs actualisés, et l'incertitude de l'estimation est l'erreur-type (écart-type des payoffs actualisés divisé par √N).</w:t>
      </w:r>
    </w:p>
    <w:tbl>
      <w:tblPr>
        <w:tblW w:type="dxa" w:w="9026"/>
        <w:tblBorders>
          <w:top w:val="single" w:color="D1D5DB" w:sz="2"/>
          <w:left w:val="single" w:color="D1D5DB" w:sz="2"/>
          <w:bottom w:val="single" w:color="D1D5DB" w:sz="2"/>
          <w:right w:val="single" w:color="D1D5DB" w:sz="2"/>
          <w:insideH w:val="none"/>
          <w:insideV w:val="none"/>
        </w:tblBorders>
      </w:tblPr>
      <w:tblGrid>
        <w:gridCol w:w="9026"/>
      </w:tblGrid>
      <w:tr>
        <w:tc>
          <w:tcPr>
            <w:tcW w:type="dxa" w:w="9026"/>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Z = np.random.standard_normal(n_sims)</w:t>
            </w:r>
          </w:p>
          <w:p>
            <w:pPr>
              <w:spacing w:after="20"/>
            </w:pPr>
            <w:r>
              <w:rPr>
                <w:rFonts w:ascii="Consolas" w:cs="Consolas" w:eastAsia="Consolas" w:hAnsi="Consolas"/>
                <w:color w:val="1F2937"/>
                <w:sz w:val="17"/>
                <w:szCs w:val="17"/>
              </w:rPr>
              <w:t xml:space="preserve">S_T = S0 * np.exp((r - q - 0.5 * sigma**2) * T + sigma * np.sqrt(T) * Z)</w:t>
            </w:r>
          </w:p>
          <w:p>
            <w:pPr>
              <w:spacing w:after="20"/>
            </w:pPr>
            <w:r>
              <w:rPr>
                <w:rFonts w:ascii="Consolas" w:cs="Consolas" w:eastAsia="Consolas" w:hAnsi="Consolas"/>
                <w:color w:val="1F2937"/>
                <w:sz w:val="17"/>
                <w:szCs w:val="17"/>
              </w:rPr>
              <w:t xml:space="preserve">payoffs = np.maximum(S_T - K, 0) * np.exp(-r * T)</w:t>
            </w:r>
          </w:p>
          <w:p>
            <w:pPr>
              <w:spacing w:after="20"/>
            </w:pPr>
            <w:r>
              <w:rPr>
                <w:rFonts w:ascii="Consolas" w:cs="Consolas" w:eastAsia="Consolas" w:hAnsi="Consolas"/>
                <w:color w:val="1F2937"/>
                <w:sz w:val="17"/>
                <w:szCs w:val="17"/>
              </w:rPr>
              <w:t xml:space="preserve">price, std_error = payoffs.mean(), payoffs.std() / np.sqrt(n_sims)</w:t>
            </w:r>
          </w:p>
        </w:tc>
      </w:tr>
    </w:tbl>
    <w:p>
      <w:pPr>
        <w:spacing w:after="120"/>
      </w:pPr>
    </w:p>
    <w:p>
      <w:pPr>
        <w:pStyle w:val="Heading2"/>
        <w:keepNext/>
        <w:pageBreakBefore/>
        <w:spacing w:after="150" w:before="0"/>
      </w:pPr>
      <w:r>
        <w:t xml:space="preserve">2.3 Arbre binomial (Cox-Ross-Rubinstein)</w:t>
      </w:r>
    </w:p>
    <w:p>
      <w:pPr>
        <w:spacing w:after="160"/>
      </w:pPr>
      <w:r>
        <w:rPr>
          <w:sz w:val="21"/>
          <w:szCs w:val="21"/>
        </w:rPr>
        <w:t xml:space="preserve">La durée de vie est découpée en n pas. À chaque pas, le prix monte d'un facteur u = exp(σ·√dt) ou descend d'un facteur d = 1/u, avec la probabilité risque-neutre p = (e^((r−q)·dt) − d) / (u − d). On calcule le payoff aux n + 1 nœuds finaux, puis on remonte l'arbre : la valeur d'un nœud est l'espérance actualisée des deux nœuds suivants. Pour une option américaine, on compare à chaque nœud la valeur de continuation à la valeur d'exercice immédiat et on garde le maximum.</w:t>
      </w:r>
    </w:p>
    <w:tbl>
      <w:tblPr>
        <w:tblW w:type="dxa" w:w="9026"/>
        <w:tblBorders>
          <w:top w:val="single" w:color="D1D5DB" w:sz="2"/>
          <w:left w:val="single" w:color="D1D5DB" w:sz="2"/>
          <w:bottom w:val="single" w:color="D1D5DB" w:sz="2"/>
          <w:right w:val="single" w:color="D1D5DB" w:sz="2"/>
          <w:insideH w:val="none"/>
          <w:insideV w:val="none"/>
        </w:tblBorders>
      </w:tblPr>
      <w:tblGrid>
        <w:gridCol w:w="9026"/>
      </w:tblGrid>
      <w:tr>
        <w:tc>
          <w:tcPr>
            <w:tcW w:type="dxa" w:w="9026"/>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for step in range(n_steps - 1, -1, -1):</w:t>
            </w:r>
          </w:p>
          <w:p>
            <w:pPr>
              <w:spacing w:after="20"/>
            </w:pPr>
            <w:r>
              <w:rPr>
                <w:rFonts w:ascii="Consolas" w:cs="Consolas" w:eastAsia="Consolas" w:hAnsi="Consolas"/>
                <w:color w:val="1F2937"/>
                <w:sz w:val="17"/>
                <w:szCs w:val="17"/>
              </w:rPr>
              <w:t xml:space="preserve">    V = disc * (p * V[:-1] + (1 - p) * V[1:])          # valeur de continuation</w:t>
            </w:r>
          </w:p>
          <w:p>
            <w:pPr>
              <w:spacing w:after="20"/>
            </w:pPr>
            <w:r>
              <w:rPr>
                <w:rFonts w:ascii="Consolas" w:cs="Consolas" w:eastAsia="Consolas" w:hAnsi="Consolas"/>
                <w:color w:val="1F2937"/>
                <w:sz w:val="17"/>
                <w:szCs w:val="17"/>
              </w:rPr>
              <w:t xml:space="preserve">    if american:</w:t>
            </w:r>
          </w:p>
          <w:p>
            <w:pPr>
              <w:spacing w:after="20"/>
            </w:pPr>
            <w:r>
              <w:rPr>
                <w:rFonts w:ascii="Consolas" w:cs="Consolas" w:eastAsia="Consolas" w:hAnsi="Consolas"/>
                <w:color w:val="1F2937"/>
                <w:sz w:val="17"/>
                <w:szCs w:val="17"/>
              </w:rPr>
              <w:t xml:space="preserve">        V = np.maximum(V, exercice_immediat_aux_noeuds)  # exercer maintenant ou attendre</w:t>
            </w:r>
          </w:p>
        </w:tc>
      </w:tr>
    </w:tbl>
    <w:p>
      <w:pPr>
        <w:spacing w:after="120"/>
      </w:pPr>
    </w:p>
    <w:p>
      <w:pPr>
        <w:pStyle w:val="Heading2"/>
        <w:keepNext/>
        <w:spacing w:after="150" w:before="300"/>
      </w:pPr>
      <w:r>
        <w:t xml:space="preserve">2.4 Les Greeks : analytique et différences finies</w:t>
      </w:r>
    </w:p>
    <w:p>
      <w:pPr>
        <w:spacing w:after="160"/>
      </w:pPr>
      <w:r>
        <w:rPr>
          <w:sz w:val="21"/>
          <w:szCs w:val="21"/>
        </w:rPr>
        <w:t xml:space="preserve">Les Greeks mesurent la variation du prix pour un petit changement d'un paramètre. Ils sont calculés de deux façons : par formule analytique, et par différences finies (on reprice avec un paramètre légèrement modifié), ce qui sert de vérification croisée et reste la seule méthode possible pour un produit sans formule fermée.</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1500"/>
        <w:gridCol w:w="2700"/>
        <w:gridCol w:w="4826"/>
      </w:tblGrid>
      <w:tr>
        <w:tc>
          <w:tcPr>
            <w:tcW w:type="dxa" w:w="1500"/>
            <w:shd w:fill="1F2937" w:val="clear"/>
            <w:tcMar>
              <w:top w:type="dxa" w:w="80"/>
              <w:left w:type="dxa" w:w="120"/>
              <w:bottom w:type="dxa" w:w="80"/>
              <w:right w:type="dxa" w:w="120"/>
            </w:tcMar>
          </w:tcPr>
          <w:p>
            <w:pPr>
              <w:keepNext/>
              <w:jc w:val="left"/>
            </w:pPr>
            <w:r>
              <w:rPr>
                <w:b/>
                <w:bCs/>
                <w:color w:val="FFFFFF"/>
                <w:sz w:val="19"/>
                <w:szCs w:val="19"/>
              </w:rPr>
              <w:t xml:space="preserve">Greek</w:t>
            </w:r>
          </w:p>
        </w:tc>
        <w:tc>
          <w:tcPr>
            <w:tcW w:type="dxa" w:w="2700"/>
            <w:shd w:fill="1F2937" w:val="clear"/>
            <w:tcMar>
              <w:top w:type="dxa" w:w="80"/>
              <w:left w:type="dxa" w:w="120"/>
              <w:bottom w:type="dxa" w:w="80"/>
              <w:right w:type="dxa" w:w="120"/>
            </w:tcMar>
          </w:tcPr>
          <w:p>
            <w:pPr>
              <w:keepNext/>
              <w:jc w:val="center"/>
            </w:pPr>
            <w:r>
              <w:rPr>
                <w:b/>
                <w:bCs/>
                <w:color w:val="FFFFFF"/>
                <w:sz w:val="19"/>
                <w:szCs w:val="19"/>
              </w:rPr>
              <w:t xml:space="preserve">Sensibilité à</w:t>
            </w:r>
          </w:p>
        </w:tc>
        <w:tc>
          <w:tcPr>
            <w:tcW w:type="dxa" w:w="4826"/>
            <w:shd w:fill="1F2937" w:val="clear"/>
            <w:tcMar>
              <w:top w:type="dxa" w:w="80"/>
              <w:left w:type="dxa" w:w="120"/>
              <w:bottom w:type="dxa" w:w="80"/>
              <w:right w:type="dxa" w:w="120"/>
            </w:tcMar>
          </w:tcPr>
          <w:p>
            <w:pPr>
              <w:keepNext/>
              <w:jc w:val="center"/>
            </w:pPr>
            <w:r>
              <w:rPr>
                <w:b/>
                <w:bCs/>
                <w:color w:val="FFFFFF"/>
                <w:sz w:val="19"/>
                <w:szCs w:val="19"/>
              </w:rPr>
              <w:t xml:space="preserve">Convention d'unité utilisée</w:t>
            </w:r>
          </w:p>
        </w:tc>
      </w:tr>
      <w:tr>
        <w:tc>
          <w:tcPr>
            <w:tcW w:type="dxa" w:w="1500"/>
            <w:tcMar>
              <w:top w:type="dxa" w:w="80"/>
              <w:left w:type="dxa" w:w="120"/>
              <w:bottom w:type="dxa" w:w="80"/>
              <w:right w:type="dxa" w:w="120"/>
            </w:tcMar>
          </w:tcPr>
          <w:p>
            <w:pPr>
              <w:keepNext/>
              <w:jc w:val="left"/>
            </w:pPr>
            <w:r>
              <w:rPr>
                <w:b/>
                <w:bCs/>
                <w:color w:val="000000"/>
                <w:sz w:val="19"/>
                <w:szCs w:val="19"/>
              </w:rPr>
              <w:t xml:space="preserve">Delta</w:t>
            </w:r>
          </w:p>
        </w:tc>
        <w:tc>
          <w:tcPr>
            <w:tcW w:type="dxa" w:w="2700"/>
            <w:tcMar>
              <w:top w:type="dxa" w:w="80"/>
              <w:left w:type="dxa" w:w="120"/>
              <w:bottom w:type="dxa" w:w="80"/>
              <w:right w:type="dxa" w:w="120"/>
            </w:tcMar>
          </w:tcPr>
          <w:p>
            <w:pPr>
              <w:keepNext/>
              <w:jc w:val="center"/>
            </w:pPr>
            <w:r>
              <w:rPr>
                <w:b w:val="false"/>
                <w:bCs w:val="false"/>
                <w:color w:val="000000"/>
                <w:sz w:val="19"/>
                <w:szCs w:val="19"/>
              </w:rPr>
              <w:t xml:space="preserve">Prix du sous-jacent</w:t>
            </w:r>
          </w:p>
        </w:tc>
        <w:tc>
          <w:tcPr>
            <w:tcW w:type="dxa" w:w="4826"/>
            <w:tcMar>
              <w:top w:type="dxa" w:w="80"/>
              <w:left w:type="dxa" w:w="120"/>
              <w:bottom w:type="dxa" w:w="80"/>
              <w:right w:type="dxa" w:w="120"/>
            </w:tcMar>
          </w:tcPr>
          <w:p>
            <w:pPr>
              <w:keepNext/>
              <w:jc w:val="center"/>
            </w:pPr>
            <w:r>
              <w:rPr>
                <w:b w:val="false"/>
                <w:bCs w:val="false"/>
                <w:color w:val="000000"/>
                <w:sz w:val="19"/>
                <w:szCs w:val="19"/>
              </w:rPr>
              <w:t xml:space="preserve">Variation du prix pour +1 sur le spot</w:t>
            </w:r>
          </w:p>
        </w:tc>
      </w:tr>
      <w:tr>
        <w:tc>
          <w:tcPr>
            <w:tcW w:type="dxa" w:w="1500"/>
            <w:tcMar>
              <w:top w:type="dxa" w:w="80"/>
              <w:left w:type="dxa" w:w="120"/>
              <w:bottom w:type="dxa" w:w="80"/>
              <w:right w:type="dxa" w:w="120"/>
            </w:tcMar>
          </w:tcPr>
          <w:p>
            <w:pPr>
              <w:keepNext/>
              <w:jc w:val="left"/>
            </w:pPr>
            <w:r>
              <w:rPr>
                <w:b/>
                <w:bCs/>
                <w:color w:val="000000"/>
                <w:sz w:val="19"/>
                <w:szCs w:val="19"/>
              </w:rPr>
              <w:t xml:space="preserve">Gamma</w:t>
            </w:r>
          </w:p>
        </w:tc>
        <w:tc>
          <w:tcPr>
            <w:tcW w:type="dxa" w:w="2700"/>
            <w:tcMar>
              <w:top w:type="dxa" w:w="80"/>
              <w:left w:type="dxa" w:w="120"/>
              <w:bottom w:type="dxa" w:w="80"/>
              <w:right w:type="dxa" w:w="120"/>
            </w:tcMar>
          </w:tcPr>
          <w:p>
            <w:pPr>
              <w:keepNext/>
              <w:jc w:val="center"/>
            </w:pPr>
            <w:r>
              <w:rPr>
                <w:b w:val="false"/>
                <w:bCs w:val="false"/>
                <w:color w:val="000000"/>
                <w:sz w:val="19"/>
                <w:szCs w:val="19"/>
              </w:rPr>
              <w:t xml:space="preserve">Delta lui-même</w:t>
            </w:r>
          </w:p>
        </w:tc>
        <w:tc>
          <w:tcPr>
            <w:tcW w:type="dxa" w:w="4826"/>
            <w:tcMar>
              <w:top w:type="dxa" w:w="80"/>
              <w:left w:type="dxa" w:w="120"/>
              <w:bottom w:type="dxa" w:w="80"/>
              <w:right w:type="dxa" w:w="120"/>
            </w:tcMar>
          </w:tcPr>
          <w:p>
            <w:pPr>
              <w:keepNext/>
              <w:jc w:val="center"/>
            </w:pPr>
            <w:r>
              <w:rPr>
                <w:b w:val="false"/>
                <w:bCs w:val="false"/>
                <w:color w:val="000000"/>
                <w:sz w:val="19"/>
                <w:szCs w:val="19"/>
              </w:rPr>
              <w:t xml:space="preserve">Variation du delta pour +1 sur le spot</w:t>
            </w:r>
          </w:p>
        </w:tc>
      </w:tr>
      <w:tr>
        <w:tc>
          <w:tcPr>
            <w:tcW w:type="dxa" w:w="1500"/>
            <w:tcMar>
              <w:top w:type="dxa" w:w="80"/>
              <w:left w:type="dxa" w:w="120"/>
              <w:bottom w:type="dxa" w:w="80"/>
              <w:right w:type="dxa" w:w="120"/>
            </w:tcMar>
          </w:tcPr>
          <w:p>
            <w:pPr>
              <w:keepNext/>
              <w:jc w:val="left"/>
            </w:pPr>
            <w:r>
              <w:rPr>
                <w:b/>
                <w:bCs/>
                <w:color w:val="000000"/>
                <w:sz w:val="19"/>
                <w:szCs w:val="19"/>
              </w:rPr>
              <w:t xml:space="preserve">Vega</w:t>
            </w:r>
          </w:p>
        </w:tc>
        <w:tc>
          <w:tcPr>
            <w:tcW w:type="dxa" w:w="2700"/>
            <w:tcMar>
              <w:top w:type="dxa" w:w="80"/>
              <w:left w:type="dxa" w:w="120"/>
              <w:bottom w:type="dxa" w:w="80"/>
              <w:right w:type="dxa" w:w="120"/>
            </w:tcMar>
          </w:tcPr>
          <w:p>
            <w:pPr>
              <w:keepNext/>
              <w:jc w:val="center"/>
            </w:pPr>
            <w:r>
              <w:rPr>
                <w:b w:val="false"/>
                <w:bCs w:val="false"/>
                <w:color w:val="000000"/>
                <w:sz w:val="19"/>
                <w:szCs w:val="19"/>
              </w:rPr>
              <w:t xml:space="preserve">Volatilité</w:t>
            </w:r>
          </w:p>
        </w:tc>
        <w:tc>
          <w:tcPr>
            <w:tcW w:type="dxa" w:w="4826"/>
            <w:tcMar>
              <w:top w:type="dxa" w:w="80"/>
              <w:left w:type="dxa" w:w="120"/>
              <w:bottom w:type="dxa" w:w="80"/>
              <w:right w:type="dxa" w:w="120"/>
            </w:tcMar>
          </w:tcPr>
          <w:p>
            <w:pPr>
              <w:keepNext/>
              <w:jc w:val="center"/>
            </w:pPr>
            <w:r>
              <w:rPr>
                <w:b w:val="false"/>
                <w:bCs w:val="false"/>
                <w:color w:val="000000"/>
                <w:sz w:val="19"/>
                <w:szCs w:val="19"/>
              </w:rPr>
              <w:t xml:space="preserve">Variation du prix pour +1 point de volatilité</w:t>
            </w:r>
          </w:p>
        </w:tc>
      </w:tr>
      <w:tr>
        <w:tc>
          <w:tcPr>
            <w:tcW w:type="dxa" w:w="1500"/>
            <w:tcMar>
              <w:top w:type="dxa" w:w="80"/>
              <w:left w:type="dxa" w:w="120"/>
              <w:bottom w:type="dxa" w:w="80"/>
              <w:right w:type="dxa" w:w="120"/>
            </w:tcMar>
          </w:tcPr>
          <w:p>
            <w:pPr>
              <w:keepNext/>
              <w:jc w:val="left"/>
            </w:pPr>
            <w:r>
              <w:rPr>
                <w:b/>
                <w:bCs/>
                <w:color w:val="000000"/>
                <w:sz w:val="19"/>
                <w:szCs w:val="19"/>
              </w:rPr>
              <w:t xml:space="preserve">Theta</w:t>
            </w:r>
          </w:p>
        </w:tc>
        <w:tc>
          <w:tcPr>
            <w:tcW w:type="dxa" w:w="2700"/>
            <w:tcMar>
              <w:top w:type="dxa" w:w="80"/>
              <w:left w:type="dxa" w:w="120"/>
              <w:bottom w:type="dxa" w:w="80"/>
              <w:right w:type="dxa" w:w="120"/>
            </w:tcMar>
          </w:tcPr>
          <w:p>
            <w:pPr>
              <w:keepNext/>
              <w:jc w:val="center"/>
            </w:pPr>
            <w:r>
              <w:rPr>
                <w:b w:val="false"/>
                <w:bCs w:val="false"/>
                <w:color w:val="000000"/>
                <w:sz w:val="19"/>
                <w:szCs w:val="19"/>
              </w:rPr>
              <w:t xml:space="preserve">Temps</w:t>
            </w:r>
          </w:p>
        </w:tc>
        <w:tc>
          <w:tcPr>
            <w:tcW w:type="dxa" w:w="4826"/>
            <w:tcMar>
              <w:top w:type="dxa" w:w="80"/>
              <w:left w:type="dxa" w:w="120"/>
              <w:bottom w:type="dxa" w:w="80"/>
              <w:right w:type="dxa" w:w="120"/>
            </w:tcMar>
          </w:tcPr>
          <w:p>
            <w:pPr>
              <w:keepNext/>
              <w:jc w:val="center"/>
            </w:pPr>
            <w:r>
              <w:rPr>
                <w:b w:val="false"/>
                <w:bCs w:val="false"/>
                <w:color w:val="000000"/>
                <w:sz w:val="19"/>
                <w:szCs w:val="19"/>
              </w:rPr>
              <w:t xml:space="preserve">Variation du prix pour 1 jour de moins</w:t>
            </w:r>
          </w:p>
        </w:tc>
      </w:tr>
      <w:tr>
        <w:tc>
          <w:tcPr>
            <w:tcW w:type="dxa" w:w="1500"/>
            <w:tcMar>
              <w:top w:type="dxa" w:w="80"/>
              <w:left w:type="dxa" w:w="120"/>
              <w:bottom w:type="dxa" w:w="80"/>
              <w:right w:type="dxa" w:w="120"/>
            </w:tcMar>
          </w:tcPr>
          <w:p>
            <w:pPr>
              <w:keepNext/>
              <w:jc w:val="left"/>
            </w:pPr>
            <w:r>
              <w:rPr>
                <w:b/>
                <w:bCs/>
                <w:color w:val="000000"/>
                <w:sz w:val="19"/>
                <w:szCs w:val="19"/>
              </w:rPr>
              <w:t xml:space="preserve">Rho</w:t>
            </w:r>
          </w:p>
        </w:tc>
        <w:tc>
          <w:tcPr>
            <w:tcW w:type="dxa" w:w="2700"/>
            <w:tcMar>
              <w:top w:type="dxa" w:w="80"/>
              <w:left w:type="dxa" w:w="120"/>
              <w:bottom w:type="dxa" w:w="80"/>
              <w:right w:type="dxa" w:w="120"/>
            </w:tcMar>
          </w:tcPr>
          <w:p>
            <w:pPr>
              <w:keepNext/>
              <w:jc w:val="center"/>
            </w:pPr>
            <w:r>
              <w:rPr>
                <w:b w:val="false"/>
                <w:bCs w:val="false"/>
                <w:color w:val="000000"/>
                <w:sz w:val="19"/>
                <w:szCs w:val="19"/>
              </w:rPr>
              <w:t xml:space="preserve">Taux d'intérêt</w:t>
            </w:r>
          </w:p>
        </w:tc>
        <w:tc>
          <w:tcPr>
            <w:tcW w:type="dxa" w:w="4826"/>
            <w:tcMar>
              <w:top w:type="dxa" w:w="80"/>
              <w:left w:type="dxa" w:w="120"/>
              <w:bottom w:type="dxa" w:w="80"/>
              <w:right w:type="dxa" w:w="120"/>
            </w:tcMar>
          </w:tcPr>
          <w:p>
            <w:pPr>
              <w:keepNext/>
              <w:jc w:val="center"/>
            </w:pPr>
            <w:r>
              <w:rPr>
                <w:b w:val="false"/>
                <w:bCs w:val="false"/>
                <w:color w:val="000000"/>
                <w:sz w:val="19"/>
                <w:szCs w:val="19"/>
              </w:rPr>
              <w:t xml:space="preserve">Variation du prix pour +1 point de taux</w:t>
            </w:r>
          </w:p>
        </w:tc>
      </w:tr>
    </w:tbl>
    <w:p>
      <w:pPr>
        <w:spacing w:after="120"/>
      </w:pPr>
    </w:p>
    <w:p>
      <w:pPr>
        <w:spacing w:after="160"/>
      </w:pPr>
      <w:r>
        <w:rPr>
          <w:sz w:val="21"/>
          <w:szCs w:val="21"/>
        </w:rPr>
        <w:t xml:space="preserve">Les formules brutes donnent le vega par unité de volatilité (soit 100 points) et le theta par an : il faut les diviser par 100 et par 365 pour obtenir les unités utilisées sur un desk. Oublier cette conversion est une erreur d'unité classique.</w:t>
      </w:r>
    </w:p>
    <w:p>
      <w:pPr>
        <w:pStyle w:val="Heading1"/>
        <w:keepNext/>
        <w:spacing w:after="200" w:before="400"/>
      </w:pPr>
      <w:r>
        <w:t xml:space="preserve">3. Résultats</w:t>
      </w:r>
    </w:p>
    <w:p>
      <w:pPr>
        <w:pStyle w:val="Heading2"/>
        <w:keepNext/>
        <w:spacing w:after="150" w:before="300"/>
      </w:pPr>
      <w:r>
        <w:t xml:space="preserve">3.1 Prix : les trois méthodes convergent</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3226"/>
        <w:gridCol w:w="1900"/>
        <w:gridCol w:w="1900"/>
        <w:gridCol w:w="2000"/>
      </w:tblGrid>
      <w:tr>
        <w:tc>
          <w:tcPr>
            <w:tcW w:type="dxa" w:w="3226"/>
            <w:shd w:fill="1F2937" w:val="clear"/>
            <w:tcMar>
              <w:top w:type="dxa" w:w="80"/>
              <w:left w:type="dxa" w:w="120"/>
              <w:bottom w:type="dxa" w:w="80"/>
              <w:right w:type="dxa" w:w="120"/>
            </w:tcMar>
          </w:tcPr>
          <w:p>
            <w:pPr>
              <w:keepNext/>
              <w:jc w:val="left"/>
            </w:pPr>
            <w:r>
              <w:rPr>
                <w:b/>
                <w:bCs/>
                <w:color w:val="FFFFFF"/>
                <w:sz w:val="19"/>
                <w:szCs w:val="19"/>
              </w:rPr>
              <w:t xml:space="preserve">Méthode</w:t>
            </w:r>
          </w:p>
        </w:tc>
        <w:tc>
          <w:tcPr>
            <w:tcW w:type="dxa" w:w="1900"/>
            <w:shd w:fill="1F2937" w:val="clear"/>
            <w:tcMar>
              <w:top w:type="dxa" w:w="80"/>
              <w:left w:type="dxa" w:w="120"/>
              <w:bottom w:type="dxa" w:w="80"/>
              <w:right w:type="dxa" w:w="120"/>
            </w:tcMar>
          </w:tcPr>
          <w:p>
            <w:pPr>
              <w:keepNext/>
              <w:jc w:val="center"/>
            </w:pPr>
            <w:r>
              <w:rPr>
                <w:b/>
                <w:bCs/>
                <w:color w:val="FFFFFF"/>
                <w:sz w:val="19"/>
                <w:szCs w:val="19"/>
              </w:rPr>
              <w:t xml:space="preserve">Call européen</w:t>
            </w:r>
          </w:p>
        </w:tc>
        <w:tc>
          <w:tcPr>
            <w:tcW w:type="dxa" w:w="1900"/>
            <w:shd w:fill="1F2937" w:val="clear"/>
            <w:tcMar>
              <w:top w:type="dxa" w:w="80"/>
              <w:left w:type="dxa" w:w="120"/>
              <w:bottom w:type="dxa" w:w="80"/>
              <w:right w:type="dxa" w:w="120"/>
            </w:tcMar>
          </w:tcPr>
          <w:p>
            <w:pPr>
              <w:keepNext/>
              <w:jc w:val="center"/>
            </w:pPr>
            <w:r>
              <w:rPr>
                <w:b/>
                <w:bCs/>
                <w:color w:val="FFFFFF"/>
                <w:sz w:val="19"/>
                <w:szCs w:val="19"/>
              </w:rPr>
              <w:t xml:space="preserve">Put européen</w:t>
            </w:r>
          </w:p>
        </w:tc>
        <w:tc>
          <w:tcPr>
            <w:tcW w:type="dxa" w:w="2000"/>
            <w:shd w:fill="1F2937" w:val="clear"/>
            <w:tcMar>
              <w:top w:type="dxa" w:w="80"/>
              <w:left w:type="dxa" w:w="120"/>
              <w:bottom w:type="dxa" w:w="80"/>
              <w:right w:type="dxa" w:w="120"/>
            </w:tcMar>
          </w:tcPr>
          <w:p>
            <w:pPr>
              <w:keepNext/>
              <w:jc w:val="center"/>
            </w:pPr>
            <w:r>
              <w:rPr>
                <w:b/>
                <w:bCs/>
                <w:color w:val="FFFFFF"/>
                <w:sz w:val="19"/>
                <w:szCs w:val="19"/>
              </w:rPr>
              <w:t xml:space="preserve">Put américain</w:t>
            </w:r>
          </w:p>
        </w:tc>
      </w:tr>
      <w:tr>
        <w:tc>
          <w:tcPr>
            <w:tcW w:type="dxa" w:w="3226"/>
            <w:tcMar>
              <w:top w:type="dxa" w:w="80"/>
              <w:left w:type="dxa" w:w="120"/>
              <w:bottom w:type="dxa" w:w="80"/>
              <w:right w:type="dxa" w:w="120"/>
            </w:tcMar>
          </w:tcPr>
          <w:p>
            <w:pPr>
              <w:keepNext/>
              <w:jc w:val="left"/>
            </w:pPr>
            <w:r>
              <w:rPr>
                <w:b/>
                <w:bCs/>
                <w:color w:val="000000"/>
                <w:sz w:val="19"/>
                <w:szCs w:val="19"/>
              </w:rPr>
              <w:t xml:space="preserve">Black-Scholes</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9,4134</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6,4580</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w:t>
            </w:r>
          </w:p>
        </w:tc>
      </w:tr>
      <w:tr>
        <w:tc>
          <w:tcPr>
            <w:tcW w:type="dxa" w:w="3226"/>
            <w:tcMar>
              <w:top w:type="dxa" w:w="80"/>
              <w:left w:type="dxa" w:w="120"/>
              <w:bottom w:type="dxa" w:w="80"/>
              <w:right w:type="dxa" w:w="120"/>
            </w:tcMar>
          </w:tcPr>
          <w:p>
            <w:pPr>
              <w:keepNext/>
              <w:jc w:val="left"/>
            </w:pPr>
            <w:r>
              <w:rPr>
                <w:b/>
                <w:bCs/>
                <w:color w:val="000000"/>
                <w:sz w:val="19"/>
                <w:szCs w:val="19"/>
              </w:rPr>
              <w:t xml:space="preserve">Monte Carlo (1M simulations)</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9,3980 ± 0,0141</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6,4740 ± 0,0094</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w:t>
            </w:r>
          </w:p>
        </w:tc>
      </w:tr>
      <w:tr>
        <w:tc>
          <w:tcPr>
            <w:tcW w:type="dxa" w:w="3226"/>
            <w:tcMar>
              <w:top w:type="dxa" w:w="80"/>
              <w:left w:type="dxa" w:w="120"/>
              <w:bottom w:type="dxa" w:w="80"/>
              <w:right w:type="dxa" w:w="120"/>
            </w:tcMar>
          </w:tcPr>
          <w:p>
            <w:pPr>
              <w:keepNext/>
              <w:jc w:val="left"/>
            </w:pPr>
            <w:r>
              <w:rPr>
                <w:b/>
                <w:bCs/>
                <w:color w:val="000000"/>
                <w:sz w:val="19"/>
                <w:szCs w:val="19"/>
              </w:rPr>
              <w:t xml:space="preserve">Arbre binomial (500 pas)</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9,4094</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6,4540</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6,7411</w:t>
            </w:r>
          </w:p>
        </w:tc>
      </w:tr>
      <w:tr>
        <w:tc>
          <w:tcPr>
            <w:tcW w:type="dxa" w:w="3226"/>
            <w:tcMar>
              <w:top w:type="dxa" w:w="80"/>
              <w:left w:type="dxa" w:w="120"/>
              <w:bottom w:type="dxa" w:w="80"/>
              <w:right w:type="dxa" w:w="120"/>
            </w:tcMar>
          </w:tcPr>
          <w:p>
            <w:pPr>
              <w:keepNext/>
              <w:jc w:val="left"/>
            </w:pPr>
            <w:r>
              <w:rPr>
                <w:b/>
                <w:bCs/>
                <w:color w:val="000000"/>
                <w:sz w:val="19"/>
                <w:szCs w:val="19"/>
              </w:rPr>
              <w:t xml:space="preserve">Arbre binomial (2 000 pas)</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9,4124</w:t>
            </w:r>
          </w:p>
        </w:tc>
        <w:tc>
          <w:tcPr>
            <w:tcW w:type="dxa" w:w="1900"/>
            <w:tcMar>
              <w:top w:type="dxa" w:w="80"/>
              <w:left w:type="dxa" w:w="120"/>
              <w:bottom w:type="dxa" w:w="80"/>
              <w:right w:type="dxa" w:w="120"/>
            </w:tcMar>
          </w:tcPr>
          <w:p>
            <w:pPr>
              <w:keepNext/>
              <w:jc w:val="center"/>
            </w:pPr>
            <w:r>
              <w:rPr>
                <w:b w:val="false"/>
                <w:bCs w:val="false"/>
                <w:color w:val="000000"/>
                <w:sz w:val="19"/>
                <w:szCs w:val="19"/>
              </w:rPr>
              <w:t xml:space="preserve">6,4570</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6,7425</w:t>
            </w:r>
          </w:p>
        </w:tc>
      </w:tr>
    </w:tbl>
    <w:p>
      <w:pPr>
        <w:spacing w:after="120"/>
      </w:pPr>
    </w:p>
    <w:p>
      <w:pPr>
        <w:spacing w:after="160"/>
      </w:pPr>
      <w:r>
        <w:rPr>
          <w:b/>
          <w:bCs/>
          <w:sz w:val="21"/>
          <w:szCs w:val="21"/>
        </w:rPr>
        <w:t xml:space="preserve">Lecture : </w:t>
      </w:r>
      <w:r>
        <w:rPr>
          <w:sz w:val="21"/>
          <w:szCs w:val="21"/>
        </w:rPr>
        <w:t xml:space="preserve">l'écart de Monte Carlo (-0,0154 pour le call) vaut environ une erreur-type, ce qui est normal. L'arbre est systématiquement un peu sous la valeur exacte, d'un écart divisé par 4 quand on passe de 500 à 2 000 pas. La parité call-put est respectée : 9,4134 − 6,4580 = 2,9554 = S − K·e^(−rT).</w:t>
      </w:r>
    </w:p>
    <w:p>
      <w:pPr>
        <w:pStyle w:val="Heading2"/>
        <w:keepNext/>
        <w:spacing w:after="150" w:before="300"/>
      </w:pPr>
      <w:r>
        <w:t xml:space="preserve">3.2 Convergence : deux lois d'erreur différentes</w:t>
      </w:r>
    </w:p>
    <w:p>
      <w:pPr>
        <w:keepNext/>
        <w:spacing w:after="60" w:before="100"/>
        <w:jc w:val="center"/>
      </w:pPr>
      <w:r>
        <w:drawing>
          <wp:inline distT="0" distB="0" distL="0" distR="0">
            <wp:extent cx="3810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62225"/>
                    </a:xfrm>
                    <a:prstGeom prst="rect">
                      <a:avLst/>
                    </a:prstGeom>
                  </pic:spPr>
                </pic:pic>
              </a:graphicData>
            </a:graphic>
          </wp:inline>
        </w:drawing>
      </w:r>
    </w:p>
    <w:p>
      <w:pPr>
        <w:spacing w:after="300"/>
        <w:jc w:val="center"/>
      </w:pPr>
      <w:r>
        <w:rPr>
          <w:i/>
          <w:iCs/>
          <w:color w:val="6B7280"/>
          <w:sz w:val="18"/>
          <w:szCs w:val="18"/>
        </w:rPr>
        <w:t xml:space="preserve">Erreur-type de Monte Carlo et erreur absolue d'un tirage, selon le nombre de simulations (échelle log-log)</w:t>
      </w:r>
    </w:p>
    <w:p>
      <w:pPr>
        <w:spacing w:after="160"/>
      </w:pPr>
      <w:r>
        <w:rPr>
          <w:sz w:val="21"/>
          <w:szCs w:val="21"/>
        </w:rPr>
        <w:t xml:space="preserve">L'erreur-type suit une loi en 1/√N : elle passe de 0,454 (1 000 simulations) à 0,0141 (1 million), soit une pente de -0,503 en échelle log-log (théorie : -0,5). L'erreur absolue d'un tirage donné (points orange) reste du même ordre de grandeur que l'erreur-type mais ne décroît pas régulièrement, car elle est elle-même aléatoire : à 10 000 simulations on tombe très près de la vraie valeur par chance. C'est pour cela qu'un prix Monte Carlo se donne toujours avec son erreur-type. Diviser l'incertitude par 10 coûte 100 fois plus de simulations.</w:t>
      </w:r>
    </w:p>
    <w:p>
      <w:pPr>
        <w:keepNext/>
        <w:spacing w:after="60" w:before="100"/>
        <w:jc w:val="center"/>
      </w:pPr>
      <w:r>
        <w:drawing>
          <wp:inline distT="0" distB="0" distL="0" distR="0">
            <wp:extent cx="3810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62225"/>
                    </a:xfrm>
                    <a:prstGeom prst="rect">
                      <a:avLst/>
                    </a:prstGeom>
                  </pic:spPr>
                </pic:pic>
              </a:graphicData>
            </a:graphic>
          </wp:inline>
        </w:drawing>
      </w:r>
    </w:p>
    <w:p>
      <w:pPr>
        <w:spacing w:after="300"/>
        <w:jc w:val="center"/>
      </w:pPr>
      <w:r>
        <w:rPr>
          <w:i/>
          <w:iCs/>
          <w:color w:val="6B7280"/>
          <w:sz w:val="18"/>
          <w:szCs w:val="18"/>
        </w:rPr>
        <w:t xml:space="preserve">Erreur de l'arbre binomial selon le nombre de pas (échelle log-log)</w:t>
      </w:r>
    </w:p>
    <w:p>
      <w:pPr>
        <w:spacing w:after="160"/>
      </w:pPr>
      <w:r>
        <w:rPr>
          <w:sz w:val="21"/>
          <w:szCs w:val="21"/>
        </w:rPr>
        <w:t xml:space="preserve">L'erreur de l'arbre est déterministe et suit une loi en 1/n : de 0,196 pour 10 pas à 0,00099 pour 2 000 pas, soit une pente de -0,998. Doubler le nombre de pas divise l'erreur par 2. Le nombre de pas est choisi pair : avec un nombre impair, l'erreur alterne de signe d'un pas à l'autre (environ +0,17 puis -0,16 autour de 10 à 13 pas), ce qui rend la convergence illisible.</w:t>
      </w:r>
    </w:p>
    <w:p>
      <w:pPr>
        <w:pStyle w:val="Heading2"/>
        <w:keepNext/>
        <w:spacing w:after="150" w:before="300"/>
      </w:pPr>
      <w:r>
        <w:t xml:space="preserve">3.3 Les Greeks</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2926"/>
        <w:gridCol w:w="2000"/>
        <w:gridCol w:w="2000"/>
        <w:gridCol w:w="2100"/>
      </w:tblGrid>
      <w:tr>
        <w:tc>
          <w:tcPr>
            <w:tcW w:type="dxa" w:w="2926"/>
            <w:shd w:fill="1F2937" w:val="clear"/>
            <w:tcMar>
              <w:top w:type="dxa" w:w="80"/>
              <w:left w:type="dxa" w:w="120"/>
              <w:bottom w:type="dxa" w:w="80"/>
              <w:right w:type="dxa" w:w="120"/>
            </w:tcMar>
          </w:tcPr>
          <w:p>
            <w:pPr>
              <w:keepNext/>
              <w:jc w:val="left"/>
            </w:pPr>
            <w:r>
              <w:rPr>
                <w:b/>
                <w:bCs/>
                <w:color w:val="FFFFFF"/>
                <w:sz w:val="19"/>
                <w:szCs w:val="19"/>
              </w:rPr>
              <w:t xml:space="preserve">Call de référence</w:t>
            </w:r>
          </w:p>
        </w:tc>
        <w:tc>
          <w:tcPr>
            <w:tcW w:type="dxa" w:w="2000"/>
            <w:shd w:fill="1F2937" w:val="clear"/>
            <w:tcMar>
              <w:top w:type="dxa" w:w="80"/>
              <w:left w:type="dxa" w:w="120"/>
              <w:bottom w:type="dxa" w:w="80"/>
              <w:right w:type="dxa" w:w="120"/>
            </w:tcMar>
          </w:tcPr>
          <w:p>
            <w:pPr>
              <w:keepNext/>
              <w:jc w:val="center"/>
            </w:pPr>
            <w:r>
              <w:rPr>
                <w:b/>
                <w:bCs/>
                <w:color w:val="FFFFFF"/>
                <w:sz w:val="19"/>
                <w:szCs w:val="19"/>
              </w:rPr>
              <w:t xml:space="preserve">Analytique</w:t>
            </w:r>
          </w:p>
        </w:tc>
        <w:tc>
          <w:tcPr>
            <w:tcW w:type="dxa" w:w="2000"/>
            <w:shd w:fill="1F2937" w:val="clear"/>
            <w:tcMar>
              <w:top w:type="dxa" w:w="80"/>
              <w:left w:type="dxa" w:w="120"/>
              <w:bottom w:type="dxa" w:w="80"/>
              <w:right w:type="dxa" w:w="120"/>
            </w:tcMar>
          </w:tcPr>
          <w:p>
            <w:pPr>
              <w:keepNext/>
              <w:jc w:val="center"/>
            </w:pPr>
            <w:r>
              <w:rPr>
                <w:b/>
                <w:bCs/>
                <w:color w:val="FFFFFF"/>
                <w:sz w:val="19"/>
                <w:szCs w:val="19"/>
              </w:rPr>
              <w:t xml:space="preserve">Diff. finies</w:t>
            </w:r>
          </w:p>
        </w:tc>
        <w:tc>
          <w:tcPr>
            <w:tcW w:type="dxa" w:w="2100"/>
            <w:shd w:fill="1F2937" w:val="clear"/>
            <w:tcMar>
              <w:top w:type="dxa" w:w="80"/>
              <w:left w:type="dxa" w:w="120"/>
              <w:bottom w:type="dxa" w:w="80"/>
              <w:right w:type="dxa" w:w="120"/>
            </w:tcMar>
          </w:tcPr>
          <w:p>
            <w:pPr>
              <w:keepNext/>
              <w:jc w:val="center"/>
            </w:pPr>
            <w:r>
              <w:rPr>
                <w:b/>
                <w:bCs/>
                <w:color w:val="FFFFFF"/>
                <w:sz w:val="19"/>
                <w:szCs w:val="19"/>
              </w:rPr>
              <w:t xml:space="preserve">Put analytique</w:t>
            </w:r>
          </w:p>
        </w:tc>
      </w:tr>
      <w:tr>
        <w:tc>
          <w:tcPr>
            <w:tcW w:type="dxa" w:w="2926"/>
            <w:tcMar>
              <w:top w:type="dxa" w:w="80"/>
              <w:left w:type="dxa" w:w="120"/>
              <w:bottom w:type="dxa" w:w="80"/>
              <w:right w:type="dxa" w:w="120"/>
            </w:tcMar>
          </w:tcPr>
          <w:p>
            <w:pPr>
              <w:keepNext/>
              <w:jc w:val="left"/>
            </w:pPr>
            <w:r>
              <w:rPr>
                <w:b/>
                <w:bCs/>
                <w:color w:val="000000"/>
                <w:sz w:val="19"/>
                <w:szCs w:val="19"/>
              </w:rPr>
              <w:t xml:space="preserve">Delta</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0,5987</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0,5986</w:t>
            </w:r>
          </w:p>
        </w:tc>
        <w:tc>
          <w:tcPr>
            <w:tcW w:type="dxa" w:w="2100"/>
            <w:tcMar>
              <w:top w:type="dxa" w:w="80"/>
              <w:left w:type="dxa" w:w="120"/>
              <w:bottom w:type="dxa" w:w="80"/>
              <w:right w:type="dxa" w:w="120"/>
            </w:tcMar>
          </w:tcPr>
          <w:p>
            <w:pPr>
              <w:keepNext/>
              <w:jc w:val="center"/>
            </w:pPr>
            <w:r>
              <w:rPr>
                <w:b w:val="false"/>
                <w:bCs w:val="false"/>
                <w:color w:val="000000"/>
                <w:sz w:val="19"/>
                <w:szCs w:val="19"/>
              </w:rPr>
              <w:t xml:space="preserve">-0,4013</w:t>
            </w:r>
          </w:p>
        </w:tc>
      </w:tr>
      <w:tr>
        <w:tc>
          <w:tcPr>
            <w:tcW w:type="dxa" w:w="2926"/>
            <w:tcMar>
              <w:top w:type="dxa" w:w="80"/>
              <w:left w:type="dxa" w:w="120"/>
              <w:bottom w:type="dxa" w:w="80"/>
              <w:right w:type="dxa" w:w="120"/>
            </w:tcMar>
          </w:tcPr>
          <w:p>
            <w:pPr>
              <w:keepNext/>
              <w:jc w:val="left"/>
            </w:pPr>
            <w:r>
              <w:rPr>
                <w:b/>
                <w:bCs/>
                <w:color w:val="000000"/>
                <w:sz w:val="19"/>
                <w:szCs w:val="19"/>
              </w:rPr>
              <w:t xml:space="preserve">Gamma</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0,0193</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0,0193</w:t>
            </w:r>
          </w:p>
        </w:tc>
        <w:tc>
          <w:tcPr>
            <w:tcW w:type="dxa" w:w="2100"/>
            <w:tcMar>
              <w:top w:type="dxa" w:w="80"/>
              <w:left w:type="dxa" w:w="120"/>
              <w:bottom w:type="dxa" w:w="80"/>
              <w:right w:type="dxa" w:w="120"/>
            </w:tcMar>
          </w:tcPr>
          <w:p>
            <w:pPr>
              <w:keepNext/>
              <w:jc w:val="center"/>
            </w:pPr>
            <w:r>
              <w:rPr>
                <w:b w:val="false"/>
                <w:bCs w:val="false"/>
                <w:color w:val="000000"/>
                <w:sz w:val="19"/>
                <w:szCs w:val="19"/>
              </w:rPr>
              <w:t xml:space="preserve">0,0193</w:t>
            </w:r>
          </w:p>
        </w:tc>
      </w:tr>
      <w:tr>
        <w:tc>
          <w:tcPr>
            <w:tcW w:type="dxa" w:w="2926"/>
            <w:tcMar>
              <w:top w:type="dxa" w:w="80"/>
              <w:left w:type="dxa" w:w="120"/>
              <w:bottom w:type="dxa" w:w="80"/>
              <w:right w:type="dxa" w:w="120"/>
            </w:tcMar>
          </w:tcPr>
          <w:p>
            <w:pPr>
              <w:keepNext/>
              <w:jc w:val="left"/>
            </w:pPr>
            <w:r>
              <w:rPr>
                <w:b/>
                <w:bCs/>
                <w:color w:val="000000"/>
                <w:sz w:val="19"/>
                <w:szCs w:val="19"/>
              </w:rPr>
              <w:t xml:space="preserve">Vega (par point de vol.)</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0,3867</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0,3868</w:t>
            </w:r>
          </w:p>
        </w:tc>
        <w:tc>
          <w:tcPr>
            <w:tcW w:type="dxa" w:w="2100"/>
            <w:tcMar>
              <w:top w:type="dxa" w:w="80"/>
              <w:left w:type="dxa" w:w="120"/>
              <w:bottom w:type="dxa" w:w="80"/>
              <w:right w:type="dxa" w:w="120"/>
            </w:tcMar>
          </w:tcPr>
          <w:p>
            <w:pPr>
              <w:keepNext/>
              <w:jc w:val="center"/>
            </w:pPr>
            <w:r>
              <w:rPr>
                <w:b w:val="false"/>
                <w:bCs w:val="false"/>
                <w:color w:val="000000"/>
                <w:sz w:val="19"/>
                <w:szCs w:val="19"/>
              </w:rPr>
              <w:t xml:space="preserve">0,3867</w:t>
            </w:r>
          </w:p>
        </w:tc>
      </w:tr>
      <w:tr>
        <w:tc>
          <w:tcPr>
            <w:tcW w:type="dxa" w:w="2926"/>
            <w:tcMar>
              <w:top w:type="dxa" w:w="80"/>
              <w:left w:type="dxa" w:w="120"/>
              <w:bottom w:type="dxa" w:w="80"/>
              <w:right w:type="dxa" w:w="120"/>
            </w:tcMar>
          </w:tcPr>
          <w:p>
            <w:pPr>
              <w:keepNext/>
              <w:jc w:val="left"/>
            </w:pPr>
            <w:r>
              <w:rPr>
                <w:b/>
                <w:bCs/>
                <w:color w:val="000000"/>
                <w:sz w:val="19"/>
                <w:szCs w:val="19"/>
              </w:rPr>
              <w:t xml:space="preserve">Theta (par jour)</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-0,0147</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-0,0147</w:t>
            </w:r>
          </w:p>
        </w:tc>
        <w:tc>
          <w:tcPr>
            <w:tcW w:type="dxa" w:w="2100"/>
            <w:tcMar>
              <w:top w:type="dxa" w:w="80"/>
              <w:left w:type="dxa" w:w="120"/>
              <w:bottom w:type="dxa" w:w="80"/>
              <w:right w:type="dxa" w:w="120"/>
            </w:tcMar>
          </w:tcPr>
          <w:p>
            <w:pPr>
              <w:keepNext/>
              <w:jc w:val="center"/>
            </w:pPr>
            <w:r>
              <w:rPr>
                <w:b w:val="false"/>
                <w:bCs w:val="false"/>
                <w:color w:val="000000"/>
                <w:sz w:val="19"/>
                <w:szCs w:val="19"/>
              </w:rPr>
              <w:t xml:space="preserve">-0,0068</w:t>
            </w:r>
          </w:p>
        </w:tc>
      </w:tr>
      <w:tr>
        <w:tc>
          <w:tcPr>
            <w:tcW w:type="dxa" w:w="2926"/>
            <w:tcMar>
              <w:top w:type="dxa" w:w="80"/>
              <w:left w:type="dxa" w:w="120"/>
              <w:bottom w:type="dxa" w:w="80"/>
              <w:right w:type="dxa" w:w="120"/>
            </w:tcMar>
          </w:tcPr>
          <w:p>
            <w:pPr>
              <w:keepNext/>
              <w:jc w:val="left"/>
            </w:pPr>
            <w:r>
              <w:rPr>
                <w:b/>
                <w:bCs/>
                <w:color w:val="000000"/>
                <w:sz w:val="19"/>
                <w:szCs w:val="19"/>
              </w:rPr>
              <w:t xml:space="preserve">Rho (par point de taux)</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0,5046</w:t>
            </w:r>
          </w:p>
        </w:tc>
        <w:tc>
          <w:tcPr>
            <w:tcW w:type="dxa" w:w="2000"/>
            <w:tcMar>
              <w:top w:type="dxa" w:w="80"/>
              <w:left w:type="dxa" w:w="120"/>
              <w:bottom w:type="dxa" w:w="80"/>
              <w:right w:type="dxa" w:w="120"/>
            </w:tcMar>
          </w:tcPr>
          <w:p>
            <w:pPr>
              <w:keepNext/>
              <w:jc w:val="center"/>
            </w:pPr>
            <w:r>
              <w:rPr>
                <w:b w:val="false"/>
                <w:bCs w:val="false"/>
                <w:color w:val="000000"/>
                <w:sz w:val="19"/>
                <w:szCs w:val="19"/>
              </w:rPr>
              <w:t xml:space="preserve">0,5117</w:t>
            </w:r>
          </w:p>
        </w:tc>
        <w:tc>
          <w:tcPr>
            <w:tcW w:type="dxa" w:w="2100"/>
            <w:tcMar>
              <w:top w:type="dxa" w:w="80"/>
              <w:left w:type="dxa" w:w="120"/>
              <w:bottom w:type="dxa" w:w="80"/>
              <w:right w:type="dxa" w:w="120"/>
            </w:tcMar>
          </w:tcPr>
          <w:p>
            <w:pPr>
              <w:keepNext/>
              <w:jc w:val="center"/>
            </w:pPr>
            <w:r>
              <w:rPr>
                <w:b w:val="false"/>
                <w:bCs w:val="false"/>
                <w:color w:val="000000"/>
                <w:sz w:val="19"/>
                <w:szCs w:val="19"/>
              </w:rPr>
              <w:t xml:space="preserve">-0,4659</w:t>
            </w:r>
          </w:p>
        </w:tc>
      </w:tr>
    </w:tbl>
    <w:p>
      <w:pPr>
        <w:spacing w:after="120"/>
      </w:pPr>
    </w:p>
    <w:p>
      <w:pPr>
        <w:spacing w:after="160"/>
      </w:pPr>
      <w:r>
        <w:rPr>
          <w:sz w:val="21"/>
          <w:szCs w:val="21"/>
        </w:rPr>
        <w:t xml:space="preserve">Les deux méthodes concordent, sauf pour le rho (0,5046 contre 0,5117) : la différence finie utilise un saut complet de +1 point de taux, et le prix est courbe en fonction du taux, donc la pente moyenne sur le saut diffère de la pente exacte en un point. Le gamma et le vega sont identiques pour le call et le put, et delta(call) − delta(put) = 1 comme attendu sans dividende.</w:t>
      </w:r>
    </w:p>
    <w:p>
      <w:pPr>
        <w:keepNext/>
        <w:spacing w:after="60" w:before="100"/>
        <w:jc w:val="center"/>
      </w:pPr>
      <w:r>
        <w:drawing>
          <wp:inline distT="0" distB="0" distL="0" distR="0">
            <wp:extent cx="4000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47950"/>
                    </a:xfrm>
                    <a:prstGeom prst="rect">
                      <a:avLst/>
                    </a:prstGeom>
                  </pic:spPr>
                </pic:pic>
              </a:graphicData>
            </a:graphic>
          </wp:inline>
        </w:drawing>
      </w:r>
    </w:p>
    <w:p>
      <w:pPr>
        <w:spacing w:after="300"/>
        <w:jc w:val="center"/>
      </w:pPr>
      <w:r>
        <w:rPr>
          <w:i/>
          <w:iCs/>
          <w:color w:val="6B7280"/>
          <w:sz w:val="18"/>
          <w:szCs w:val="18"/>
        </w:rPr>
        <w:t xml:space="preserve">Greeks du call selon le spot (strike = 100, trait pointillé)</w:t>
      </w:r>
    </w:p>
    <w:p>
      <w:pPr>
        <w:spacing w:after="160"/>
      </w:pPr>
      <w:r>
        <w:rPr>
          <w:sz w:val="21"/>
          <w:szCs w:val="21"/>
        </w:rPr>
        <w:t xml:space="preserve">Le delta passe de 0 à 1 : c'est une probabilité d'exercice approximative. Le gamma, le vega et le theta sont maximaux (en valeur absolue) près de la monnaie, mais pas exactement au strike : le gamma culmine vers un spot de 91,5, le vega vers 99 et le theta est le plus négatif vers 105, du fait de la loi log-normale du sous-jacent et du taux d'intérêt. En pratique, c'est près de la monnaie que la couverture en delta doit être réajustée le plus souvent.</w:t>
      </w:r>
    </w:p>
    <w:p>
      <w:pPr>
        <w:pStyle w:val="Heading2"/>
        <w:keepNext/>
        <w:spacing w:after="150" w:before="300"/>
      </w:pPr>
      <w:r>
        <w:t xml:space="preserve">3.4 Exercice anticipé : la prime du put américain</w:t>
      </w:r>
    </w:p>
    <w:p>
      <w:pPr>
        <w:keepNext/>
        <w:spacing w:after="60" w:before="100"/>
        <w:jc w:val="center"/>
      </w:pPr>
      <w:r>
        <w:drawing>
          <wp:inline distT="0" distB="0" distL="0" distR="0">
            <wp:extent cx="4191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581150"/>
                    </a:xfrm>
                    <a:prstGeom prst="rect">
                      <a:avLst/>
                    </a:prstGeom>
                  </pic:spPr>
                </pic:pic>
              </a:graphicData>
            </a:graphic>
          </wp:inline>
        </w:drawing>
      </w:r>
    </w:p>
    <w:p>
      <w:pPr>
        <w:spacing w:after="300"/>
        <w:jc w:val="center"/>
      </w:pPr>
      <w:r>
        <w:rPr>
          <w:i/>
          <w:iCs/>
          <w:color w:val="6B7280"/>
          <w:sz w:val="18"/>
          <w:szCs w:val="18"/>
        </w:rPr>
        <w:t xml:space="preserve">Put américain contre européen, et prime d'exercice anticipé, selon le spot (500 pas)</w:t>
      </w:r>
    </w:p>
    <w:p>
      <w:pPr>
        <w:spacing w:after="160"/>
      </w:pPr>
      <w:r>
        <w:rPr>
          <w:sz w:val="21"/>
          <w:szCs w:val="21"/>
        </w:rPr>
        <w:t xml:space="preserve">À la monnaie, le put américain vaut 6,7411 contre 6,4540 pour l'européen, soit une prime de 0,2871. La prime atteint 2,91 pour un spot de 60 : quand le put est très dans la monnaie, exercer tout de suite pour encaisser K − S et placer le montant au taux sans risque vaut mieux qu'attendre l'échéance. Le put européen peut valoir moins que sa valeur intrinsèque (37,09 contre 40 à un spot de 60) ; le put américain, lui, colle à la valeur intrinsèque. À l'inverse, le call américain vaut exactement le call européen (9,4094) en l'absence de dividende, car il n'est jamais optimal de l'exercer avant l'échéance.</w:t>
      </w:r>
    </w:p>
    <w:p>
      <w:pPr>
        <w:pStyle w:val="Heading1"/>
        <w:keepNext/>
        <w:spacing w:after="200" w:before="400"/>
      </w:pPr>
      <w:r>
        <w:t xml:space="preserve">4. Choisir la bonne méthode</w:t>
      </w:r>
    </w:p>
    <w:p>
      <w:pPr>
        <w:spacing w:after="160"/>
      </w:pPr>
      <w:r>
        <w:rPr>
          <w:sz w:val="21"/>
          <w:szCs w:val="21"/>
        </w:rPr>
        <w:t xml:space="preserve">Sur une option vanille européenne, Black-Scholes l'emporte toujours en précision et en vitesse. Le vrai critère de choix est ce que chaque méthode sait faire.</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1900"/>
        <w:gridCol w:w="1700"/>
        <w:gridCol w:w="1700"/>
        <w:gridCol w:w="2026"/>
        <w:gridCol w:w="1700"/>
      </w:tblGrid>
      <w:tr>
        <w:tc>
          <w:tcPr>
            <w:tcW w:type="dxa" w:w="1900"/>
            <w:shd w:fill="1F2937" w:val="clear"/>
            <w:tcMar>
              <w:top w:type="dxa" w:w="80"/>
              <w:left w:type="dxa" w:w="120"/>
              <w:bottom w:type="dxa" w:w="80"/>
              <w:right w:type="dxa" w:w="120"/>
            </w:tcMar>
          </w:tcPr>
          <w:p>
            <w:pPr>
              <w:keepNext/>
              <w:jc w:val="left"/>
            </w:pPr>
            <w:r>
              <w:rPr>
                <w:b/>
                <w:bCs/>
                <w:color w:val="FFFFFF"/>
                <w:sz w:val="19"/>
                <w:szCs w:val="19"/>
              </w:rPr>
              <w:t xml:space="preserve">Méthode</w:t>
            </w:r>
          </w:p>
        </w:tc>
        <w:tc>
          <w:tcPr>
            <w:tcW w:type="dxa" w:w="1700"/>
            <w:shd w:fill="1F2937" w:val="clear"/>
            <w:tcMar>
              <w:top w:type="dxa" w:w="80"/>
              <w:left w:type="dxa" w:w="120"/>
              <w:bottom w:type="dxa" w:w="80"/>
              <w:right w:type="dxa" w:w="120"/>
            </w:tcMar>
          </w:tcPr>
          <w:p>
            <w:pPr>
              <w:keepNext/>
              <w:jc w:val="center"/>
            </w:pPr>
            <w:r>
              <w:rPr>
                <w:b/>
                <w:bCs/>
                <w:color w:val="FFFFFF"/>
                <w:sz w:val="19"/>
                <w:szCs w:val="19"/>
              </w:rPr>
              <w:t xml:space="preserve">Européennes</w:t>
            </w:r>
          </w:p>
        </w:tc>
        <w:tc>
          <w:tcPr>
            <w:tcW w:type="dxa" w:w="1700"/>
            <w:shd w:fill="1F2937" w:val="clear"/>
            <w:tcMar>
              <w:top w:type="dxa" w:w="80"/>
              <w:left w:type="dxa" w:w="120"/>
              <w:bottom w:type="dxa" w:w="80"/>
              <w:right w:type="dxa" w:w="120"/>
            </w:tcMar>
          </w:tcPr>
          <w:p>
            <w:pPr>
              <w:keepNext/>
              <w:jc w:val="center"/>
            </w:pPr>
            <w:r>
              <w:rPr>
                <w:b/>
                <w:bCs/>
                <w:color w:val="FFFFFF"/>
                <w:sz w:val="19"/>
                <w:szCs w:val="19"/>
              </w:rPr>
              <w:t xml:space="preserve">Américaines</w:t>
            </w:r>
          </w:p>
        </w:tc>
        <w:tc>
          <w:tcPr>
            <w:tcW w:type="dxa" w:w="2026"/>
            <w:shd w:fill="1F2937" w:val="clear"/>
            <w:tcMar>
              <w:top w:type="dxa" w:w="80"/>
              <w:left w:type="dxa" w:w="120"/>
              <w:bottom w:type="dxa" w:w="80"/>
              <w:right w:type="dxa" w:w="120"/>
            </w:tcMar>
          </w:tcPr>
          <w:p>
            <w:pPr>
              <w:keepNext/>
              <w:jc w:val="center"/>
            </w:pPr>
            <w:r>
              <w:rPr>
                <w:b/>
                <w:bCs/>
                <w:color w:val="FFFFFF"/>
                <w:sz w:val="19"/>
                <w:szCs w:val="19"/>
              </w:rPr>
              <w:t xml:space="preserve">Path-dependent (autocall)</w:t>
            </w:r>
          </w:p>
        </w:tc>
        <w:tc>
          <w:tcPr>
            <w:tcW w:type="dxa" w:w="1700"/>
            <w:shd w:fill="1F2937" w:val="clear"/>
            <w:tcMar>
              <w:top w:type="dxa" w:w="80"/>
              <w:left w:type="dxa" w:w="120"/>
              <w:bottom w:type="dxa" w:w="80"/>
              <w:right w:type="dxa" w:w="120"/>
            </w:tcMar>
          </w:tcPr>
          <w:p>
            <w:pPr>
              <w:keepNext/>
              <w:jc w:val="center"/>
            </w:pPr>
            <w:r>
              <w:rPr>
                <w:b/>
                <w:bCs/>
                <w:color w:val="FFFFFF"/>
                <w:sz w:val="19"/>
                <w:szCs w:val="19"/>
              </w:rPr>
              <w:t xml:space="preserve">Nombreux sous-jacents</w:t>
            </w:r>
          </w:p>
        </w:tc>
      </w:tr>
      <w:tr>
        <w:tc>
          <w:tcPr>
            <w:tcW w:type="dxa" w:w="1900"/>
            <w:tcMar>
              <w:top w:type="dxa" w:w="80"/>
              <w:left w:type="dxa" w:w="120"/>
              <w:bottom w:type="dxa" w:w="80"/>
              <w:right w:type="dxa" w:w="120"/>
            </w:tcMar>
          </w:tcPr>
          <w:p>
            <w:pPr>
              <w:keepNext/>
              <w:jc w:val="left"/>
            </w:pPr>
            <w:r>
              <w:rPr>
                <w:b/>
                <w:bCs/>
                <w:color w:val="000000"/>
                <w:sz w:val="19"/>
                <w:szCs w:val="19"/>
              </w:rPr>
              <w:t xml:space="preserve">Black-Scholes</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Oui (exact)</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Non</w:t>
            </w:r>
          </w:p>
        </w:tc>
        <w:tc>
          <w:tcPr>
            <w:tcW w:type="dxa" w:w="2026"/>
            <w:tcMar>
              <w:top w:type="dxa" w:w="80"/>
              <w:left w:type="dxa" w:w="120"/>
              <w:bottom w:type="dxa" w:w="80"/>
              <w:right w:type="dxa" w:w="120"/>
            </w:tcMar>
          </w:tcPr>
          <w:p>
            <w:pPr>
              <w:keepNext/>
              <w:jc w:val="center"/>
            </w:pPr>
            <w:r>
              <w:rPr>
                <w:b w:val="false"/>
                <w:bCs w:val="false"/>
                <w:color w:val="000000"/>
                <w:sz w:val="19"/>
                <w:szCs w:val="19"/>
              </w:rPr>
              <w:t xml:space="preserve">Non</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Non</w:t>
            </w:r>
          </w:p>
        </w:tc>
      </w:tr>
      <w:tr>
        <w:tc>
          <w:tcPr>
            <w:tcW w:type="dxa" w:w="1900"/>
            <w:tcMar>
              <w:top w:type="dxa" w:w="80"/>
              <w:left w:type="dxa" w:w="120"/>
              <w:bottom w:type="dxa" w:w="80"/>
              <w:right w:type="dxa" w:w="120"/>
            </w:tcMar>
          </w:tcPr>
          <w:p>
            <w:pPr>
              <w:keepNext/>
              <w:jc w:val="left"/>
            </w:pPr>
            <w:r>
              <w:rPr>
                <w:b/>
                <w:bCs/>
                <w:color w:val="000000"/>
                <w:sz w:val="19"/>
                <w:szCs w:val="19"/>
              </w:rPr>
              <w:t xml:space="preserve">Arbre binomial</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Oui</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Oui</w:t>
            </w:r>
          </w:p>
        </w:tc>
        <w:tc>
          <w:tcPr>
            <w:tcW w:type="dxa" w:w="2026"/>
            <w:tcMar>
              <w:top w:type="dxa" w:w="80"/>
              <w:left w:type="dxa" w:w="120"/>
              <w:bottom w:type="dxa" w:w="80"/>
              <w:right w:type="dxa" w:w="120"/>
            </w:tcMar>
          </w:tcPr>
          <w:p>
            <w:pPr>
              <w:keepNext/>
              <w:jc w:val="center"/>
            </w:pPr>
            <w:r>
              <w:rPr>
                <w:b w:val="false"/>
                <w:bCs w:val="false"/>
                <w:color w:val="000000"/>
                <w:sz w:val="19"/>
                <w:szCs w:val="19"/>
              </w:rPr>
              <w:t xml:space="preserve">Difficile</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Non (coût exponentiel)</w:t>
            </w:r>
          </w:p>
        </w:tc>
      </w:tr>
      <w:tr>
        <w:tc>
          <w:tcPr>
            <w:tcW w:type="dxa" w:w="1900"/>
            <w:tcMar>
              <w:top w:type="dxa" w:w="80"/>
              <w:left w:type="dxa" w:w="120"/>
              <w:bottom w:type="dxa" w:w="80"/>
              <w:right w:type="dxa" w:w="120"/>
            </w:tcMar>
          </w:tcPr>
          <w:p>
            <w:pPr>
              <w:keepNext/>
              <w:jc w:val="left"/>
            </w:pPr>
            <w:r>
              <w:rPr>
                <w:b/>
                <w:bCs/>
                <w:color w:val="000000"/>
                <w:sz w:val="19"/>
                <w:szCs w:val="19"/>
              </w:rPr>
              <w:t xml:space="preserve">Monte Carlo</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Oui</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Difficile</w:t>
            </w:r>
          </w:p>
        </w:tc>
        <w:tc>
          <w:tcPr>
            <w:tcW w:type="dxa" w:w="2026"/>
            <w:tcMar>
              <w:top w:type="dxa" w:w="80"/>
              <w:left w:type="dxa" w:w="120"/>
              <w:bottom w:type="dxa" w:w="80"/>
              <w:right w:type="dxa" w:w="120"/>
            </w:tcMar>
          </w:tcPr>
          <w:p>
            <w:pPr>
              <w:keepNext/>
              <w:jc w:val="center"/>
            </w:pPr>
            <w:r>
              <w:rPr>
                <w:b w:val="false"/>
                <w:bCs w:val="false"/>
                <w:color w:val="000000"/>
                <w:sz w:val="19"/>
                <w:szCs w:val="19"/>
              </w:rPr>
              <w:t xml:space="preserve">Oui</w:t>
            </w:r>
          </w:p>
        </w:tc>
        <w:tc>
          <w:tcPr>
            <w:tcW w:type="dxa" w:w="1700"/>
            <w:tcMar>
              <w:top w:type="dxa" w:w="80"/>
              <w:left w:type="dxa" w:w="120"/>
              <w:bottom w:type="dxa" w:w="80"/>
              <w:right w:type="dxa" w:w="120"/>
            </w:tcMar>
          </w:tcPr>
          <w:p>
            <w:pPr>
              <w:keepNext/>
              <w:jc w:val="center"/>
            </w:pPr>
            <w:r>
              <w:rPr>
                <w:b w:val="false"/>
                <w:bCs w:val="false"/>
                <w:color w:val="000000"/>
                <w:sz w:val="19"/>
                <w:szCs w:val="19"/>
              </w:rPr>
              <w:t xml:space="preserve">Oui</w:t>
            </w:r>
          </w:p>
        </w:tc>
      </w:tr>
    </w:tbl>
    <w:p>
      <w:pPr>
        <w:spacing w:after="120"/>
      </w:pPr>
    </w:p>
    <w:p>
      <w:pPr>
        <w:pStyle w:val="Heading1"/>
        <w:keepNext/>
        <w:spacing w:after="200" w:before="400"/>
      </w:pPr>
      <w:r>
        <w:t xml:space="preserve">5. Limites et pistes d'amélioration</w:t>
      </w:r>
    </w:p>
    <w:p>
      <w:pPr>
        <w:pStyle w:val="ListParagraph"/>
        <w:numPr>
          <w:ilvl w:val="0"/>
          <w:numId w:val="1"/>
        </w:numPr>
        <w:spacing w:after="80"/>
      </w:pPr>
      <w:r>
        <w:t xml:space="preserve">Volatilité constante : Black-Scholes ignore le smile de volatilité observé sur le marché. Un modèle à volatilité locale ou stochastique (Dupire, Heston) serait la suite logique.</w:t>
      </w:r>
    </w:p>
    <w:p>
      <w:pPr>
        <w:pStyle w:val="ListParagraph"/>
        <w:numPr>
          <w:ilvl w:val="0"/>
          <w:numId w:val="1"/>
        </w:numPr>
        <w:spacing w:after="80"/>
      </w:pPr>
      <w:r>
        <w:t xml:space="preserve">Une seule option de référence (à la monnaie, 1 an) et pas de dividende : le call américain n'a donc pas de prime d'exercice, alors qu'il en aurait une avec dividende.</w:t>
      </w:r>
    </w:p>
    <w:p>
      <w:pPr>
        <w:pStyle w:val="ListParagraph"/>
        <w:numPr>
          <w:ilvl w:val="0"/>
          <w:numId w:val="1"/>
        </w:numPr>
        <w:spacing w:after="80"/>
      </w:pPr>
      <w:r>
        <w:t xml:space="preserve">Aucune donnée de marché : les paramètres sont fixés à la main, sans calibration sur des cotations réelles d'options.</w:t>
      </w:r>
    </w:p>
    <w:p>
      <w:pPr>
        <w:pStyle w:val="ListParagraph"/>
        <w:numPr>
          <w:ilvl w:val="0"/>
          <w:numId w:val="1"/>
        </w:numPr>
        <w:spacing w:after="80"/>
      </w:pPr>
      <w:r>
        <w:t xml:space="preserve">Monte Carlo simple, sans réduction de variance (variables antithétiques, variables de contrôle).</w:t>
      </w:r>
    </w:p>
    <w:p>
      <w:pPr>
        <w:pStyle w:val="ListParagraph"/>
        <w:numPr>
          <w:ilvl w:val="0"/>
          <w:numId w:val="1"/>
        </w:numPr>
        <w:spacing w:after="80"/>
      </w:pPr>
      <w:r>
        <w:t xml:space="preserve">Arbre CRR uniquement : la paramétrisation de Leisen-Reimer ou de Tian converge plus vite que 1/n.</w:t>
      </w:r>
    </w:p>
    <w:p>
      <w:pPr>
        <w:pStyle w:val="Heading1"/>
        <w:keepNext/>
        <w:spacing w:after="200" w:before="400"/>
      </w:pPr>
      <w:r>
        <w:t xml:space="preserve">6. Conclusion</w:t>
      </w:r>
    </w:p>
    <w:p>
      <w:pPr>
        <w:spacing w:after="160"/>
      </w:pPr>
      <w:r>
        <w:rPr>
          <w:sz w:val="21"/>
          <w:szCs w:val="21"/>
        </w:rPr>
        <w:t xml:space="preserve">Ce projet implémente trois méthodes de pricing d'options et leurs Greeks, les valide l'une par l'autre sur une option européenne, et mesure leur vitesse de convergence : l'erreur de Monte Carlo suit 1/√N (pente -0,503), celle de l'arbre 1/n (pente -0,998). Il met aussi en évidence la valeur de l'exercice anticipé, avec une prime de 0,2871 sur le put à la monnaie. L'enseignement principal est de savoir quoi attendre de chaque outil : une formule exacte quand elle existe, un arbre pour l'exercice anticipé, et la simulation, avec son erreur-type, pour tout le reste. C'est cette dernière que l'on retrouve dans le pricing d'un produit structuré, comme l'autocall.</w:t>
      </w:r>
    </w:p>
    <w:p>
      <w:pPr>
        <w:pStyle w:val="Heading1"/>
        <w:keepNext/>
        <w:spacing w:after="200" w:before="400"/>
      </w:pPr>
      <w:r>
        <w:t xml:space="preserve">Annexe — Paramètres et reproductibilité</w:t>
      </w:r>
    </w:p>
    <w:tbl>
      <w:tblPr>
        <w:tblW w:type="dxa" w:w="9026"/>
        <w:tblBorders>
          <w:top w:val="single" w:color="D1D5DB" w:sz="2"/>
          <w:left w:val="single" w:color="D1D5DB" w:sz="2"/>
          <w:bottom w:val="single" w:color="D1D5DB" w:sz="2"/>
          <w:right w:val="single" w:color="D1D5DB" w:sz="2"/>
          <w:insideH w:val="single" w:color="E5E7EB" w:sz="2"/>
          <w:insideV w:val="single" w:color="E5E7EB" w:sz="2"/>
        </w:tblBorders>
      </w:tblPr>
      <w:tblGrid>
        <w:gridCol w:w="4500"/>
        <w:gridCol w:w="4526"/>
      </w:tblGrid>
      <w:tr>
        <w:tc>
          <w:tcPr>
            <w:tcW w:type="dxa" w:w="4500"/>
            <w:shd w:fill="1F2937" w:val="clear"/>
            <w:tcMar>
              <w:top w:type="dxa" w:w="80"/>
              <w:left w:type="dxa" w:w="120"/>
              <w:bottom w:type="dxa" w:w="80"/>
              <w:right w:type="dxa" w:w="120"/>
            </w:tcMar>
          </w:tcPr>
          <w:p>
            <w:pPr>
              <w:keepNext/>
              <w:jc w:val="left"/>
            </w:pPr>
            <w:r>
              <w:rPr>
                <w:b/>
                <w:bCs/>
                <w:color w:val="FFFFFF"/>
                <w:sz w:val="19"/>
                <w:szCs w:val="19"/>
              </w:rPr>
              <w:t xml:space="preserve">Paramètre</w:t>
            </w:r>
          </w:p>
        </w:tc>
        <w:tc>
          <w:tcPr>
            <w:tcW w:type="dxa" w:w="4526"/>
            <w:shd w:fill="1F2937" w:val="clear"/>
            <w:tcMar>
              <w:top w:type="dxa" w:w="80"/>
              <w:left w:type="dxa" w:w="120"/>
              <w:bottom w:type="dxa" w:w="80"/>
              <w:right w:type="dxa" w:w="120"/>
            </w:tcMar>
          </w:tcPr>
          <w:p>
            <w:pPr>
              <w:keepNext/>
              <w:jc w:val="center"/>
            </w:pPr>
            <w:r>
              <w:rPr>
                <w:b/>
                <w:bCs/>
                <w:color w:val="FFFFFF"/>
                <w:sz w:val="19"/>
                <w:szCs w:val="19"/>
              </w:rPr>
              <w:t xml:space="preserve">Valeur</w:t>
            </w:r>
          </w:p>
        </w:tc>
      </w:tr>
      <w:tr>
        <w:tc>
          <w:tcPr>
            <w:tcW w:type="dxa" w:w="4500"/>
            <w:tcMar>
              <w:top w:type="dxa" w:w="80"/>
              <w:left w:type="dxa" w:w="120"/>
              <w:bottom w:type="dxa" w:w="80"/>
              <w:right w:type="dxa" w:w="120"/>
            </w:tcMar>
          </w:tcPr>
          <w:p>
            <w:pPr>
              <w:keepNext/>
              <w:jc w:val="left"/>
            </w:pPr>
            <w:r>
              <w:rPr>
                <w:b/>
                <w:bCs/>
                <w:color w:val="000000"/>
                <w:sz w:val="19"/>
                <w:szCs w:val="19"/>
              </w:rPr>
              <w:t xml:space="preserve">Spot (S0) / strike (K)</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100 / 100</w:t>
            </w:r>
          </w:p>
        </w:tc>
      </w:tr>
      <w:tr>
        <w:tc>
          <w:tcPr>
            <w:tcW w:type="dxa" w:w="4500"/>
            <w:tcMar>
              <w:top w:type="dxa" w:w="80"/>
              <w:left w:type="dxa" w:w="120"/>
              <w:bottom w:type="dxa" w:w="80"/>
              <w:right w:type="dxa" w:w="120"/>
            </w:tcMar>
          </w:tcPr>
          <w:p>
            <w:pPr>
              <w:keepNext/>
              <w:jc w:val="left"/>
            </w:pPr>
            <w:r>
              <w:rPr>
                <w:b/>
                <w:bCs/>
                <w:color w:val="000000"/>
                <w:sz w:val="19"/>
                <w:szCs w:val="19"/>
              </w:rPr>
              <w:t xml:space="preserve">Maturité (T)</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1 an</w:t>
            </w:r>
          </w:p>
        </w:tc>
      </w:tr>
      <w:tr>
        <w:tc>
          <w:tcPr>
            <w:tcW w:type="dxa" w:w="4500"/>
            <w:tcMar>
              <w:top w:type="dxa" w:w="80"/>
              <w:left w:type="dxa" w:w="120"/>
              <w:bottom w:type="dxa" w:w="80"/>
              <w:right w:type="dxa" w:w="120"/>
            </w:tcMar>
          </w:tcPr>
          <w:p>
            <w:pPr>
              <w:keepNext/>
              <w:jc w:val="left"/>
            </w:pPr>
            <w:r>
              <w:rPr>
                <w:b/>
                <w:bCs/>
                <w:color w:val="000000"/>
                <w:sz w:val="19"/>
                <w:szCs w:val="19"/>
              </w:rPr>
              <w:t xml:space="preserve">Taux sans risque (r)</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3 %</w:t>
            </w:r>
          </w:p>
        </w:tc>
      </w:tr>
      <w:tr>
        <w:tc>
          <w:tcPr>
            <w:tcW w:type="dxa" w:w="4500"/>
            <w:tcMar>
              <w:top w:type="dxa" w:w="80"/>
              <w:left w:type="dxa" w:w="120"/>
              <w:bottom w:type="dxa" w:w="80"/>
              <w:right w:type="dxa" w:w="120"/>
            </w:tcMar>
          </w:tcPr>
          <w:p>
            <w:pPr>
              <w:keepNext/>
              <w:jc w:val="left"/>
            </w:pPr>
            <w:r>
              <w:rPr>
                <w:b/>
                <w:bCs/>
                <w:color w:val="000000"/>
                <w:sz w:val="19"/>
                <w:szCs w:val="19"/>
              </w:rPr>
              <w:t xml:space="preserve">Volatilité (σ)</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20 %</w:t>
            </w:r>
          </w:p>
        </w:tc>
      </w:tr>
      <w:tr>
        <w:tc>
          <w:tcPr>
            <w:tcW w:type="dxa" w:w="4500"/>
            <w:tcMar>
              <w:top w:type="dxa" w:w="80"/>
              <w:left w:type="dxa" w:w="120"/>
              <w:bottom w:type="dxa" w:w="80"/>
              <w:right w:type="dxa" w:w="120"/>
            </w:tcMar>
          </w:tcPr>
          <w:p>
            <w:pPr>
              <w:keepNext/>
              <w:jc w:val="left"/>
            </w:pPr>
            <w:r>
              <w:rPr>
                <w:b/>
                <w:bCs/>
                <w:color w:val="000000"/>
                <w:sz w:val="19"/>
                <w:szCs w:val="19"/>
              </w:rPr>
              <w:t xml:space="preserve">Dividende (q)</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0 %</w:t>
            </w:r>
          </w:p>
        </w:tc>
      </w:tr>
      <w:tr>
        <w:tc>
          <w:tcPr>
            <w:tcW w:type="dxa" w:w="4500"/>
            <w:tcMar>
              <w:top w:type="dxa" w:w="80"/>
              <w:left w:type="dxa" w:w="120"/>
              <w:bottom w:type="dxa" w:w="80"/>
              <w:right w:type="dxa" w:w="120"/>
            </w:tcMar>
          </w:tcPr>
          <w:p>
            <w:pPr>
              <w:keepNext/>
              <w:jc w:val="left"/>
            </w:pPr>
            <w:r>
              <w:rPr>
                <w:b/>
                <w:bCs/>
                <w:color w:val="000000"/>
                <w:sz w:val="19"/>
                <w:szCs w:val="19"/>
              </w:rPr>
              <w:t xml:space="preserve">Monte Carlo</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graine 42, 1 000 à 1 000 000 simulations</w:t>
            </w:r>
          </w:p>
        </w:tc>
      </w:tr>
      <w:tr>
        <w:tc>
          <w:tcPr>
            <w:tcW w:type="dxa" w:w="4500"/>
            <w:tcMar>
              <w:top w:type="dxa" w:w="80"/>
              <w:left w:type="dxa" w:w="120"/>
              <w:bottom w:type="dxa" w:w="80"/>
              <w:right w:type="dxa" w:w="120"/>
            </w:tcMar>
          </w:tcPr>
          <w:p>
            <w:pPr>
              <w:keepNext/>
              <w:jc w:val="left"/>
            </w:pPr>
            <w:r>
              <w:rPr>
                <w:b/>
                <w:bCs/>
                <w:color w:val="000000"/>
                <w:sz w:val="19"/>
                <w:szCs w:val="19"/>
              </w:rPr>
              <w:t xml:space="preserve">Arbre binomial</w:t>
            </w:r>
          </w:p>
        </w:tc>
        <w:tc>
          <w:tcPr>
            <w:tcW w:type="dxa" w:w="4526"/>
            <w:tcMar>
              <w:top w:type="dxa" w:w="80"/>
              <w:left w:type="dxa" w:w="120"/>
              <w:bottom w:type="dxa" w:w="80"/>
              <w:right w:type="dxa" w:w="120"/>
            </w:tcMar>
          </w:tcPr>
          <w:p>
            <w:pPr>
              <w:keepNext/>
              <w:jc w:val="center"/>
            </w:pPr>
            <w:r>
              <w:rPr>
                <w:b w:val="false"/>
                <w:bCs w:val="false"/>
                <w:color w:val="000000"/>
                <w:sz w:val="19"/>
                <w:szCs w:val="19"/>
              </w:rPr>
              <w:t xml:space="preserve">10 à 2 000 pas, CRR</w:t>
            </w:r>
          </w:p>
        </w:tc>
      </w:tr>
    </w:tbl>
    <w:p>
      <w:pPr>
        <w:spacing w:after="120"/>
      </w:pPr>
    </w:p>
    <w:p>
      <w:pPr>
        <w:spacing w:after="160"/>
      </w:pPr>
      <w:r>
        <w:rPr>
          <w:sz w:val="21"/>
          <w:szCs w:val="21"/>
        </w:rPr>
        <w:t xml:space="preserve">Python (numpy, pandas, scipy.stats, matplotlib), notebook Google Colab. Le notebook complet, avec le code commenté ligne par ligne et les résultats exportés en CSV, accompagne ce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Pricer d'Options — Black-Scholes, Monte Carlo, Arbre binomial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446f88d101973928e07811dbe7b78fbc7e99d5.png"/><Relationship Id="rId10" Type="http://schemas.openxmlformats.org/officeDocument/2006/relationships/image" Target="media/afa8e0431f1ffed74d1f44e61fe3c400f3c076b9.png"/><Relationship Id="rId11" Type="http://schemas.openxmlformats.org/officeDocument/2006/relationships/image" Target="media/beebbb11bf4321c3bb8de87156419bf3e2342f2d.png"/><Relationship Id="rId12" Type="http://schemas.openxmlformats.org/officeDocument/2006/relationships/image" Target="media/417059bdd6853e4f4465221b4c0e3bd6b51dd76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2026-10-07T19:25:13.144Z</dcterms:created>
  <dcterms:modified xsi:type="dcterms:W3CDTF">2026-10-07T19:25:13.144Z</dcterms:modified>
</cp:coreProperties>
</file>

<file path=docProps/custom.xml><?xml version="1.0" encoding="utf-8"?>
<Properties xmlns="http://schemas.openxmlformats.org/officeDocument/2006/custom-properties" xmlns:vt="http://schemas.openxmlformats.org/officeDocument/2006/docPropsVTypes"/>
</file>