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Provisioning Guide: API Key, Environment &amp; Agent</w:t>
      </w:r>
    </w:p>
    <w:p>
      <w:pPr>
        <w:spacing w:after="320"/>
      </w:pPr>
      <w:r>
        <w:rPr>
          <w:i/>
          <w:iCs/>
          <w:color w:val="555555"/>
          <w:sz w:val="22"/>
          <w:szCs w:val="22"/>
        </w:rPr>
        <w:t xml:space="preserve">Claude Managed Agents — setup checklist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/>
      </w:pPr>
      <w:r>
        <w:t xml:space="preserve">Before your application can start a session, three resources need to exist: an API key, an environment, and an agent. Provision each once, record its ID below, and reference those IDs from your application code. A session is created at runtime by pairing an agent ID and an environment ID — it is not provisioned up front.</w:t>
      </w:r>
    </w:p>
    <w:p>
      <w:pPr>
        <w:pStyle w:val="Heading1"/>
        <w:spacing w:after="160" w:before="320"/>
      </w:pPr>
      <w:r>
        <w:t xml:space="preserve">1. Provision an API Key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 in to the Claude Console with your organization account.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the API Keys section.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new key and give it a clear, environment-specific name (e.g. “managed-agents-prod”).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the key immediately — it is only shown once.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Store it in your backend's secret manager or environment variables. Never commit it to source control or send it to client-side code.</w:t>
      </w:r>
    </w:p>
    <w:p>
      <w:pPr>
        <w:spacing w:after="200"/>
        <w:ind w:left="27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API key authenticates every request your backend makes — creating the environment, the agent, sessions, and sending events. Treat it as a production credential.</w:t>
      </w:r>
    </w:p>
    <w:p>
      <w:pPr>
        <w:pStyle w:val="Heading1"/>
        <w:spacing w:after="160" w:before="320"/>
      </w:pPr>
      <w:r>
        <w:t xml:space="preserve">2. Provision an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Console, open the Managed Agents section and go to Environments.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new environment, choosing the sandbox type (cloud-hosted or self-hosted) and any network access rules your agent's tasks require.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 the environment and copy its Environment ID.</w:t>
      </w:r>
    </w:p>
    <w:p>
      <w:pPr>
        <w:spacing w:after="200"/>
        <w:ind w:left="27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An environment can be reused across many sessions, or created fresh per session if you need strict isolation between tasks or users. Decide this based on whether sandbox state should persist.</w:t>
      </w:r>
    </w:p>
    <w:p>
      <w:pPr>
        <w:pStyle w:val="Heading1"/>
        <w:spacing w:after="160" w:before="320"/>
      </w:pPr>
      <w:r>
        <w:t xml:space="preserve">3. Provision an Agent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the Managed Agents section, go to Agents and create a new agent.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Choose the model, write the system prompt, and select which tools the agent is allowed to use.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 the agent and copy its Agent ID. If you plan to iterate on the prompt or tools, note whether you're referencing a specific version or always the latest.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Optionally, test the agent using Console's built-in session runner before wiring it into your application.</w:t>
      </w:r>
    </w:p>
    <w:p>
      <w:pPr>
        <w:pStyle w:val="Heading1"/>
        <w:spacing w:after="160" w:before="320"/>
      </w:pPr>
      <w:r>
        <w:t xml:space="preserve">4. Record the IDs</w:t>
      </w:r>
    </w:p>
    <w:p>
      <w:pPr>
        <w:spacing w:after="160"/>
      </w:pPr>
      <w:r>
        <w:t xml:space="preserve">Fill in this table as you complete provisioning, and keep it wherever your team tracks infrastructure configuration (not in source control alongside the key itself).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32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 (fill in after provisioning)</w:t>
            </w:r>
          </w:p>
        </w:tc>
        <w:tc>
          <w:tcPr>
            <w:tcW w:type="dxa" w:w="3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API key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Server-side only. Never expose to end users or client code.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Environment ID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Sandbox + network config. Reusable across sessions if not isolating per task.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Agent ID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Model, system prompt, and tool config. Versioned if the prompt changes.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Session ID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 per conversation/task at runtime — not provisioned up front.</w:t>
            </w:r>
          </w:p>
        </w:tc>
      </w:tr>
    </w:tbl>
    <w:p>
      <w:pPr>
        <w:pStyle w:val="Heading1"/>
        <w:spacing w:after="160" w:before="320"/>
      </w:pPr>
      <w:r>
        <w:t xml:space="preserve">5. Reference the IDs in Your Application</w:t>
      </w:r>
    </w:p>
    <w:p>
      <w:pPr>
        <w:spacing w:after="160"/>
      </w:pPr>
      <w:r>
        <w:t xml:space="preserve">Once all three are provisioned, your backend uses them together at runtime: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API key — </w:t>
      </w:r>
      <w:r>
        <w:t xml:space="preserve">The API key authenticates every call your backend makes.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Agent ID + Environment ID — </w:t>
      </w:r>
      <w:r>
        <w:t xml:space="preserve">passed together to create a session.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Session — </w:t>
      </w:r>
      <w:r>
        <w:t xml:space="preserve">created per conversation or task, then driven with events until it goes idle.</w:t>
      </w:r>
    </w:p>
    <w:p>
      <w:pPr>
        <w:spacing w:after="200"/>
        <w:ind w:left="27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Provisioning (steps 1–3) happens once, ahead of time. Session creation happens at runtime, every time a user starts a new task.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2026-08-07T16:36:00.322Z</dcterms:created>
  <dcterms:modified xsi:type="dcterms:W3CDTF">2026-08-07T16:36:00.338Z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