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B0057" w:rsidR="00BE60AF" w:rsidP="00986DDC" w:rsidRDefault="025DBB92" w14:paraId="280759A7" w14:textId="77777777">
      <w:pPr>
        <w:jc w:val="center"/>
        <w:outlineLvl w:val="0"/>
        <w:rPr>
          <w:rFonts w:ascii="Cambria" w:hAnsi="Cambria" w:cs="Verdana"/>
          <w:b/>
          <w:color w:val="000026"/>
          <w:sz w:val="24"/>
          <w:szCs w:val="24"/>
          <w:u w:val="single"/>
        </w:rPr>
      </w:pPr>
      <w:r w:rsidRPr="025DBB92">
        <w:rPr>
          <w:b/>
          <w:bCs/>
          <w:sz w:val="24"/>
          <w:szCs w:val="24"/>
        </w:rPr>
        <w:t>Replies to reviewers’ comments</w:t>
      </w:r>
    </w:p>
    <w:p w:rsidRPr="00ED21D1" w:rsidR="00DE6F04" w:rsidP="025DBB92" w:rsidRDefault="025DBB92" w14:paraId="3BEC4CBA" w14:textId="0BAE2A73">
      <w:pPr>
        <w:jc w:val="both"/>
        <w:rPr>
          <w:rFonts w:eastAsia="Times New Roman" w:cs="Times New Roman"/>
          <w:b/>
          <w:bCs/>
          <w:color w:val="222222"/>
          <w:sz w:val="24"/>
          <w:szCs w:val="24"/>
        </w:rPr>
      </w:pPr>
      <w:r w:rsidRPr="025DBB92">
        <w:rPr>
          <w:rFonts w:eastAsia="Times New Roman" w:cs="Times New Roman"/>
          <w:b/>
          <w:bCs/>
          <w:color w:val="222222"/>
          <w:sz w:val="24"/>
          <w:szCs w:val="24"/>
        </w:rPr>
        <w:t>Reviewer 1</w:t>
      </w:r>
      <w:r w:rsidR="007A3B91">
        <w:br/>
      </w:r>
      <w:r w:rsidR="007A3B91">
        <w:br/>
      </w:r>
      <w:r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Pr="025DBB92">
        <w:rPr>
          <w:rFonts w:eastAsia="Times New Roman" w:cs="Times New Roman"/>
          <w:color w:val="222222"/>
          <w:sz w:val="24"/>
          <w:szCs w:val="24"/>
        </w:rPr>
        <w:t>Ctherm</w:t>
      </w:r>
      <w:proofErr w:type="spellEnd"/>
      <w:r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rsidRPr="00ED21D1" w:rsidR="00DE6F04" w:rsidP="025DBB92" w:rsidRDefault="025DBB92" w14:paraId="0C27CB97" w14:textId="7E0EFCC1">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rsidRPr="00ED21D1" w:rsidR="00DE6F04" w:rsidP="025DBB92" w:rsidRDefault="025DBB92" w14:paraId="02DD1F1A" w14:textId="1C822112">
      <w:pPr>
        <w:jc w:val="both"/>
      </w:pPr>
      <w:r w:rsidRPr="025DBB92">
        <w:rPr>
          <w:rFonts w:eastAsia="Times New Roman" w:cs="Times New Roman"/>
          <w:color w:val="222222"/>
          <w:sz w:val="24"/>
          <w:szCs w:val="24"/>
        </w:rPr>
        <w:t>Major:</w:t>
      </w:r>
    </w:p>
    <w:p w:rsidRPr="00ED21D1" w:rsidR="00DE6F04" w:rsidP="025DBB92" w:rsidRDefault="025DBB92" w14:paraId="1AF1CF57" w14:textId="0EE447C5">
      <w:pPr>
        <w:jc w:val="both"/>
      </w:pPr>
      <w:r w:rsidRPr="025DBB92">
        <w:rPr>
          <w:rFonts w:eastAsia="Times New Roman" w:cs="Times New Roman"/>
          <w:color w:val="222222"/>
          <w:sz w:val="24"/>
          <w:szCs w:val="24"/>
        </w:rPr>
        <w:t xml:space="preserve">The current work does not account for synthesis of byproducts acetate, formate and lactate etc. According to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rsidRPr="00ED21D1" w:rsidR="00DE6F04" w:rsidP="025DBB92" w:rsidRDefault="0054510C" w14:paraId="3800DD85" w14:textId="75A22004">
      <w:pPr>
        <w:ind w:left="720"/>
        <w:jc w:val="both"/>
      </w:pPr>
      <w:r>
        <w:rPr>
          <w:rFonts w:cs="Times New Roman"/>
          <w:color w:val="2E74B5" w:themeColor="accent1" w:themeShade="BF"/>
          <w:sz w:val="24"/>
          <w:szCs w:val="24"/>
        </w:rPr>
        <w:t xml:space="preserve">This xx section of this study evaluates the thermodynamics of ethanol production pathway  </w:t>
      </w:r>
    </w:p>
    <w:p w:rsidRPr="00ED21D1" w:rsidR="00DE6F04" w:rsidP="025DBB92" w:rsidRDefault="00DE6F04" w14:paraId="308474EC" w14:textId="6D70842B">
      <w:pPr>
        <w:jc w:val="both"/>
        <w:rPr>
          <w:rFonts w:eastAsia="Times New Roman" w:cs="Times New Roman"/>
          <w:color w:val="222222"/>
          <w:sz w:val="24"/>
          <w:szCs w:val="24"/>
        </w:rPr>
      </w:pPr>
    </w:p>
    <w:p w:rsidRPr="00ED21D1" w:rsidR="00DE6F04" w:rsidP="025DBB92" w:rsidRDefault="025DBB92" w14:paraId="42B8BDE6" w14:textId="025A0D7B">
      <w:pPr>
        <w:jc w:val="both"/>
      </w:pPr>
      <w:r w:rsidRPr="025DBB92">
        <w:rPr>
          <w:rFonts w:eastAsia="Times New Roman" w:cs="Times New Roman"/>
          <w:color w:val="222222"/>
          <w:sz w:val="24"/>
          <w:szCs w:val="24"/>
        </w:rPr>
        <w:t>Byproduct synthesis and growth might facilitate the problems with the infeasible 3pg concentrations calculated here.</w:t>
      </w:r>
    </w:p>
    <w:p w:rsidRPr="00ED21D1" w:rsidR="00DE6F04" w:rsidP="025DBB92" w:rsidRDefault="0054510C" w14:paraId="166A17D0" w14:textId="239B1DC3">
      <w:pPr>
        <w:ind w:left="720"/>
        <w:jc w:val="both"/>
      </w:pPr>
      <w:r>
        <w:rPr>
          <w:rFonts w:cs="Times New Roman"/>
          <w:color w:val="2E74B5" w:themeColor="accent1" w:themeShade="BF"/>
          <w:sz w:val="24"/>
          <w:szCs w:val="24"/>
        </w:rPr>
        <w:t xml:space="preserve">Pathway infeasibility cannot be resolved by a simple addition of additional reactions. Thus, addition of alternate pathways which consume precursor metabolites would not impact the thermodynamics of bottleneck reactions. </w:t>
      </w:r>
    </w:p>
    <w:p w:rsidRPr="00ED21D1" w:rsidR="00DE6F04" w:rsidP="025DBB92" w:rsidRDefault="00DE6F04" w14:paraId="088ABC05" w14:textId="49D34900">
      <w:pPr>
        <w:jc w:val="both"/>
        <w:rPr>
          <w:rFonts w:eastAsia="Times New Roman" w:cs="Times New Roman"/>
          <w:color w:val="222222"/>
          <w:sz w:val="24"/>
          <w:szCs w:val="24"/>
        </w:rPr>
      </w:pPr>
    </w:p>
    <w:p w:rsidRPr="00ED21D1" w:rsidR="00DE6F04" w:rsidP="025DBB92" w:rsidRDefault="025DBB92" w14:paraId="59F175E1" w14:textId="3400B671">
      <w:pPr>
        <w:jc w:val="both"/>
      </w:pPr>
      <w:r w:rsidRPr="025DBB92">
        <w:rPr>
          <w:rFonts w:eastAsia="Times New Roman" w:cs="Times New Roman"/>
          <w:color w:val="222222"/>
          <w:sz w:val="24"/>
          <w:szCs w:val="24"/>
        </w:rPr>
        <w:t>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fig 2), the ratio is NADH/NAD+ = 1/100, this is two orders of magnitude smaller than the experimental values in Tian 2017 (~1/1 ratio); the simulation for NADPH/NADP = 1/25 while the experimental ratio reported in Tian 2017 data is 15/1, again two orders of magnitude </w:t>
      </w:r>
      <w:r w:rsidRPr="025DBB92">
        <w:rPr>
          <w:rFonts w:eastAsia="Times New Roman" w:cs="Times New Roman"/>
          <w:color w:val="222222"/>
          <w:sz w:val="24"/>
          <w:szCs w:val="24"/>
        </w:rPr>
        <w:lastRenderedPageBreak/>
        <w:t xml:space="preserve">different.  There seems to be some major issues with the analysis aligning with experimental data or there is confusion as to what experimental data is relevant.  </w:t>
      </w:r>
    </w:p>
    <w:p w:rsidRPr="00ED21D1" w:rsidR="00DE6F04" w:rsidP="025DBB92" w:rsidRDefault="025DBB92" w14:paraId="01FFE0FF" w14:textId="056A9575">
      <w:pPr>
        <w:ind w:left="720"/>
        <w:jc w:val="both"/>
      </w:pPr>
      <w:r w:rsidRPr="025DBB92">
        <w:rPr>
          <w:rFonts w:cs="Times New Roman"/>
          <w:color w:val="2E74B5" w:themeColor="accent1" w:themeShade="BF"/>
          <w:sz w:val="24"/>
          <w:szCs w:val="24"/>
        </w:rPr>
        <w:t>&lt;Answer&gt;</w:t>
      </w:r>
    </w:p>
    <w:p w:rsidRPr="00ED21D1" w:rsidR="00DE6F04" w:rsidP="025DBB92" w:rsidRDefault="00DE6F04" w14:paraId="748DB334" w14:textId="71DDFF4F">
      <w:pPr>
        <w:jc w:val="both"/>
        <w:rPr>
          <w:rFonts w:eastAsia="Times New Roman" w:cs="Times New Roman"/>
          <w:color w:val="222222"/>
          <w:sz w:val="24"/>
          <w:szCs w:val="24"/>
        </w:rPr>
      </w:pPr>
    </w:p>
    <w:p w:rsidRPr="00ED21D1" w:rsidR="00DE6F04" w:rsidP="025DBB92" w:rsidRDefault="025DBB92" w14:paraId="118EBDA9" w14:textId="3646BFDA">
      <w:pPr>
        <w:jc w:val="both"/>
      </w:pPr>
      <w:r w:rsidRPr="025DBB92">
        <w:rPr>
          <w:rFonts w:eastAsia="Times New Roman" w:cs="Times New Roman"/>
          <w:color w:val="222222"/>
          <w:sz w:val="24"/>
          <w:szCs w:val="24"/>
        </w:rPr>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rsidRPr="00ED21D1" w:rsidR="00DE6F04" w:rsidP="025DBB92" w:rsidRDefault="025DBB92" w14:paraId="5DFD2BDF" w14:textId="056A9575">
      <w:pPr>
        <w:ind w:left="720"/>
        <w:jc w:val="both"/>
      </w:pPr>
      <w:r w:rsidRPr="025DBB92">
        <w:rPr>
          <w:rFonts w:cs="Times New Roman"/>
          <w:color w:val="2E74B5" w:themeColor="accent1" w:themeShade="BF"/>
          <w:sz w:val="24"/>
          <w:szCs w:val="24"/>
        </w:rPr>
        <w:t>&lt;Answer&gt;</w:t>
      </w:r>
    </w:p>
    <w:p w:rsidRPr="00ED21D1" w:rsidR="00DE6F04" w:rsidP="025DBB92" w:rsidRDefault="00DE6F04" w14:paraId="6A9B2845" w14:textId="732C3390">
      <w:pPr>
        <w:jc w:val="both"/>
        <w:rPr>
          <w:rFonts w:eastAsia="Times New Roman" w:cs="Times New Roman"/>
          <w:color w:val="222222"/>
          <w:sz w:val="24"/>
          <w:szCs w:val="24"/>
        </w:rPr>
      </w:pPr>
    </w:p>
    <w:p w:rsidRPr="00ED21D1" w:rsidR="00DE6F04" w:rsidP="025DBB92" w:rsidRDefault="025DBB92" w14:paraId="7FDDA810" w14:textId="4DCA6AE5">
      <w:pPr>
        <w:jc w:val="both"/>
      </w:pPr>
      <w:r w:rsidRPr="025DBB92">
        <w:rPr>
          <w:rFonts w:eastAsia="Times New Roman" w:cs="Times New Roman"/>
          <w:color w:val="222222"/>
          <w:sz w:val="24"/>
          <w:szCs w:val="24"/>
        </w:rPr>
        <w:t>Minor:</w:t>
      </w:r>
    </w:p>
    <w:p w:rsidRPr="00ED21D1" w:rsidR="00DE6F04" w:rsidP="025DBB92" w:rsidRDefault="025DBB92" w14:paraId="165C2166" w14:textId="37D76CD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rsidRPr="00ED21D1" w:rsidR="00DE6F04" w:rsidP="025DBB92" w:rsidRDefault="0054510C" w14:paraId="2DF00EF8" w14:textId="3D2BC685">
      <w:pPr>
        <w:ind w:left="720"/>
        <w:jc w:val="both"/>
      </w:pPr>
      <w:r>
        <w:rPr>
          <w:rFonts w:cs="Times New Roman"/>
          <w:color w:val="2E74B5" w:themeColor="accent1" w:themeShade="BF"/>
          <w:sz w:val="24"/>
          <w:szCs w:val="24"/>
        </w:rPr>
        <w:t>The model does not distinguish between the various forms of carbon dioxide or bicarbonate</w:t>
      </w:r>
    </w:p>
    <w:p w:rsidRPr="00ED21D1" w:rsidR="00DE6F04" w:rsidP="025DBB92" w:rsidRDefault="00DE6F04" w14:paraId="50B8A22B" w14:textId="6DCAC1DE">
      <w:pPr>
        <w:jc w:val="both"/>
        <w:rPr>
          <w:rFonts w:eastAsia="Times New Roman" w:cs="Times New Roman"/>
          <w:color w:val="222222"/>
          <w:sz w:val="24"/>
          <w:szCs w:val="24"/>
        </w:rPr>
      </w:pPr>
    </w:p>
    <w:p w:rsidRPr="00ED21D1" w:rsidR="00DE6F04" w:rsidP="025DBB92" w:rsidRDefault="025DBB92" w14:paraId="6B2D37E3" w14:textId="2AF56C4F">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rsidRPr="00ED21D1" w:rsidR="00DE6F04" w:rsidP="025DBB92" w:rsidRDefault="00AC125F" w14:paraId="7C9C354C" w14:textId="1FBA8950">
      <w:pPr>
        <w:ind w:left="720"/>
        <w:jc w:val="both"/>
      </w:pPr>
      <w:r>
        <w:rPr>
          <w:rFonts w:cs="Times New Roman"/>
          <w:color w:val="2E74B5" w:themeColor="accent1" w:themeShade="BF"/>
          <w:sz w:val="24"/>
          <w:szCs w:val="24"/>
        </w:rPr>
        <w:t xml:space="preserve">Spontaneous decarboxylation of OAA would indicate that the thermodynamics of the step is thermodynamically favorable or in other words always the </w:t>
      </w:r>
      <w:proofErr w:type="spellStart"/>
      <w:r>
        <w:rPr>
          <w:rFonts w:cs="Times New Roman"/>
          <w:color w:val="2E74B5" w:themeColor="accent1" w:themeShade="BF"/>
          <w:sz w:val="24"/>
          <w:szCs w:val="24"/>
        </w:rPr>
        <w:t>gibbs</w:t>
      </w:r>
      <w:proofErr w:type="spellEnd"/>
      <w:r>
        <w:rPr>
          <w:rFonts w:cs="Times New Roman"/>
          <w:color w:val="2E74B5" w:themeColor="accent1" w:themeShade="BF"/>
          <w:sz w:val="24"/>
          <w:szCs w:val="24"/>
        </w:rPr>
        <w:t xml:space="preserve"> free energy change is negative</w:t>
      </w:r>
    </w:p>
    <w:p w:rsidRPr="00ED21D1" w:rsidR="00DE6F04" w:rsidP="025DBB92" w:rsidRDefault="00DE6F04" w14:paraId="785FCE8F" w14:textId="59668E62">
      <w:pPr>
        <w:jc w:val="both"/>
        <w:rPr>
          <w:rFonts w:eastAsia="Times New Roman" w:cs="Times New Roman"/>
          <w:color w:val="222222"/>
          <w:sz w:val="24"/>
          <w:szCs w:val="24"/>
        </w:rPr>
      </w:pPr>
    </w:p>
    <w:p w:rsidRPr="00ED21D1" w:rsidR="00DE6F04" w:rsidP="025DBB92" w:rsidRDefault="025DBB92" w14:paraId="714F4A8B" w14:textId="432178F8">
      <w:pPr>
        <w:jc w:val="both"/>
      </w:pPr>
      <w:r w:rsidRPr="025DBB92">
        <w:rPr>
          <w:rFonts w:eastAsia="Times New Roman" w:cs="Times New Roman"/>
          <w:color w:val="222222"/>
          <w:sz w:val="24"/>
          <w:szCs w:val="24"/>
        </w:rPr>
        <w:t>Fig 2 only shows 4 of the 8 considered metabolites, adding the other profiles would be useful</w:t>
      </w:r>
    </w:p>
    <w:p w:rsidRPr="00ED21D1" w:rsidR="00DE6F04" w:rsidP="025DBB92" w:rsidRDefault="025DBB92" w14:paraId="7DD63EF6" w14:textId="0045E149">
      <w:pPr>
        <w:ind w:left="720"/>
        <w:jc w:val="both"/>
      </w:pPr>
      <w:r w:rsidRPr="025DBB92">
        <w:rPr>
          <w:rFonts w:cs="Times New Roman"/>
          <w:color w:val="2E74B5" w:themeColor="accent1" w:themeShade="BF"/>
          <w:sz w:val="24"/>
          <w:szCs w:val="24"/>
        </w:rPr>
        <w:t>&lt;Answer&gt;</w:t>
      </w:r>
      <w:r w:rsidR="00AC125F">
        <w:rPr>
          <w:rFonts w:cs="Times New Roman"/>
          <w:color w:val="2E74B5" w:themeColor="accent1" w:themeShade="BF"/>
          <w:sz w:val="24"/>
          <w:szCs w:val="24"/>
        </w:rPr>
        <w:t xml:space="preserve">All metabolite concentration ranges for various timepoints are listed in table xxx. </w:t>
      </w:r>
    </w:p>
    <w:p w:rsidRPr="00ED21D1" w:rsidR="00DE6F04" w:rsidP="025DBB92" w:rsidRDefault="00DE6F04" w14:paraId="61CD6BAA" w14:textId="1B34219B">
      <w:pPr>
        <w:jc w:val="both"/>
        <w:rPr>
          <w:rFonts w:eastAsia="Times New Roman" w:cs="Times New Roman"/>
          <w:color w:val="222222"/>
          <w:sz w:val="24"/>
          <w:szCs w:val="24"/>
        </w:rPr>
      </w:pPr>
    </w:p>
    <w:p w:rsidRPr="00ED21D1" w:rsidR="00DE6F04" w:rsidP="025DBB92" w:rsidRDefault="025DBB92" w14:paraId="0692D289" w14:textId="2B5A4F8F">
      <w:pPr>
        <w:jc w:val="both"/>
      </w:pPr>
      <w:r w:rsidRPr="7A6EC047" w:rsidR="7A6EC047">
        <w:rPr>
          <w:rFonts w:eastAsia="Times New Roman" w:cs="Times New Roman"/>
          <w:color w:val="222222"/>
          <w:sz w:val="24"/>
          <w:szCs w:val="24"/>
        </w:rPr>
        <w:t>Table 1: what is the error of the metabolite measurements, why aren’t all three time points listed to facilitate communication?</w:t>
      </w:r>
    </w:p>
    <w:p w:rsidR="7A6EC047" w:rsidP="7A6EC047" w:rsidRDefault="7A6EC047" w14:paraId="3A8DB35C" w14:textId="6BE47449">
      <w:pPr>
        <w:pStyle w:val="Normal"/>
        <w:bidi w:val="0"/>
        <w:spacing w:before="0" w:beforeAutospacing="off" w:after="160" w:afterAutospacing="off" w:line="259" w:lineRule="auto"/>
        <w:ind w:left="720" w:right="0"/>
        <w:jc w:val="both"/>
      </w:pPr>
      <w:r w:rsidRPr="7A6EC047" w:rsidR="7A6EC047">
        <w:rPr>
          <w:rFonts w:cs="Times New Roman"/>
          <w:color w:val="2E74B5" w:themeColor="accent1" w:themeTint="FF" w:themeShade="BF"/>
          <w:sz w:val="24"/>
          <w:szCs w:val="24"/>
        </w:rPr>
        <w:t xml:space="preserve">We have used </w:t>
      </w:r>
    </w:p>
    <w:p w:rsidRPr="00ED21D1" w:rsidR="00DE6F04" w:rsidP="025DBB92" w:rsidRDefault="00DE6F04" w14:paraId="30B56BE5" w14:textId="19D41FFC">
      <w:pPr>
        <w:jc w:val="both"/>
        <w:rPr>
          <w:rFonts w:eastAsia="Times New Roman" w:cs="Times New Roman"/>
          <w:color w:val="222222"/>
          <w:sz w:val="24"/>
          <w:szCs w:val="24"/>
        </w:rPr>
      </w:pPr>
    </w:p>
    <w:p w:rsidRPr="00ED21D1" w:rsidR="00DE6F04" w:rsidP="025DBB92" w:rsidRDefault="025DBB92" w14:paraId="644BA6A8" w14:textId="36F50AF1">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rsidRPr="00ED21D1" w:rsidR="00DE6F04" w:rsidP="025DBB92" w:rsidRDefault="025DBB92" w14:paraId="761C75DA" w14:textId="056A9575">
      <w:pPr>
        <w:ind w:left="720"/>
        <w:jc w:val="both"/>
      </w:pPr>
      <w:r w:rsidRPr="025DBB92">
        <w:rPr>
          <w:rFonts w:cs="Times New Roman"/>
          <w:color w:val="2E74B5" w:themeColor="accent1" w:themeShade="BF"/>
          <w:sz w:val="24"/>
          <w:szCs w:val="24"/>
        </w:rPr>
        <w:t>&lt;Answer&gt;</w:t>
      </w:r>
    </w:p>
    <w:p w:rsidRPr="00ED21D1" w:rsidR="00DE6F04" w:rsidP="025DBB92" w:rsidRDefault="00DE6F04" w14:paraId="1F70AD4B" w14:textId="59C1DC9F">
      <w:pPr>
        <w:jc w:val="both"/>
        <w:rPr>
          <w:rFonts w:eastAsia="Times New Roman" w:cs="Times New Roman"/>
          <w:color w:val="222222"/>
          <w:sz w:val="24"/>
          <w:szCs w:val="24"/>
        </w:rPr>
      </w:pPr>
    </w:p>
    <w:p w:rsidRPr="00ED21D1" w:rsidR="00DE6F04" w:rsidP="025DBB92" w:rsidRDefault="3E22ED8A" w14:paraId="18F6A406" w14:textId="3555C65B">
      <w:pPr>
        <w:jc w:val="both"/>
      </w:pPr>
      <w:r w:rsidRPr="3E22ED8A">
        <w:rPr>
          <w:rFonts w:eastAsia="Times New Roman" w:cs="Times New Roman"/>
          <w:color w:val="222222"/>
          <w:sz w:val="24"/>
          <w:szCs w:val="24"/>
        </w:rPr>
        <w:lastRenderedPageBreak/>
        <w:t>Table 4: the values need units</w:t>
      </w:r>
    </w:p>
    <w:p w:rsidR="3E22ED8A" w:rsidP="3E22ED8A" w:rsidRDefault="3E22ED8A" w14:paraId="622B6475" w14:textId="19E3E6E5">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rsidR="3E22ED8A" w:rsidP="3E22ED8A" w:rsidRDefault="3E22ED8A" w14:paraId="4F160B62" w14:textId="17584856">
      <w:pPr>
        <w:ind w:left="720"/>
        <w:jc w:val="both"/>
        <w:rPr>
          <w:rFonts w:cs="Times New Roman"/>
          <w:color w:val="2E74B5" w:themeColor="accent1" w:themeShade="BF"/>
          <w:sz w:val="24"/>
          <w:szCs w:val="24"/>
        </w:rPr>
      </w:pPr>
    </w:p>
    <w:p w:rsidRPr="00ED21D1" w:rsidR="00DE6F04" w:rsidP="025DBB92" w:rsidRDefault="00DE6F04" w14:paraId="685CE32B" w14:textId="6DF2EFF2">
      <w:pPr>
        <w:jc w:val="both"/>
        <w:rPr>
          <w:rFonts w:eastAsia="Times New Roman" w:cs="Times New Roman"/>
          <w:color w:val="222222"/>
          <w:sz w:val="24"/>
          <w:szCs w:val="24"/>
        </w:rPr>
      </w:pPr>
    </w:p>
    <w:p w:rsidRPr="00ED21D1" w:rsidR="00DE6F04" w:rsidP="025DBB92" w:rsidRDefault="025DBB92" w14:paraId="7083FE36" w14:textId="601DB6F9">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rsidRPr="00ED21D1" w:rsidR="00DE6F04" w:rsidP="025DBB92" w:rsidRDefault="025DBB92" w14:paraId="39269B33" w14:textId="056A9575">
      <w:pPr>
        <w:ind w:left="720"/>
        <w:jc w:val="both"/>
      </w:pPr>
      <w:r w:rsidRPr="025DBB92">
        <w:rPr>
          <w:rFonts w:cs="Times New Roman"/>
          <w:color w:val="2E74B5" w:themeColor="accent1" w:themeShade="BF"/>
          <w:sz w:val="24"/>
          <w:szCs w:val="24"/>
        </w:rPr>
        <w:t>&lt;Answer&gt;</w:t>
      </w:r>
    </w:p>
    <w:p w:rsidRPr="00ED21D1" w:rsidR="00DE6F04" w:rsidP="025DBB92" w:rsidRDefault="00DE6F04" w14:paraId="7858C7D8" w14:textId="27F46C97">
      <w:pPr>
        <w:jc w:val="both"/>
        <w:rPr>
          <w:rFonts w:eastAsia="Times New Roman" w:cs="Times New Roman"/>
          <w:color w:val="222222"/>
          <w:sz w:val="24"/>
          <w:szCs w:val="24"/>
        </w:rPr>
      </w:pPr>
    </w:p>
    <w:p w:rsidRPr="00ED21D1" w:rsidR="00DE6F04" w:rsidP="025DBB92" w:rsidRDefault="025DBB92" w14:paraId="0ABFE6E8" w14:textId="0C51C3C3">
      <w:pPr>
        <w:jc w:val="both"/>
      </w:pPr>
      <w:r w:rsidRPr="7A6EC047" w:rsidR="7A6EC047">
        <w:rPr>
          <w:rFonts w:eastAsia="Times New Roman" w:cs="Times New Roman"/>
          <w:color w:val="222222"/>
          <w:sz w:val="24"/>
          <w:szCs w:val="24"/>
        </w:rPr>
        <w:t>Line 216 vs 324: is this supposed to be positive or negative? MDF (i.e., - 0.13 kJ/</w:t>
      </w:r>
      <w:proofErr w:type="spellStart"/>
      <w:r w:rsidRPr="7A6EC047" w:rsidR="7A6EC047">
        <w:rPr>
          <w:rFonts w:eastAsia="Times New Roman" w:cs="Times New Roman"/>
          <w:color w:val="222222"/>
          <w:sz w:val="24"/>
          <w:szCs w:val="24"/>
        </w:rPr>
        <w:t>mol</w:t>
      </w:r>
      <w:proofErr w:type="spellEnd"/>
      <w:r w:rsidRPr="7A6EC047" w:rsidR="7A6EC047">
        <w:rPr>
          <w:rFonts w:eastAsia="Times New Roman" w:cs="Times New Roman"/>
          <w:color w:val="222222"/>
          <w:sz w:val="24"/>
          <w:szCs w:val="24"/>
        </w:rPr>
        <w:t xml:space="preserve"> vs 0.13 </w:t>
      </w:r>
      <w:proofErr w:type="spellStart"/>
      <w:r w:rsidRPr="7A6EC047" w:rsidR="7A6EC047">
        <w:rPr>
          <w:rFonts w:eastAsia="Times New Roman" w:cs="Times New Roman"/>
          <w:color w:val="222222"/>
          <w:sz w:val="24"/>
          <w:szCs w:val="24"/>
        </w:rPr>
        <w:t>kj</w:t>
      </w:r>
      <w:proofErr w:type="spellEnd"/>
      <w:r w:rsidRPr="7A6EC047" w:rsidR="7A6EC047">
        <w:rPr>
          <w:rFonts w:eastAsia="Times New Roman" w:cs="Times New Roman"/>
          <w:color w:val="222222"/>
          <w:sz w:val="24"/>
          <w:szCs w:val="24"/>
        </w:rPr>
        <w:t>/</w:t>
      </w:r>
      <w:proofErr w:type="spellStart"/>
      <w:r w:rsidRPr="7A6EC047" w:rsidR="7A6EC047">
        <w:rPr>
          <w:rFonts w:eastAsia="Times New Roman" w:cs="Times New Roman"/>
          <w:color w:val="222222"/>
          <w:sz w:val="24"/>
          <w:szCs w:val="24"/>
        </w:rPr>
        <w:t>mol</w:t>
      </w:r>
      <w:proofErr w:type="spellEnd"/>
      <w:r w:rsidRPr="7A6EC047" w:rsidR="7A6EC047">
        <w:rPr>
          <w:rFonts w:eastAsia="Times New Roman" w:cs="Times New Roman"/>
          <w:color w:val="222222"/>
          <w:sz w:val="24"/>
          <w:szCs w:val="24"/>
        </w:rPr>
        <w:t>)</w:t>
      </w:r>
    </w:p>
    <w:p w:rsidR="7A6EC047" w:rsidP="7A6EC047" w:rsidRDefault="7A6EC047" w14:paraId="3806A2C7" w14:textId="2BD3EC72">
      <w:pPr>
        <w:pStyle w:val="Normal"/>
        <w:bidi w:val="0"/>
        <w:spacing w:before="0" w:beforeAutospacing="off" w:after="160" w:afterAutospacing="off" w:line="259" w:lineRule="auto"/>
        <w:ind w:left="720" w:right="0"/>
        <w:jc w:val="both"/>
        <w:rPr>
          <w:rFonts w:cs="Times New Roman"/>
          <w:color w:val="2E74B5" w:themeColor="accent1" w:themeTint="FF" w:themeShade="BF"/>
          <w:sz w:val="24"/>
          <w:szCs w:val="24"/>
        </w:rPr>
      </w:pPr>
      <w:r w:rsidRPr="7A6EC047" w:rsidR="7A6EC047">
        <w:rPr>
          <w:rFonts w:cs="Times New Roman"/>
          <w:color w:val="2E74B5" w:themeColor="accent1" w:themeTint="FF" w:themeShade="BF"/>
          <w:sz w:val="24"/>
          <w:szCs w:val="24"/>
        </w:rPr>
        <w:t>Line 216 talks about the EFMs which are thermodynamically infeasible and thus have negative MDF while Line 324 talks about the EFMs which carry positive MDF and are thermodynamically feasible.</w:t>
      </w:r>
    </w:p>
    <w:p w:rsidRPr="00ED21D1" w:rsidR="00DE6F04" w:rsidP="025DBB92" w:rsidRDefault="00DE6F04" w14:paraId="51D74A40" w14:textId="0E7E3791">
      <w:pPr>
        <w:jc w:val="both"/>
        <w:rPr>
          <w:rFonts w:eastAsia="Times New Roman" w:cs="Times New Roman"/>
          <w:color w:val="222222"/>
          <w:sz w:val="24"/>
          <w:szCs w:val="24"/>
        </w:rPr>
      </w:pPr>
    </w:p>
    <w:p w:rsidRPr="00ED21D1" w:rsidR="00DE6F04" w:rsidP="025DBB92" w:rsidRDefault="025DBB92" w14:paraId="623DBF8D" w14:textId="087E57F3">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7">
        <w:r w:rsidRPr="025DBB92">
          <w:rPr>
            <w:rStyle w:val="Hyperlink"/>
            <w:rFonts w:eastAsia="Times New Roman" w:cs="Times New Roman"/>
            <w:color w:val="1155CC"/>
            <w:sz w:val="24"/>
            <w:szCs w:val="24"/>
          </w:rPr>
          <w:t>https://www.sciencedirect.com/science/article/pii/S1096717606000103</w:t>
        </w:r>
      </w:hyperlink>
    </w:p>
    <w:p w:rsidRPr="00ED21D1" w:rsidR="00DE6F04" w:rsidP="025DBB92" w:rsidRDefault="00AA2BB5" w14:paraId="3B4BACB6" w14:textId="08061054">
      <w:pPr>
        <w:jc w:val="both"/>
      </w:pPr>
      <w:hyperlink r:id="rId8">
        <w:r w:rsidRPr="025DBB92" w:rsidR="025DBB92">
          <w:rPr>
            <w:rStyle w:val="Hyperlink"/>
            <w:rFonts w:eastAsia="Times New Roman" w:cs="Times New Roman"/>
            <w:color w:val="1155CC"/>
            <w:sz w:val="24"/>
            <w:szCs w:val="24"/>
          </w:rPr>
          <w:t>https://journals.plos.org/plosone/article?id=10.1371/journal.pone.0171440</w:t>
        </w:r>
      </w:hyperlink>
    </w:p>
    <w:p w:rsidRPr="00ED21D1" w:rsidR="00DE6F04" w:rsidP="025DBB92" w:rsidRDefault="00AA2BB5" w14:paraId="6131FC5F" w14:textId="6F84EC29">
      <w:pPr>
        <w:jc w:val="both"/>
      </w:pPr>
      <w:hyperlink r:id="rId9">
        <w:r w:rsidRPr="025DBB92" w:rsidR="025DBB92">
          <w:rPr>
            <w:rStyle w:val="Hyperlink"/>
            <w:rFonts w:eastAsia="Times New Roman" w:cs="Times New Roman"/>
            <w:color w:val="1155CC"/>
            <w:sz w:val="24"/>
            <w:szCs w:val="24"/>
          </w:rPr>
          <w:t>https://link.springer.com/article/10.1007/s00253-008-1770-1</w:t>
        </w:r>
      </w:hyperlink>
    </w:p>
    <w:p w:rsidRPr="00ED21D1" w:rsidR="00DE6F04" w:rsidP="025DBB92" w:rsidRDefault="025DBB92" w14:paraId="2BFA92AE" w14:textId="056A9575">
      <w:pPr>
        <w:ind w:left="720"/>
        <w:jc w:val="both"/>
      </w:pPr>
      <w:r w:rsidRPr="025DBB92">
        <w:rPr>
          <w:rFonts w:cs="Times New Roman"/>
          <w:color w:val="2E74B5" w:themeColor="accent1" w:themeShade="BF"/>
          <w:sz w:val="24"/>
          <w:szCs w:val="24"/>
        </w:rPr>
        <w:t>&lt;Answer&gt;</w:t>
      </w:r>
    </w:p>
    <w:p w:rsidRPr="00ED21D1" w:rsidR="00DE6F04" w:rsidP="025DBB92" w:rsidRDefault="00DE6F04" w14:paraId="03E6E7C9" w14:textId="189AE476">
      <w:pPr>
        <w:jc w:val="both"/>
        <w:rPr>
          <w:rFonts w:eastAsia="Times New Roman" w:cs="Times New Roman"/>
          <w:color w:val="1155CC"/>
          <w:sz w:val="24"/>
          <w:szCs w:val="24"/>
        </w:rPr>
      </w:pPr>
    </w:p>
    <w:p w:rsidRPr="00ED21D1" w:rsidR="00DE6F04" w:rsidP="025DBB92" w:rsidRDefault="3E22ED8A" w14:paraId="3AB2628F" w14:textId="00FD3678">
      <w:pPr>
        <w:jc w:val="both"/>
      </w:pPr>
      <w:r w:rsidRPr="3E22ED8A">
        <w:rPr>
          <w:rFonts w:eastAsia="Times New Roman" w:cs="Times New Roman"/>
          <w:color w:val="222222"/>
          <w:sz w:val="24"/>
          <w:szCs w:val="24"/>
        </w:rPr>
        <w:t>Line 211 references citation [17] which isn’t consistent with the name and date format of the other references.</w:t>
      </w:r>
    </w:p>
    <w:p w:rsidRPr="00ED21D1" w:rsidR="00DE6F04" w:rsidP="025DBB92" w:rsidRDefault="3E22ED8A" w14:paraId="340F1EF6" w14:textId="58DF3FDB">
      <w:pPr>
        <w:jc w:val="both"/>
      </w:pPr>
      <w:r w:rsidRPr="3E22ED8A">
        <w:rPr>
          <w:rFonts w:eastAsia="Times New Roman" w:cs="Times New Roman"/>
          <w:color w:val="222222"/>
          <w:sz w:val="24"/>
          <w:szCs w:val="24"/>
        </w:rPr>
        <w:t>Line 333, 335 mu is used on one line and u on the other, double check consistent use of ‘micro’ designator</w:t>
      </w:r>
    </w:p>
    <w:p w:rsidRPr="00ED21D1" w:rsidR="00DE6F04" w:rsidP="025DBB92" w:rsidRDefault="3E22ED8A" w14:paraId="429D8B83" w14:textId="472633EA">
      <w:pPr>
        <w:jc w:val="both"/>
      </w:pPr>
      <w:r w:rsidRPr="3E22ED8A">
        <w:rPr>
          <w:rFonts w:eastAsia="Times New Roman" w:cs="Times New Roman"/>
          <w:color w:val="222222"/>
          <w:sz w:val="24"/>
          <w:szCs w:val="24"/>
        </w:rPr>
        <w:t>Line 62: missing the word ‘more’</w:t>
      </w:r>
    </w:p>
    <w:p w:rsidRPr="00ED21D1" w:rsidR="00DE6F04" w:rsidP="025DBB92" w:rsidRDefault="3E22ED8A" w14:paraId="4AA58739" w14:textId="1CE621C4">
      <w:pPr>
        <w:jc w:val="both"/>
      </w:pPr>
      <w:r w:rsidRPr="3E22ED8A">
        <w:rPr>
          <w:rFonts w:eastAsia="Times New Roman" w:cs="Times New Roman"/>
          <w:color w:val="222222"/>
          <w:sz w:val="24"/>
          <w:szCs w:val="24"/>
        </w:rPr>
        <w:t>Line 191: missing an ‘s’ on reaction</w:t>
      </w:r>
    </w:p>
    <w:p w:rsidR="3E22ED8A" w:rsidP="3E22ED8A" w:rsidRDefault="3E22ED8A" w14:paraId="18DF932A" w14:textId="1A9C50E8">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rsidR="3E22ED8A" w:rsidP="3E22ED8A" w:rsidRDefault="3E22ED8A" w14:paraId="45A8AB7D" w14:textId="37557A81">
      <w:pPr>
        <w:ind w:left="720"/>
        <w:jc w:val="both"/>
        <w:rPr>
          <w:rFonts w:cs="Times New Roman"/>
          <w:color w:val="2E74B5" w:themeColor="accent1" w:themeShade="BF"/>
          <w:sz w:val="24"/>
          <w:szCs w:val="24"/>
        </w:rPr>
      </w:pPr>
    </w:p>
    <w:p w:rsidRPr="00ED21D1" w:rsidR="00DE6F04" w:rsidP="025DBB92" w:rsidRDefault="007A3B91" w14:paraId="0072060C" w14:textId="3539A313">
      <w:r>
        <w:br w:type="page"/>
      </w:r>
    </w:p>
    <w:p w:rsidRPr="00ED21D1" w:rsidR="00DE6F04" w:rsidP="025DBB92" w:rsidRDefault="00DE6F04" w14:paraId="782BC85A" w14:textId="107E846A">
      <w:pPr>
        <w:jc w:val="both"/>
        <w:rPr>
          <w:rFonts w:eastAsia="Times New Roman" w:cs="Times New Roman"/>
          <w:color w:val="222222"/>
          <w:sz w:val="24"/>
          <w:szCs w:val="24"/>
        </w:rPr>
      </w:pPr>
    </w:p>
    <w:p w:rsidRPr="00ED21D1" w:rsidR="00DE6F04" w:rsidP="025DBB92" w:rsidRDefault="007A3B91" w14:paraId="4980D9AE" w14:textId="7599576A">
      <w:pPr>
        <w:jc w:val="both"/>
        <w:rPr>
          <w:rFonts w:eastAsia="Times New Roman" w:cs="Times New Roman"/>
          <w:b/>
          <w:bCs/>
          <w:color w:val="222222"/>
          <w:sz w:val="24"/>
          <w:szCs w:val="24"/>
        </w:rPr>
      </w:pPr>
      <w:r>
        <w:br/>
      </w:r>
      <w:r w:rsidRPr="025DBB92" w:rsidR="025DBB92">
        <w:rPr>
          <w:rFonts w:eastAsia="Times New Roman" w:cs="Times New Roman"/>
          <w:color w:val="222222"/>
          <w:sz w:val="24"/>
          <w:szCs w:val="24"/>
        </w:rPr>
        <w:t>-</w:t>
      </w:r>
      <w:r w:rsidRPr="025DBB92" w:rsidR="025DBB92">
        <w:rPr>
          <w:rFonts w:eastAsia="Times New Roman" w:cs="Times New Roman"/>
          <w:b/>
          <w:bCs/>
          <w:color w:val="222222"/>
          <w:sz w:val="24"/>
          <w:szCs w:val="24"/>
        </w:rPr>
        <w:t>Reviewer 2</w:t>
      </w:r>
      <w:r>
        <w:br/>
      </w:r>
      <w:r>
        <w:br/>
      </w:r>
      <w:r w:rsidRPr="025DBB92" w:rsidR="025DBB92">
        <w:rPr>
          <w:rFonts w:eastAsia="Times New Roman" w:cs="Times New Roman"/>
          <w:color w:val="222222"/>
          <w:sz w:val="24"/>
          <w:szCs w:val="24"/>
        </w:rPr>
        <w:t>Overall:</w:t>
      </w:r>
    </w:p>
    <w:p w:rsidRPr="00ED21D1" w:rsidR="00DE6F04" w:rsidP="025DBB92" w:rsidRDefault="025DBB92" w14:paraId="4BE7FEE9" w14:textId="79838835">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rsidRPr="00ED21D1" w:rsidR="00DE6F04" w:rsidP="025DBB92" w:rsidRDefault="025DBB92" w14:paraId="5687C8A6" w14:textId="2ADEE8D6">
      <w:pPr>
        <w:jc w:val="both"/>
      </w:pPr>
      <w:r w:rsidRPr="025DBB92">
        <w:rPr>
          <w:rFonts w:eastAsia="Times New Roman" w:cs="Times New Roman"/>
          <w:color w:val="222222"/>
          <w:sz w:val="24"/>
          <w:szCs w:val="24"/>
        </w:rPr>
        <w:t>Questions/Points:</w:t>
      </w:r>
    </w:p>
    <w:p w:rsidRPr="00ED21D1" w:rsidR="00DE6F04" w:rsidP="025DBB92" w:rsidRDefault="025DBB92" w14:paraId="39A766D6" w14:textId="03136572">
      <w:pPr>
        <w:jc w:val="both"/>
      </w:pPr>
      <w:r w:rsidRPr="025DBB92">
        <w:rPr>
          <w:rFonts w:eastAsia="Times New Roman" w:cs="Times New Roman"/>
          <w:color w:val="222222"/>
          <w:sz w:val="24"/>
          <w:szCs w:val="24"/>
        </w:rPr>
        <w:t>Table 3: Any issues with replacing NAD(H) with NADP(H)?  Should cofactor stability be considered?</w:t>
      </w:r>
    </w:p>
    <w:p w:rsidRPr="00ED21D1" w:rsidR="00DE6F04" w:rsidP="025DBB92" w:rsidRDefault="025DBB92" w14:paraId="6D66FAB6" w14:textId="6E5629F2">
      <w:pPr>
        <w:ind w:left="720"/>
        <w:jc w:val="both"/>
      </w:pPr>
      <w:r w:rsidRPr="7A6EC047" w:rsidR="7A6EC047">
        <w:rPr>
          <w:rFonts w:cs="Times New Roman"/>
          <w:color w:val="2E74B5" w:themeColor="accent1" w:themeTint="FF" w:themeShade="BF"/>
          <w:sz w:val="24"/>
          <w:szCs w:val="24"/>
        </w:rPr>
        <w:t>Wild-type C</w:t>
      </w:r>
      <w:r w:rsidRPr="7A6EC047" w:rsidR="7A6EC047">
        <w:rPr>
          <w:rFonts w:cs="Times New Roman"/>
          <w:color w:val="2E74B5" w:themeColor="accent1" w:themeTint="FF" w:themeShade="BF"/>
          <w:sz w:val="24"/>
          <w:szCs w:val="24"/>
        </w:rPr>
        <w:t xml:space="preserve">. </w:t>
      </w:r>
      <w:proofErr w:type="spellStart"/>
      <w:r w:rsidRPr="7A6EC047" w:rsidR="7A6EC047">
        <w:rPr>
          <w:rFonts w:cs="Times New Roman"/>
          <w:color w:val="2E74B5" w:themeColor="accent1" w:themeTint="FF" w:themeShade="BF"/>
          <w:sz w:val="24"/>
          <w:szCs w:val="24"/>
        </w:rPr>
        <w:t>thermocellum</w:t>
      </w:r>
      <w:proofErr w:type="spellEnd"/>
      <w:r w:rsidRPr="7A6EC047" w:rsidR="7A6EC047">
        <w:rPr>
          <w:rFonts w:cs="Times New Roman"/>
          <w:color w:val="2E74B5" w:themeColor="accent1" w:themeTint="FF" w:themeShade="BF"/>
          <w:sz w:val="24"/>
          <w:szCs w:val="24"/>
        </w:rPr>
        <w:t xml:space="preserve"> has been shown to maintain a high NADPH pool (add citation). Thus, we do not believe there are cofactor stability issues with modifying the cofactor dependencies of enzymes. We would also like to bring the reviewers notice to the fact that spontaneous mutations have been known to change cofactor specificity of reactions.</w:t>
      </w:r>
    </w:p>
    <w:p w:rsidRPr="00ED21D1" w:rsidR="00DE6F04" w:rsidP="025DBB92" w:rsidRDefault="00DE6F04" w14:paraId="7DFB48B8" w14:textId="68857270">
      <w:pPr>
        <w:jc w:val="both"/>
        <w:rPr>
          <w:rFonts w:eastAsia="Times New Roman" w:cs="Times New Roman"/>
          <w:color w:val="222222"/>
          <w:sz w:val="24"/>
          <w:szCs w:val="24"/>
        </w:rPr>
      </w:pPr>
    </w:p>
    <w:p w:rsidRPr="00ED21D1" w:rsidR="00DE6F04" w:rsidP="025DBB92" w:rsidRDefault="025DBB92" w14:paraId="60EF2E3C" w14:textId="1057D2B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rsidR="7A6EC047" w:rsidP="7A6EC047" w:rsidRDefault="7A6EC047" w14:paraId="7A09AC29" w14:textId="437D60AE">
      <w:pPr>
        <w:pStyle w:val="Normal"/>
        <w:bidi w:val="0"/>
        <w:spacing w:before="0" w:beforeAutospacing="off" w:after="160" w:afterAutospacing="off" w:line="259" w:lineRule="auto"/>
        <w:ind w:left="720" w:right="0"/>
        <w:jc w:val="both"/>
        <w:rPr>
          <w:rFonts w:cs="Times New Roman"/>
          <w:color w:val="2E74B5" w:themeColor="accent1" w:themeTint="FF" w:themeShade="BF"/>
          <w:sz w:val="24"/>
          <w:szCs w:val="24"/>
        </w:rPr>
      </w:pPr>
      <w:r w:rsidRPr="7A6EC047" w:rsidR="7A6EC047">
        <w:rPr>
          <w:rFonts w:cs="Times New Roman"/>
          <w:color w:val="2E74B5" w:themeColor="accent1" w:themeTint="FF" w:themeShade="BF"/>
          <w:sz w:val="24"/>
          <w:szCs w:val="24"/>
        </w:rPr>
        <w:t xml:space="preserve">We agree with the reviewer on the possible impacts of ethanol toxicity. </w:t>
      </w:r>
      <w:r w:rsidRPr="7A6EC047" w:rsidR="7A6EC047">
        <w:rPr>
          <w:rFonts w:cs="Times New Roman"/>
          <w:i w:val="1"/>
          <w:iCs w:val="1"/>
          <w:color w:val="2E74B5" w:themeColor="accent1" w:themeTint="FF" w:themeShade="BF"/>
          <w:sz w:val="24"/>
          <w:szCs w:val="24"/>
        </w:rPr>
        <w:t xml:space="preserve">C. </w:t>
      </w:r>
      <w:proofErr w:type="spellStart"/>
      <w:r w:rsidRPr="7A6EC047" w:rsidR="7A6EC047">
        <w:rPr>
          <w:rFonts w:cs="Times New Roman"/>
          <w:i w:val="1"/>
          <w:iCs w:val="1"/>
          <w:color w:val="2E74B5" w:themeColor="accent1" w:themeTint="FF" w:themeShade="BF"/>
          <w:sz w:val="24"/>
          <w:szCs w:val="24"/>
        </w:rPr>
        <w:t>thermocellum</w:t>
      </w:r>
      <w:proofErr w:type="spellEnd"/>
      <w:r w:rsidRPr="7A6EC047" w:rsidR="7A6EC047">
        <w:rPr>
          <w:rFonts w:cs="Times New Roman"/>
          <w:color w:val="2E74B5" w:themeColor="accent1" w:themeTint="FF" w:themeShade="BF"/>
          <w:sz w:val="24"/>
          <w:szCs w:val="24"/>
        </w:rPr>
        <w:t xml:space="preserve"> experiences the toxic effects of ethanol at around xx M concentrations (cite). However, C. </w:t>
      </w:r>
      <w:proofErr w:type="spellStart"/>
      <w:r w:rsidRPr="7A6EC047" w:rsidR="7A6EC047">
        <w:rPr>
          <w:rFonts w:cs="Times New Roman"/>
          <w:color w:val="2E74B5" w:themeColor="accent1" w:themeTint="FF" w:themeShade="BF"/>
          <w:sz w:val="24"/>
          <w:szCs w:val="24"/>
        </w:rPr>
        <w:t>thermocellum</w:t>
      </w:r>
      <w:proofErr w:type="spellEnd"/>
      <w:r w:rsidRPr="7A6EC047" w:rsidR="7A6EC047">
        <w:rPr>
          <w:rFonts w:cs="Times New Roman"/>
          <w:color w:val="2E74B5" w:themeColor="accent1" w:themeTint="FF" w:themeShade="BF"/>
          <w:sz w:val="24"/>
          <w:szCs w:val="24"/>
        </w:rPr>
        <w:t xml:space="preserve"> stops growing and producing ethanol at a much lower ethanol concentration, referred to titer gap due to the gap between toxic levels of ethanol and the level at which growth and ethanol production is affected (cite).</w:t>
      </w:r>
    </w:p>
    <w:p w:rsidRPr="00ED21D1" w:rsidR="00DE6F04" w:rsidP="025DBB92" w:rsidRDefault="00DE6F04" w14:paraId="5FB72634" w14:textId="494E7536">
      <w:pPr>
        <w:jc w:val="both"/>
        <w:rPr>
          <w:rFonts w:eastAsia="Times New Roman" w:cs="Times New Roman"/>
          <w:color w:val="222222"/>
          <w:sz w:val="24"/>
          <w:szCs w:val="24"/>
        </w:rPr>
      </w:pPr>
    </w:p>
    <w:p w:rsidRPr="00ED21D1" w:rsidR="00DE6F04" w:rsidP="025DBB92" w:rsidRDefault="025DBB92" w14:paraId="4E0C65F9" w14:textId="1F064000">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rsidRPr="00ED21D1" w:rsidR="00DE6F04" w:rsidP="7A6EC047" w:rsidRDefault="025DBB92" w14:paraId="65044837" w14:textId="3F23827C">
      <w:pPr>
        <w:ind w:left="720"/>
        <w:jc w:val="both"/>
        <w:rPr>
          <w:rFonts w:cs="Times New Roman"/>
          <w:color w:val="2E74B5" w:themeColor="accent1" w:themeTint="FF" w:themeShade="BF"/>
          <w:sz w:val="24"/>
          <w:szCs w:val="24"/>
        </w:rPr>
      </w:pPr>
      <w:r w:rsidRPr="7A6EC047" w:rsidR="7A6EC047">
        <w:rPr>
          <w:rFonts w:cs="Times New Roman"/>
          <w:color w:val="2E74B5" w:themeColor="accent1" w:themeTint="FF" w:themeShade="BF"/>
          <w:sz w:val="24"/>
          <w:szCs w:val="24"/>
        </w:rPr>
        <w:t>A major advantage of C .</w:t>
      </w:r>
      <w:proofErr w:type="spellStart"/>
      <w:r w:rsidRPr="7A6EC047" w:rsidR="7A6EC047">
        <w:rPr>
          <w:rFonts w:cs="Times New Roman"/>
          <w:color w:val="2E74B5" w:themeColor="accent1" w:themeTint="FF" w:themeShade="BF"/>
          <w:sz w:val="24"/>
          <w:szCs w:val="24"/>
        </w:rPr>
        <w:t>thermocellum’s</w:t>
      </w:r>
      <w:proofErr w:type="spellEnd"/>
      <w:r w:rsidRPr="7A6EC047" w:rsidR="7A6EC047">
        <w:rPr>
          <w:rFonts w:cs="Times New Roman"/>
          <w:color w:val="2E74B5" w:themeColor="accent1" w:themeTint="FF" w:themeShade="BF"/>
          <w:sz w:val="24"/>
          <w:szCs w:val="24"/>
        </w:rPr>
        <w:t xml:space="preserve"> metabolism is its ability to solubilize cellulose. </w:t>
      </w:r>
    </w:p>
    <w:p w:rsidRPr="00ED21D1" w:rsidR="00DE6F04" w:rsidP="025DBB92" w:rsidRDefault="00DE6F04" w14:paraId="174435BA" w14:textId="712217B5">
      <w:pPr>
        <w:jc w:val="both"/>
        <w:rPr>
          <w:rFonts w:eastAsia="Times New Roman" w:cs="Times New Roman"/>
          <w:color w:val="222222"/>
          <w:sz w:val="24"/>
          <w:szCs w:val="24"/>
        </w:rPr>
      </w:pPr>
    </w:p>
    <w:p w:rsidRPr="00ED21D1" w:rsidR="00DE6F04" w:rsidP="025DBB92" w:rsidRDefault="025DBB92" w14:paraId="77ADEC6F" w14:textId="2E62C751">
      <w:pPr>
        <w:jc w:val="both"/>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Is the metabolic engineering strategy too difficult for this organism?  Should continuous ethanol stripping during fermentation be used over metabolic engineering?  Or, does this analysis suggest C. thermocellum is not the best candidate for ethanol production?  Should candidate organisms for ethanol production have a set of core metabolic characteristics to be considered for further engineering?  If so, what are they?  Can libraries of organisms (especially thermophiles) be scanned for these characteristics? </w:t>
      </w:r>
    </w:p>
    <w:p w:rsidRPr="00ED21D1" w:rsidR="00DE6F04" w:rsidP="025DBB92" w:rsidRDefault="025DBB92" w14:paraId="2B14095A" w14:textId="056A9575">
      <w:pPr>
        <w:ind w:left="720"/>
        <w:jc w:val="both"/>
      </w:pPr>
      <w:r w:rsidRPr="025DBB92">
        <w:rPr>
          <w:rFonts w:cs="Times New Roman"/>
          <w:color w:val="2E74B5" w:themeColor="accent1" w:themeShade="BF"/>
          <w:sz w:val="24"/>
          <w:szCs w:val="24"/>
        </w:rPr>
        <w:t>&lt;Answer&gt;</w:t>
      </w:r>
    </w:p>
    <w:p w:rsidRPr="00ED21D1" w:rsidR="00DE6F04" w:rsidP="025DBB92" w:rsidRDefault="007A3B91" w14:paraId="1C7BD21C" w14:textId="56668941">
      <w:r>
        <w:br w:type="page"/>
      </w:r>
    </w:p>
    <w:p w:rsidRPr="00ED21D1" w:rsidR="00DE6F04" w:rsidP="025DBB92" w:rsidRDefault="025DBB92" w14:paraId="7C431524" w14:textId="5CC0A66F">
      <w:pPr>
        <w:jc w:val="both"/>
      </w:pPr>
      <w:r w:rsidRPr="025DBB92">
        <w:rPr>
          <w:rFonts w:eastAsia="Times New Roman" w:cs="Times New Roman"/>
          <w:color w:val="222222"/>
          <w:sz w:val="24"/>
          <w:szCs w:val="24"/>
        </w:rPr>
        <w:lastRenderedPageBreak/>
        <w:t xml:space="preserve"> </w:t>
      </w:r>
    </w:p>
    <w:p w:rsidRPr="00ED21D1" w:rsidR="00DE6F04" w:rsidP="025DBB92" w:rsidRDefault="025DBB92" w14:paraId="395D7F8D" w14:textId="2AA8DA23">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rsidRPr="00ED21D1" w:rsidR="00DE6F04" w:rsidP="025DBB92" w:rsidRDefault="025DBB92" w14:paraId="53D62633" w14:textId="7206DEF5">
      <w:pPr>
        <w:jc w:val="both"/>
      </w:pPr>
      <w:r w:rsidRPr="025DBB92">
        <w:rPr>
          <w:rFonts w:eastAsia="Times New Roman" w:cs="Times New Roman"/>
          <w:color w:val="222222"/>
          <w:sz w:val="24"/>
          <w:szCs w:val="24"/>
        </w:rPr>
        <w:t xml:space="preserve"> </w:t>
      </w:r>
    </w:p>
    <w:p w:rsidRPr="00ED21D1" w:rsidR="00DE6F04" w:rsidP="025DBB92" w:rsidRDefault="025DBB92" w14:paraId="2F89FBD1" w14:textId="0D71E575">
      <w:pPr>
        <w:jc w:val="both"/>
      </w:pPr>
      <w:r w:rsidRPr="025DBB92">
        <w:rPr>
          <w:rFonts w:eastAsia="Times New Roman" w:cs="Times New Roman"/>
          <w:b/>
          <w:bCs/>
          <w:color w:val="222222"/>
          <w:sz w:val="24"/>
          <w:szCs w:val="24"/>
        </w:rPr>
        <w:t>(Please note that this review was sent directly to me and is not in the system)</w:t>
      </w:r>
    </w:p>
    <w:p w:rsidRPr="00ED21D1" w:rsidR="00DE6F04" w:rsidP="025DBB92" w:rsidRDefault="025DBB92" w14:paraId="6E322017" w14:textId="3D1F9B39">
      <w:pPr>
        <w:jc w:val="both"/>
      </w:pPr>
      <w:r w:rsidRPr="025DBB92">
        <w:rPr>
          <w:rFonts w:eastAsia="Times New Roman" w:cs="Times New Roman"/>
          <w:color w:val="222222"/>
          <w:sz w:val="24"/>
          <w:szCs w:val="24"/>
        </w:rPr>
        <w:t xml:space="preserve"> </w:t>
      </w:r>
    </w:p>
    <w:p w:rsidRPr="006D4201" w:rsidR="00DE6F04" w:rsidP="006D4201" w:rsidRDefault="025DBB92" w14:paraId="087E1D44" w14:textId="513C2E7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rsidRPr="00ED21D1" w:rsidR="00DE6F04" w:rsidP="025DBB92" w:rsidRDefault="025DBB92" w14:paraId="54FBCE12" w14:textId="0487C303">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rsidRPr="00ED21D1" w:rsidR="00DE6F04" w:rsidP="025DBB92" w:rsidRDefault="025DBB92" w14:paraId="25598C4C" w14:textId="79D046C8">
      <w:pPr>
        <w:jc w:val="both"/>
      </w:pPr>
      <w:r w:rsidRPr="025DBB92">
        <w:rPr>
          <w:rFonts w:eastAsia="Times New Roman" w:cs="Times New Roman"/>
          <w:color w:val="222222"/>
          <w:sz w:val="24"/>
          <w:szCs w:val="24"/>
        </w:rPr>
        <w:t>Major comments</w:t>
      </w:r>
    </w:p>
    <w:p w:rsidRPr="00ED21D1" w:rsidR="00DE6F04" w:rsidP="025DBB92" w:rsidRDefault="025DBB92" w14:paraId="5F4DBF82" w14:textId="0F50E062">
      <w:pPr>
        <w:jc w:val="both"/>
        <w:rPr>
          <w:rFonts w:eastAsia="Times New Roman" w:cs="Times New Roman"/>
          <w:color w:val="222222"/>
          <w:sz w:val="24"/>
          <w:szCs w:val="24"/>
        </w:rPr>
      </w:pPr>
      <w:r w:rsidRPr="7A6EC047" w:rsidR="7A6EC047">
        <w:rPr>
          <w:rFonts w:eastAsia="Times New Roman" w:cs="Times New Roman"/>
          <w:color w:val="222222"/>
          <w:sz w:val="24"/>
          <w:szCs w:val="24"/>
        </w:rPr>
        <w:t xml:space="preserve">1. Figure 2 legend. The positive slope of PFK, FBA, GAPDH, ALDH, and ADH reactions are not really visible within any part of this figure. A table of individual delta G values in the </w:t>
      </w:r>
      <w:proofErr w:type="spellStart"/>
      <w:r w:rsidRPr="7A6EC047" w:rsidR="7A6EC047">
        <w:rPr>
          <w:rFonts w:eastAsia="Times New Roman" w:cs="Times New Roman"/>
          <w:color w:val="222222"/>
          <w:sz w:val="24"/>
          <w:szCs w:val="24"/>
        </w:rPr>
        <w:t>supplementals</w:t>
      </w:r>
      <w:proofErr w:type="spellEnd"/>
      <w:r w:rsidRPr="7A6EC047" w:rsidR="7A6EC047">
        <w:rPr>
          <w:rFonts w:eastAsia="Times New Roman" w:cs="Times New Roman"/>
          <w:color w:val="222222"/>
          <w:sz w:val="24"/>
          <w:szCs w:val="24"/>
        </w:rPr>
        <w:t xml:space="preserve"> that you could refer the reader to would be helpful in order to appreciate these important findings.</w:t>
      </w:r>
    </w:p>
    <w:p w:rsidR="7A6EC047" w:rsidP="7A6EC047" w:rsidRDefault="7A6EC047" w14:paraId="327A765F" w14:textId="7702A435">
      <w:pPr>
        <w:pStyle w:val="Normal"/>
        <w:bidi w:val="0"/>
        <w:spacing w:before="0" w:beforeAutospacing="off" w:after="160" w:afterAutospacing="off" w:line="259" w:lineRule="auto"/>
        <w:ind w:left="720" w:right="0"/>
        <w:jc w:val="both"/>
      </w:pPr>
      <w:r w:rsidRPr="7A6EC047" w:rsidR="7A6EC047">
        <w:rPr>
          <w:rFonts w:cs="Times New Roman"/>
          <w:color w:val="2E74B5" w:themeColor="accent1" w:themeTint="FF" w:themeShade="BF"/>
          <w:sz w:val="24"/>
          <w:szCs w:val="24"/>
        </w:rPr>
        <w:t>We have added a supplementary table XX listing the change in delta G values and the cumulative delta G values for the pathway shown in Figure 2.</w:t>
      </w:r>
    </w:p>
    <w:p w:rsidRPr="00ED21D1" w:rsidR="00DE6F04" w:rsidP="025DBB92" w:rsidRDefault="025DBB92" w14:paraId="61D66A24" w14:textId="0072704B">
      <w:pPr>
        <w:jc w:val="both"/>
      </w:pPr>
      <w:r w:rsidRPr="025DBB92">
        <w:rPr>
          <w:rFonts w:eastAsia="Times New Roman" w:cs="Times New Roman"/>
          <w:color w:val="222222"/>
          <w:sz w:val="24"/>
          <w:szCs w:val="24"/>
        </w:rPr>
        <w:t>Minor comments</w:t>
      </w:r>
    </w:p>
    <w:p w:rsidRPr="00ED21D1" w:rsidR="00DE6F04" w:rsidP="025DBB92" w:rsidRDefault="3E22ED8A" w14:paraId="58D7DB30" w14:textId="27AAA065">
      <w:pPr>
        <w:jc w:val="both"/>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rsidRPr="00ED21D1" w:rsidR="00DE6F04" w:rsidP="025DBB92" w:rsidRDefault="025DBB92" w14:paraId="6B3D60B4" w14:textId="221F4CB3">
      <w:pPr>
        <w:jc w:val="both"/>
      </w:pPr>
      <w:r w:rsidRPr="025DBB92">
        <w:rPr>
          <w:rFonts w:eastAsia="Times New Roman" w:cs="Times New Roman"/>
          <w:color w:val="222222"/>
          <w:sz w:val="24"/>
          <w:szCs w:val="24"/>
        </w:rPr>
        <w:t>Supplemental file 1 – indicating Units for amounts would be helpful to the readers?</w:t>
      </w:r>
    </w:p>
    <w:p w:rsidRPr="00ED21D1" w:rsidR="00DE6F04" w:rsidP="025DBB92" w:rsidRDefault="3E22ED8A" w14:paraId="45A2181B" w14:textId="538ECE27">
      <w:pPr>
        <w:ind w:left="720"/>
        <w:jc w:val="both"/>
      </w:pPr>
      <w:r w:rsidRPr="7A6EC047" w:rsidR="7A6EC047">
        <w:rPr>
          <w:rFonts w:cs="Times New Roman"/>
          <w:color w:val="2E74B5" w:themeColor="accent1" w:themeTint="FF" w:themeShade="BF"/>
          <w:sz w:val="24"/>
          <w:szCs w:val="24"/>
        </w:rPr>
        <w:t xml:space="preserve">&lt;Answer&gt; </w:t>
      </w:r>
    </w:p>
    <w:p w:rsidRPr="00ED21D1" w:rsidR="00DE6F04" w:rsidP="025DBB92" w:rsidRDefault="3E22ED8A" w14:paraId="58B9AFF8" w14:textId="01D6C761">
      <w:pPr>
        <w:jc w:val="both"/>
      </w:pPr>
      <w:r w:rsidRPr="3E22ED8A">
        <w:rPr>
          <w:rFonts w:eastAsia="Times New Roman" w:cs="Times New Roman"/>
          <w:color w:val="222222"/>
          <w:sz w:val="24"/>
          <w:szCs w:val="24"/>
        </w:rPr>
        <w:t>Line 271 – Looks like an “is” might be missing between “MDF” and “constrained”</w:t>
      </w:r>
    </w:p>
    <w:p w:rsidRPr="00ED21D1" w:rsidR="00DE6F04" w:rsidP="025DBB92" w:rsidRDefault="3E22ED8A" w14:paraId="651F8B30" w14:textId="57492589">
      <w:pPr>
        <w:jc w:val="both"/>
      </w:pPr>
      <w:r w:rsidRPr="3E22ED8A">
        <w:rPr>
          <w:rFonts w:eastAsia="Times New Roman" w:cs="Times New Roman"/>
          <w:color w:val="222222"/>
          <w:sz w:val="24"/>
          <w:szCs w:val="24"/>
        </w:rPr>
        <w:t>Line 405 – “NADPH liked ALDH” should be “linked”</w:t>
      </w:r>
    </w:p>
    <w:p w:rsidRPr="00ED21D1" w:rsidR="00DE6F04" w:rsidP="025DBB92" w:rsidRDefault="3E22ED8A" w14:paraId="6EFDAC7A" w14:textId="41992E41">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rsidRPr="004D618D" w:rsidR="00C43199" w:rsidP="004D618D" w:rsidRDefault="3E22ED8A" w14:paraId="1454991C" w14:textId="4D9377BF">
      <w:pPr>
        <w:ind w:left="720"/>
        <w:jc w:val="both"/>
      </w:pPr>
      <w:r w:rsidRPr="3E22ED8A">
        <w:rPr>
          <w:rFonts w:eastAsia="Times New Roman" w:cs="Times New Roman"/>
          <w:color w:val="2E74B5" w:themeColor="accent1" w:themeShade="BF"/>
          <w:sz w:val="24"/>
          <w:szCs w:val="24"/>
        </w:rPr>
        <w:lastRenderedPageBreak/>
        <w:t>We thank the reviewer for pointing these out. We have updated these corrections in the manuscript.</w:t>
      </w:r>
    </w:p>
    <w:sectPr w:rsidRPr="004D618D" w:rsidR="00C43199" w:rsidSect="00E84519">
      <w:headerReference w:type="even" r:id="rId10"/>
      <w:headerReference w:type="default" r:id="rId11"/>
      <w:pgSz w:w="12240" w:h="15840" w:orient="portrait"/>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BB5" w:rsidP="006D4201" w:rsidRDefault="00AA2BB5" w14:paraId="068080AD" w14:textId="77777777">
      <w:pPr>
        <w:spacing w:after="0" w:line="240" w:lineRule="auto"/>
      </w:pPr>
      <w:r>
        <w:separator/>
      </w:r>
    </w:p>
  </w:endnote>
  <w:endnote w:type="continuationSeparator" w:id="0">
    <w:p w:rsidR="00AA2BB5" w:rsidP="006D4201" w:rsidRDefault="00AA2BB5" w14:paraId="2FE3A3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BB5" w:rsidP="006D4201" w:rsidRDefault="00AA2BB5" w14:paraId="7CB02D13" w14:textId="77777777">
      <w:pPr>
        <w:spacing w:after="0" w:line="240" w:lineRule="auto"/>
      </w:pPr>
      <w:r>
        <w:separator/>
      </w:r>
    </w:p>
  </w:footnote>
  <w:footnote w:type="continuationSeparator" w:id="0">
    <w:p w:rsidR="00AA2BB5" w:rsidP="006D4201" w:rsidRDefault="00AA2BB5" w14:paraId="53A0B29F"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201" w:rsidP="00D248AB" w:rsidRDefault="006D4201" w14:paraId="2C3AB9BC" w14:textId="77777777">
    <w:pPr>
      <w:pStyle w:val="Head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4201" w:rsidP="006D4201" w:rsidRDefault="006D4201" w14:paraId="3978216C" w14:textId="777777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201" w:rsidP="00D248AB" w:rsidRDefault="006D4201" w14:paraId="63F4210F" w14:textId="77777777">
    <w:pPr>
      <w:pStyle w:val="Head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D4201" w:rsidP="006D4201" w:rsidRDefault="006D4201" w14:paraId="341F2760" w14:textId="7777777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47632FA"/>
    <w:multiLevelType w:val="hybridMultilevel"/>
    <w:tmpl w:val="19B6E026"/>
    <w:lvl w:ilvl="0" w:tplc="C2827E8A">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7389"/>
    <w:rsid w:val="00102B1E"/>
    <w:rsid w:val="00102D56"/>
    <w:rsid w:val="0010365B"/>
    <w:rsid w:val="001476CC"/>
    <w:rsid w:val="0016316E"/>
    <w:rsid w:val="00170F41"/>
    <w:rsid w:val="00175D26"/>
    <w:rsid w:val="00177234"/>
    <w:rsid w:val="00190A69"/>
    <w:rsid w:val="00193C06"/>
    <w:rsid w:val="00194417"/>
    <w:rsid w:val="001A76CA"/>
    <w:rsid w:val="001A7889"/>
    <w:rsid w:val="001B6674"/>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42C2"/>
    <w:rsid w:val="002E629F"/>
    <w:rsid w:val="002F5F7F"/>
    <w:rsid w:val="00315866"/>
    <w:rsid w:val="00327BB3"/>
    <w:rsid w:val="00334228"/>
    <w:rsid w:val="00336156"/>
    <w:rsid w:val="003439AA"/>
    <w:rsid w:val="00354FBF"/>
    <w:rsid w:val="00360036"/>
    <w:rsid w:val="003638DE"/>
    <w:rsid w:val="0038092F"/>
    <w:rsid w:val="00382854"/>
    <w:rsid w:val="00383E34"/>
    <w:rsid w:val="0038699A"/>
    <w:rsid w:val="003934C7"/>
    <w:rsid w:val="003C7A03"/>
    <w:rsid w:val="003D0560"/>
    <w:rsid w:val="003D4D72"/>
    <w:rsid w:val="003E508A"/>
    <w:rsid w:val="003E53BD"/>
    <w:rsid w:val="003F160C"/>
    <w:rsid w:val="004003AA"/>
    <w:rsid w:val="00404AEC"/>
    <w:rsid w:val="00415067"/>
    <w:rsid w:val="00421B04"/>
    <w:rsid w:val="00430AB4"/>
    <w:rsid w:val="00454AFC"/>
    <w:rsid w:val="00465CE7"/>
    <w:rsid w:val="00484375"/>
    <w:rsid w:val="00490AB7"/>
    <w:rsid w:val="004950EA"/>
    <w:rsid w:val="004A6736"/>
    <w:rsid w:val="004C0560"/>
    <w:rsid w:val="004C4899"/>
    <w:rsid w:val="004D618D"/>
    <w:rsid w:val="004E099F"/>
    <w:rsid w:val="004E3B18"/>
    <w:rsid w:val="004F49DD"/>
    <w:rsid w:val="005018E3"/>
    <w:rsid w:val="00502B39"/>
    <w:rsid w:val="00515481"/>
    <w:rsid w:val="005340C6"/>
    <w:rsid w:val="0054510C"/>
    <w:rsid w:val="00550287"/>
    <w:rsid w:val="0058280C"/>
    <w:rsid w:val="005935D8"/>
    <w:rsid w:val="00595359"/>
    <w:rsid w:val="005A1FD3"/>
    <w:rsid w:val="005A5A79"/>
    <w:rsid w:val="005C3521"/>
    <w:rsid w:val="005D31B3"/>
    <w:rsid w:val="005E4497"/>
    <w:rsid w:val="005F0F28"/>
    <w:rsid w:val="00606F37"/>
    <w:rsid w:val="006220A5"/>
    <w:rsid w:val="00630883"/>
    <w:rsid w:val="00640264"/>
    <w:rsid w:val="0065113D"/>
    <w:rsid w:val="00664CDF"/>
    <w:rsid w:val="00697E4B"/>
    <w:rsid w:val="006B7DE0"/>
    <w:rsid w:val="006C78C3"/>
    <w:rsid w:val="006D1EA5"/>
    <w:rsid w:val="006D4201"/>
    <w:rsid w:val="006E53EE"/>
    <w:rsid w:val="007010B6"/>
    <w:rsid w:val="00701133"/>
    <w:rsid w:val="00702CF9"/>
    <w:rsid w:val="00702D64"/>
    <w:rsid w:val="007551C6"/>
    <w:rsid w:val="007577E6"/>
    <w:rsid w:val="00761FDD"/>
    <w:rsid w:val="00763431"/>
    <w:rsid w:val="007803C3"/>
    <w:rsid w:val="00794812"/>
    <w:rsid w:val="007A3B91"/>
    <w:rsid w:val="007B5884"/>
    <w:rsid w:val="007C3D08"/>
    <w:rsid w:val="00820C7F"/>
    <w:rsid w:val="00835A3A"/>
    <w:rsid w:val="00847233"/>
    <w:rsid w:val="008509B9"/>
    <w:rsid w:val="0085180E"/>
    <w:rsid w:val="0086370F"/>
    <w:rsid w:val="008670AC"/>
    <w:rsid w:val="00876F82"/>
    <w:rsid w:val="008A6FFE"/>
    <w:rsid w:val="008B1439"/>
    <w:rsid w:val="008B4524"/>
    <w:rsid w:val="008C3CD0"/>
    <w:rsid w:val="008D216C"/>
    <w:rsid w:val="008D78FC"/>
    <w:rsid w:val="00903596"/>
    <w:rsid w:val="00937D41"/>
    <w:rsid w:val="00982788"/>
    <w:rsid w:val="00986DDC"/>
    <w:rsid w:val="00994E2F"/>
    <w:rsid w:val="009A2215"/>
    <w:rsid w:val="009A6C1E"/>
    <w:rsid w:val="009C7C16"/>
    <w:rsid w:val="009D2D48"/>
    <w:rsid w:val="00A04052"/>
    <w:rsid w:val="00A06525"/>
    <w:rsid w:val="00A10432"/>
    <w:rsid w:val="00A32153"/>
    <w:rsid w:val="00A4036F"/>
    <w:rsid w:val="00A4163D"/>
    <w:rsid w:val="00A465AD"/>
    <w:rsid w:val="00A5322B"/>
    <w:rsid w:val="00A532A8"/>
    <w:rsid w:val="00A65082"/>
    <w:rsid w:val="00A70136"/>
    <w:rsid w:val="00A74D28"/>
    <w:rsid w:val="00AA2BB5"/>
    <w:rsid w:val="00AB1585"/>
    <w:rsid w:val="00AC125F"/>
    <w:rsid w:val="00AC6B98"/>
    <w:rsid w:val="00AD66ED"/>
    <w:rsid w:val="00AF2D06"/>
    <w:rsid w:val="00B00B15"/>
    <w:rsid w:val="00B05843"/>
    <w:rsid w:val="00B173A2"/>
    <w:rsid w:val="00B254ED"/>
    <w:rsid w:val="00B25E0F"/>
    <w:rsid w:val="00B4245A"/>
    <w:rsid w:val="00B630DD"/>
    <w:rsid w:val="00B744D8"/>
    <w:rsid w:val="00B97C95"/>
    <w:rsid w:val="00BA192A"/>
    <w:rsid w:val="00BA5B81"/>
    <w:rsid w:val="00BA7362"/>
    <w:rsid w:val="00BB0057"/>
    <w:rsid w:val="00BB407D"/>
    <w:rsid w:val="00BC6282"/>
    <w:rsid w:val="00BD127B"/>
    <w:rsid w:val="00BD64B8"/>
    <w:rsid w:val="00BE60AF"/>
    <w:rsid w:val="00BF7813"/>
    <w:rsid w:val="00C33A6E"/>
    <w:rsid w:val="00C35E3B"/>
    <w:rsid w:val="00C43199"/>
    <w:rsid w:val="00C54E90"/>
    <w:rsid w:val="00C6603D"/>
    <w:rsid w:val="00C715CE"/>
    <w:rsid w:val="00C728B3"/>
    <w:rsid w:val="00C778F7"/>
    <w:rsid w:val="00C93EEB"/>
    <w:rsid w:val="00CA1B96"/>
    <w:rsid w:val="00CB5EF3"/>
    <w:rsid w:val="00CC65C7"/>
    <w:rsid w:val="00CE07FC"/>
    <w:rsid w:val="00D038B4"/>
    <w:rsid w:val="00D041D2"/>
    <w:rsid w:val="00D11135"/>
    <w:rsid w:val="00D32D2D"/>
    <w:rsid w:val="00D602C4"/>
    <w:rsid w:val="00D607A0"/>
    <w:rsid w:val="00D716EA"/>
    <w:rsid w:val="00DB650F"/>
    <w:rsid w:val="00DE6F04"/>
    <w:rsid w:val="00DF044C"/>
    <w:rsid w:val="00DF78A1"/>
    <w:rsid w:val="00E0042D"/>
    <w:rsid w:val="00E35065"/>
    <w:rsid w:val="00E72F1C"/>
    <w:rsid w:val="00E76E32"/>
    <w:rsid w:val="00E84519"/>
    <w:rsid w:val="00EA25FD"/>
    <w:rsid w:val="00ED21D1"/>
    <w:rsid w:val="00EE4F94"/>
    <w:rsid w:val="00F02557"/>
    <w:rsid w:val="00F15065"/>
    <w:rsid w:val="00F229D3"/>
    <w:rsid w:val="00F24653"/>
    <w:rsid w:val="00F473B4"/>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E60AF"/>
    <w:rPr>
      <w:rFonts w:ascii="Times New Roman" w:hAnsi="Times New Roma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styleId="EndNoteBibliographyTitle" w:customStyle="1">
    <w:name w:val="EndNote Bibliography Title"/>
    <w:basedOn w:val="Normal"/>
    <w:rsid w:val="00CC65C7"/>
    <w:pPr>
      <w:spacing w:after="0"/>
      <w:jc w:val="center"/>
    </w:pPr>
    <w:rPr>
      <w:rFonts w:cs="Times New Roman"/>
    </w:rPr>
  </w:style>
  <w:style w:type="paragraph" w:styleId="EndNoteBibliography" w:customStyle="1">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 Id="rId7" /><Relationship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 Id="rId8" /><Relationship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 Id="rId9" /><Relationship Type="http://schemas.openxmlformats.org/officeDocument/2006/relationships/header" Target="header1.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Satyakam</dc:creator>
  <keywords/>
  <dc:description/>
  <lastModifiedBy>Satyakam Dash</lastModifiedBy>
  <revision>8</revision>
  <dcterms:created xsi:type="dcterms:W3CDTF">2019-04-22T01:38:00.0000000Z</dcterms:created>
  <dcterms:modified xsi:type="dcterms:W3CDTF">2019-04-24T16:11:45.8066240Z</dcterms:modified>
</coreProperties>
</file>