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DCE" w14:textId="01B25E2A" w:rsidR="00942062" w:rsidRDefault="00942062" w:rsidP="00A416F9">
      <w:pPr>
        <w:pStyle w:val="Heading1"/>
      </w:pPr>
      <w:r>
        <w:t>Materials and methods</w:t>
      </w:r>
    </w:p>
    <w:p w14:paraId="267C5262" w14:textId="67D661BF" w:rsidR="00A416F9" w:rsidRDefault="00A416F9" w:rsidP="00942062">
      <w:pPr>
        <w:pStyle w:val="Heading2"/>
      </w:pPr>
      <w:r>
        <w:t>Metabolite quantification</w:t>
      </w:r>
    </w:p>
    <w:p w14:paraId="7B445C99" w14:textId="512DA347" w:rsidR="00D46191" w:rsidRDefault="00A416F9" w:rsidP="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bCs/>
          <w:noProof/>
        </w:rPr>
        <w:t>(Tian et al., 2017)</w:t>
      </w:r>
      <w:r w:rsidR="00944E23">
        <w:rPr>
          <w:rStyle w:val="FootnoteReference"/>
        </w:rPr>
        <w:fldChar w:fldCharType="end"/>
      </w:r>
      <w:r>
        <w:t xml:space="preserve"> was used. </w:t>
      </w:r>
      <w:r w:rsidR="00942062">
        <w:t>Briefly, a single 200 ml culture was grown to an OD</w:t>
      </w:r>
      <w:r w:rsidR="00942062" w:rsidRPr="00942062">
        <w:rPr>
          <w:vertAlign w:val="subscript"/>
        </w:rPr>
        <w:t>600</w:t>
      </w:r>
      <w:r w:rsidR="00942062">
        <w:t xml:space="preserve"> of 0.1, the culture was split in half. Starting at 2 hours (</w:t>
      </w:r>
      <w:proofErr w:type="spellStart"/>
      <w:r w:rsidR="00942062">
        <w:t>post split</w:t>
      </w:r>
      <w:proofErr w:type="spellEnd"/>
      <w:r w:rsidR="00942062">
        <w:t>), ethanol was added to one culture at a rate of about 9 g/L/h. No ethanol was added to the other culture.</w:t>
      </w:r>
      <w:r w:rsidR="00944E23">
        <w:t xml:space="preserve"> At 3 timepoints (T=2.0h, 3.8h and 5.9h), each culture was sampled twice for intracellular metabolites using previously described protocols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id":"ITEM-2","itemData":{"DOI":"10.1021/ac070470c","ISBN":"0003-2700","author":[{"dropping-particle":"","family":"Rabinowitz","given":"Joshua D","non-dropping-particle":"","parse-names":false,"suffix":""},{"dropping-particle":"","family":"Kimball","given":"Elizabeth","non-dropping-particle":"","parse-names":false,"suffix":""}],"container-title":"Analytical Chemistry","id":"ITEM-2","issue":"16","issued":{"date-parts":[["2007"]]},"note":"doi: 10.1021/ac070470c","page":"6167-6173","publisher":"American Chemical Society","title":"Acidic Acetonitrile for Cellular Metabolome Extraction from Escherichia coli","type":"article-journal","volume":"79"},"uris":["http://www.mendeley.com/documents/?uuid=91843d77-7a5e-44a0-a198-caa2b629d98e"]},{"id":"ITEM-3","itemData":{"DOI":"10.1016/j.ymben.2016.11.011","ISSN":"10967176","PMID":"27914869","abstract":"The metabolism of Clostridium thermocellum is notable in that it assimilates sugar via the EMP pathway but does not possess a pyruvate kinase enzyme. In the wild type organism, there are three proposed pathways for conversion of phosphoenolpyruvate (PEP) to pyruvate, which differ in their cofactor usage. One path uses pyruvate phosphate dikinase (PPDK), another pathway uses the combined activities of PEP carboxykinase (PEPCK) and oxaloacetate decarboxylase (ODC). Yet another pathway, the malate shunt, uses the combined activities of PEPCK, malate dehydrogenase and malic enzyme. First we showed that there is no flux through the ODC pathway by enzyme assay. Flux through the remaining two pathways (PPDK and malate shunt) was determined by dynamic 13C labeling. In the wild-type strain, the malate shunt accounts for about 33 ± 2% of the flux to pyruvate, with the remainder via the PPDK pathway. Deletion of the ppdk gene resulted in a redirection of all pyruvate flux through the malate shunt. This provides the first direct evidence of the in-vivo function of the malate shunt.","author":[{"dropping-particle":"","family":"Olson","given":"Daniel G.","non-dropping-particle":"","parse-names":false,"suffix":""},{"dropping-particle":"","family":"Hörl","given":"Manuel","non-dropping-particle":"","parse-names":false,"suffix":""},{"dropping-particle":"","family":"Fuhrer","given":"Tobias","non-dropping-particle":"","parse-names":false,"suffix":""},{"dropping-particle":"","family":"Cui","given":"Jingxuan","non-dropping-particle":"","parse-names":false,"suffix":""},{"dropping-particle":"","family":"Zhou","given":"Jilai","non-dropping-particle":"","parse-names":false,"suffix":""},{"dropping-particle":"","family":"Maloney","given":"Marybeth I.","non-dropping-particle":"","parse-names":false,"suffix":""},{"dropping-particle":"","family":"Amador-Noguez","given":"Daniel","non-dropping-particle":"","parse-names":false,"suffix":""},{"dropping-particle":"","family":"Tian","given":"Liang","non-dropping-particle":"","parse-names":false,"suffix":""},{"dropping-particle":"","family":"Sauer","given":"Uwe","non-dropping-particle":"","parse-names":false,"suffix":""},{"dropping-particle":"","family":"Lynd","given":"Lee R.","non-dropping-particle":"","parse-names":false,"suffix":""}],"container-title":"Metabolic Engineering","id":"ITEM-3","issue":"November 2016","issued":{"date-parts":[["2016"]]},"page":"169-180","publisher":"Elsevier","title":"Glycolysis without pyruvate kinase in &lt;i&gt;Clostridium thermocellum&lt;/i&gt;","type":"article-journal","volume":"39"},"uris":["http://www.mendeley.com/documents/?uuid=bcbe601f-f662-44b9-a1b6-a0d5793e7c14"]}],"mendeley":{"formattedCitation":"(Olson et al., 2016; Rabinowitz and Kimball, 2007; Tian et al., 2017)","plainTextFormattedCitation":"(Olson et al., 2016; Rabinowitz and Kimball, 2007; Tian et al., 2017)","previouslyFormattedCitation":"(Olson et al., 2016; Rabinowitz and Kimball, 2007; Tian et al., 2017)"},"properties":{"noteIndex":0},"schema":"https://github.com/citation-style-language/schema/raw/master/csl-citation.json"}</w:instrText>
      </w:r>
      <w:r w:rsidR="00944E23">
        <w:rPr>
          <w:rStyle w:val="FootnoteReference"/>
        </w:rPr>
        <w:fldChar w:fldCharType="separate"/>
      </w:r>
      <w:r w:rsidR="00944E23" w:rsidRPr="00944E23">
        <w:rPr>
          <w:bCs/>
          <w:noProof/>
        </w:rPr>
        <w:t>(Olson et al., 2016; Rabinowitz and Kimball, 2007; Tian et al., 2017)</w:t>
      </w:r>
      <w:r w:rsidR="00944E23">
        <w:rPr>
          <w:rStyle w:val="FootnoteReference"/>
        </w:rPr>
        <w:fldChar w:fldCharType="end"/>
      </w:r>
      <w:r w:rsidR="00944E23">
        <w:t>, and once for extracellular metabolites (</w:t>
      </w:r>
      <w:r w:rsidR="00944E23" w:rsidRPr="00944E23">
        <w:rPr>
          <w:highlight w:val="yellow"/>
        </w:rPr>
        <w:t xml:space="preserve">supplemental table </w:t>
      </w:r>
      <w:commentRangeStart w:id="0"/>
      <w:r w:rsidR="00944E23" w:rsidRPr="00944E23">
        <w:rPr>
          <w:highlight w:val="yellow"/>
        </w:rPr>
        <w:t>BBB</w:t>
      </w:r>
      <w:commentRangeEnd w:id="0"/>
      <w:r w:rsidR="00944E23">
        <w:rPr>
          <w:rStyle w:val="CommentReference"/>
        </w:rPr>
        <w:commentReference w:id="0"/>
      </w:r>
      <w:r w:rsidR="00944E23">
        <w:t>).</w:t>
      </w:r>
    </w:p>
    <w:p w14:paraId="42CD6167" w14:textId="77777777" w:rsidR="000F6A00" w:rsidRDefault="00A416F9" w:rsidP="00A416F9">
      <w:r>
        <w:t>The raw data was re-processed with El-Maven 0.5.0 and quantified using external standards (</w:t>
      </w:r>
      <w:commentRangeStart w:id="1"/>
      <w:r w:rsidRPr="00A416F9">
        <w:rPr>
          <w:highlight w:val="yellow"/>
        </w:rPr>
        <w:t>supplemental figure AAA</w:t>
      </w:r>
      <w:commentRangeEnd w:id="1"/>
      <w:r>
        <w:rPr>
          <w:rStyle w:val="CommentReference"/>
        </w:rPr>
        <w:commentReference w:id="1"/>
      </w:r>
      <w:r>
        <w:t>). Since the response was not linear over the full range of the standards (0.1 µM to 100 µM), quantification was performed by piecewise linear interpolation</w:t>
      </w:r>
      <w:r w:rsidR="00E95330">
        <w:t xml:space="preserve"> (</w:t>
      </w:r>
      <w:r w:rsidR="00E95330" w:rsidRPr="00E95330">
        <w:rPr>
          <w:highlight w:val="yellow"/>
        </w:rPr>
        <w:t>supplemental figure DDD</w:t>
      </w:r>
      <w:r w:rsidR="00E95330">
        <w:t>)</w:t>
      </w:r>
      <w:r>
        <w:t>.</w:t>
      </w:r>
      <w:r w:rsidR="00101A1E">
        <w:t xml:space="preserve"> </w:t>
      </w:r>
    </w:p>
    <w:p w14:paraId="1867F6CB" w14:textId="3E3DA852" w:rsidR="000F6A00" w:rsidRDefault="000F6A00" w:rsidP="00A416F9">
      <w:commentRangeStart w:id="2"/>
      <w:r>
        <w:t xml:space="preserve">Based on 4 measurements of our standard curves, our quantification error for </w:t>
      </w:r>
      <w:commentRangeEnd w:id="2"/>
      <w:r>
        <w:rPr>
          <w:rStyle w:val="CommentReference"/>
        </w:rPr>
        <w:commentReference w:id="2"/>
      </w:r>
    </w:p>
    <w:p w14:paraId="607E7EB7" w14:textId="5C1E7B2B" w:rsidR="00644933" w:rsidRDefault="00644933" w:rsidP="00A416F9">
      <w:r>
        <w:t>One significant change that we observed from the absolute quantification is that the energy charge (ATP or GTP</w:t>
      </w:r>
      <w:r w:rsidR="00E95330">
        <w:t xml:space="preserve">, calculated using </w:t>
      </w:r>
      <w:r w:rsidR="0080133D">
        <w:t>E</w:t>
      </w:r>
      <w:r w:rsidR="00E95330">
        <w:t>quation 1</w:t>
      </w:r>
      <w:r>
        <w:t xml:space="preserve">) values which had previously been calculated to be around 0.9, were actually much </w:t>
      </w:r>
      <w:r w:rsidR="002D5636">
        <w:t>lower, in the range of 0 to 0.15</w:t>
      </w:r>
      <w:r w:rsidR="0080133D">
        <w:t xml:space="preserve">, which is much lower than expected </w:t>
      </w:r>
      <w:r w:rsidR="0080133D">
        <w:fldChar w:fldCharType="begin" w:fldLock="1"/>
      </w:r>
      <w:r w:rsidR="00EB444B">
        <w:instrText>ADDIN CSL_CITATION {"citationItems":[{"id":"ITEM-1","itemData":{"DOI":"10.1021/ac070470c","ISBN":"0003-2700","author":[{"dropping-particle":"","family":"Rabinowitz","given":"Joshua D","non-dropping-particle":"","parse-names":false,"suffix":""},{"dropping-particle":"","family":"Kimball","given":"Elizabeth","non-dropping-particle":"","parse-names":false,"suffix":""}],"container-title":"Analytical Chemistry","id":"ITEM-1","issue":"16","issued":{"date-parts":[["2007"]]},"note":"doi: 10.1021/ac070470c","page":"6167-6173","publisher":"American Chemical Society","title":"Acidic Acetonitrile for Cellular Metabolome Extraction from Escherichia coli","type":"article-journal","volume":"79"},"uris":["http://www.mendeley.com/documents/?uuid=91843d77-7a5e-44a0-a198-caa2b629d98e"]}],"mendeley":{"formattedCitation":"(Rabinowitz and Kimball, 2007)","plainTextFormattedCitation":"(Rabinowitz and Kimball, 2007)","previouslyFormattedCitation":"(Rabinowitz and Kimball, 2007)"},"properties":{"noteIndex":0},"schema":"https://github.com/citation-style-language/schema/raw/master/csl-citation.json"}</w:instrText>
      </w:r>
      <w:r w:rsidR="0080133D">
        <w:fldChar w:fldCharType="separate"/>
      </w:r>
      <w:r w:rsidR="0080133D" w:rsidRPr="0080133D">
        <w:rPr>
          <w:noProof/>
        </w:rPr>
        <w:t>(Rabinowitz and Kimball, 2007)</w:t>
      </w:r>
      <w:r w:rsidR="0080133D">
        <w:fldChar w:fldCharType="end"/>
      </w:r>
      <w:r w:rsidR="0080133D">
        <w:t>, and were excluded from analysis.</w:t>
      </w:r>
    </w:p>
    <w:p w14:paraId="2CFD3ADA" w14:textId="0FF7309E" w:rsidR="00644933" w:rsidRDefault="0084334A" w:rsidP="00A416F9">
      <w:pPr>
        <w:rPr>
          <w:rFonts w:eastAsiaTheme="minorEastAsia"/>
        </w:rPr>
      </w:pPr>
      <m:oMath>
        <m:f>
          <m:fPr>
            <m:ctrlPr>
              <w:rPr>
                <w:rFonts w:ascii="Cambria Math" w:hAnsi="Cambria Math"/>
                <w:i/>
              </w:rPr>
            </m:ctrlPr>
          </m:fPr>
          <m:num>
            <m:r>
              <w:rPr>
                <w:rFonts w:ascii="Cambria Math" w:hAnsi="Cambria Math"/>
              </w:rPr>
              <m:t xml:space="preserve">nTP+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nDP</m:t>
            </m:r>
          </m:num>
          <m:den>
            <m:r>
              <w:rPr>
                <w:rFonts w:ascii="Cambria Math" w:hAnsi="Cambria Math"/>
              </w:rPr>
              <m:t>nTP+nDP+nMP</m:t>
            </m:r>
          </m:den>
        </m:f>
      </m:oMath>
      <w:r w:rsidR="00E95330">
        <w:rPr>
          <w:rFonts w:eastAsiaTheme="minorEastAsia"/>
        </w:rPr>
        <w:t xml:space="preserve"> </w:t>
      </w:r>
      <w:r w:rsidR="00E95330">
        <w:rPr>
          <w:rFonts w:eastAsiaTheme="minorEastAsia"/>
        </w:rPr>
        <w:tab/>
        <w:t>(Equation 1)</w:t>
      </w:r>
    </w:p>
    <w:p w14:paraId="1910D8BF" w14:textId="1B62B3AD" w:rsidR="0080133D" w:rsidRDefault="0080133D" w:rsidP="00A416F9">
      <w:r>
        <w:t xml:space="preserve">In addition, NADH was not observed for the no ethanol control cultures. Since NADH and NAD+ form a cofactor pair, both metabolites were excluded from analysis. </w:t>
      </w:r>
    </w:p>
    <w:p w14:paraId="36E32AD1" w14:textId="5AB7D3AC" w:rsidR="001A483D" w:rsidRDefault="001A483D" w:rsidP="00A416F9">
      <w:r>
        <w:t xml:space="preserve">Since metabolites are typically diluted during the quenching and extraction process, to determine the </w:t>
      </w:r>
      <w:r w:rsidRPr="001A483D">
        <w:rPr>
          <w:i/>
        </w:rPr>
        <w:t>intracellular</w:t>
      </w:r>
      <w:r>
        <w:t xml:space="preserve"> concentration of metabolites, the measured concentration was </w:t>
      </w:r>
      <w:r w:rsidR="00E95330">
        <w:t>adjusted using Equation 2</w:t>
      </w:r>
      <w:r w:rsidR="00F171EB">
        <w:t>.</w:t>
      </w:r>
    </w:p>
    <w:p w14:paraId="7B31F641" w14:textId="0FA32548" w:rsidR="001A483D" w:rsidRDefault="00E95330" w:rsidP="00A416F9">
      <w:pPr>
        <w:rPr>
          <w:rFonts w:eastAsiaTheme="minorEastAsia"/>
        </w:rPr>
      </w:pPr>
      <m:oMath>
        <m:r>
          <w:rPr>
            <w:rFonts w:ascii="Cambria Math" w:hAnsi="Cambria Math"/>
          </w:rPr>
          <m:t>concentration ×</m:t>
        </m:r>
        <m:f>
          <m:fPr>
            <m:ctrlPr>
              <w:rPr>
                <w:rFonts w:ascii="Cambria Math" w:hAnsi="Cambria Math"/>
                <w:i/>
              </w:rPr>
            </m:ctrlPr>
          </m:fPr>
          <m:num>
            <m:r>
              <w:rPr>
                <w:rFonts w:ascii="Cambria Math" w:hAnsi="Cambria Math"/>
              </w:rPr>
              <m:t>1500 ul extraction solvent volume</m:t>
            </m:r>
          </m:num>
          <m:den>
            <m:r>
              <w:rPr>
                <w:rFonts w:ascii="Cambria Math" w:hAnsi="Cambria Math"/>
              </w:rPr>
              <m:t xml:space="preserve">intracellular volume </m:t>
            </m:r>
            <m:d>
              <m:dPr>
                <m:ctrlPr>
                  <w:rPr>
                    <w:rFonts w:ascii="Cambria Math" w:hAnsi="Cambria Math"/>
                    <w:i/>
                  </w:rPr>
                </m:ctrlPr>
              </m:dPr>
              <m:e>
                <m:r>
                  <w:rPr>
                    <w:rFonts w:ascii="Cambria Math" w:hAnsi="Cambria Math"/>
                  </w:rPr>
                  <m:t>ul</m:t>
                </m:r>
              </m:e>
            </m:d>
          </m:den>
        </m:f>
        <m:r>
          <w:rPr>
            <w:rFonts w:ascii="Cambria Math" w:hAnsi="Cambria Math"/>
          </w:rPr>
          <m:t xml:space="preserve"> × </m:t>
        </m:r>
        <m:f>
          <m:fPr>
            <m:ctrlPr>
              <w:rPr>
                <w:rFonts w:ascii="Cambria Math" w:hAnsi="Cambria Math"/>
                <w:i/>
              </w:rPr>
            </m:ctrlPr>
          </m:fPr>
          <m:num>
            <m:r>
              <w:rPr>
                <w:rFonts w:ascii="Cambria Math" w:hAnsi="Cambria Math"/>
              </w:rPr>
              <m:t>100 ul resuspension volume</m:t>
            </m:r>
          </m:num>
          <m:den>
            <m:r>
              <w:rPr>
                <w:rFonts w:ascii="Cambria Math" w:hAnsi="Cambria Math"/>
              </w:rPr>
              <m:t>300 ul extraction solvent</m:t>
            </m:r>
          </m:den>
        </m:f>
        <m:r>
          <w:rPr>
            <w:rFonts w:ascii="Cambria Math" w:hAnsi="Cambria Math"/>
          </w:rPr>
          <m:t>=intracellular concentration</m:t>
        </m:r>
      </m:oMath>
      <w:r>
        <w:rPr>
          <w:rFonts w:eastAsiaTheme="minorEastAsia"/>
        </w:rPr>
        <w:t xml:space="preserve"> </w:t>
      </w:r>
      <w:r>
        <w:rPr>
          <w:rFonts w:eastAsiaTheme="minorEastAsia"/>
        </w:rPr>
        <w:tab/>
        <w:t>(Equation 2)</w:t>
      </w:r>
    </w:p>
    <w:p w14:paraId="7298D1C7" w14:textId="0C436144" w:rsidR="00A416F9" w:rsidRDefault="00F171EB" w:rsidP="00A416F9">
      <w:r>
        <w:t>The</w:t>
      </w:r>
      <w:r w:rsidR="001A483D">
        <w:t xml:space="preserve"> intracellular volume is assumed to be 3.9 µL for 1 ml of a culture at an OD</w:t>
      </w:r>
      <w:r w:rsidR="001A483D" w:rsidRPr="001A483D">
        <w:rPr>
          <w:vertAlign w:val="subscript"/>
        </w:rPr>
        <w:t>600</w:t>
      </w:r>
      <w:r w:rsidR="001A483D">
        <w:t xml:space="preserve"> density of 1 </w:t>
      </w:r>
      <w:r w:rsidR="007375F6">
        <w:fldChar w:fldCharType="begin" w:fldLock="1"/>
      </w:r>
      <w:r w:rsidR="0080133D">
        <w:instrText>ADDIN CSL_CITATION {"citationItems":[{"id":"ITEM-1","itemData":{"DOI":"10.1371/journal.pone.0023126","ISBN":"1932-6203 (Electronic)\\n1932-6203 (Linking)","ISSN":"19326203","PMID":"21829590","abstract":"Systems biology modeling typically requires quantitative experimental data such as intracellular concentrations or copy numbers per cell. In order to convert population-averaging omics measurement data to intracellular concentrations or cellular copy numbers, the total cell volume and number of cells in a sample need to be known. Unfortunately, even for the often studied model bacterium Escherichia coli this information is hardly available and furthermore, certain measures (e.g. cell volume) are also dependent on the growth condition. In this work, we have determined these basic data for E. coli cells when grown in 22 different conditions so that respective data conversions can be done correctly. First, we determine growth-rate dependent cell volumes. Second, we show that in a 1 ml E. coli sample at an optical density (600 nm) of 1 the total cell volume is around 3.6 µl for all conditions tested. Third, we demonstrate that the cell number in a sample can be determined on the basis of the sample's optical density and the cells' growth rate. The data presented will allow for conversion of E. coli measurement data normalized to optical density into volumetric cellular concentrations and copy numbers per cell - two important parameters for systems biology model development.","author":[{"dropping-particle":"","family":"Volkmer","given":"Benjamin","non-dropping-particle":"","parse-names":false,"suffix":""},{"dropping-particle":"","family":"Heinemann","given":"Matthias","non-dropping-particle":"","parse-names":false,"suffix":""}],"container-title":"PLoS ONE","id":"ITEM-1","issue":"7","issued":{"date-parts":[["2011"]]},"page":"1-6","title":"Condition-Dependent cell volume and concentration of Escherichia coli to facilitate data conversion for systems biology modeling","type":"article-journal","volume":"6"},"uris":["http://www.mendeley.com/documents/?uuid=11f8d2de-8254-498e-8688-8b1a4457dab1"]}],"mendeley":{"formattedCitation":"(Volkmer and Heinemann, 2011)","plainTextFormattedCitation":"(Volkmer and Heinemann, 2011)","previouslyFormattedCitation":"(Volkmer and Heinemann, 2011)"},"properties":{"noteIndex":0},"schema":"https://github.com/citation-style-language/schema/raw/master/csl-citation.json"}</w:instrText>
      </w:r>
      <w:r w:rsidR="007375F6">
        <w:fldChar w:fldCharType="separate"/>
      </w:r>
      <w:r w:rsidR="007375F6" w:rsidRPr="007375F6">
        <w:rPr>
          <w:noProof/>
        </w:rPr>
        <w:t>(Volkmer and Heinemann, 2011)</w:t>
      </w:r>
      <w:r w:rsidR="007375F6">
        <w:fldChar w:fldCharType="end"/>
      </w:r>
      <w:r>
        <w:t>. The concentration factor was calculated separately for each extraction, based on the measured OD600 and sample volume. The target cell density (OD</w:t>
      </w:r>
      <w:r w:rsidRPr="00F171EB">
        <w:rPr>
          <w:vertAlign w:val="subscript"/>
        </w:rPr>
        <w:t>600</w:t>
      </w:r>
      <w:r>
        <w:t xml:space="preserve"> x ml) was </w:t>
      </w:r>
      <w:proofErr w:type="gramStart"/>
      <w:r>
        <w:t>2.0, but</w:t>
      </w:r>
      <w:proofErr w:type="gramEnd"/>
      <w:r>
        <w:t xml:space="preserve"> varied from 1.6 to 2.1 (</w:t>
      </w:r>
      <w:commentRangeStart w:id="3"/>
      <w:r>
        <w:t>supplemental table CCC</w:t>
      </w:r>
      <w:commentRangeEnd w:id="3"/>
      <w:r>
        <w:rPr>
          <w:rStyle w:val="CommentReference"/>
        </w:rPr>
        <w:commentReference w:id="3"/>
      </w:r>
      <w:r>
        <w:t>).</w:t>
      </w:r>
    </w:p>
    <w:p w14:paraId="59104637" w14:textId="7C9E3B5F" w:rsidR="00546EA4" w:rsidRDefault="00546EA4" w:rsidP="00A416F9">
      <w:r>
        <w:t xml:space="preserve">For ethanol, the intracellular concentration was assumed to be the same as the extracellular concentration, since the </w:t>
      </w:r>
      <w:commentRangeStart w:id="4"/>
      <w:r>
        <w:t>cytoplasmic membrane is not thought to be a barrier to ethanol diffusion</w:t>
      </w:r>
      <w:commentRangeEnd w:id="4"/>
      <w:r>
        <w:rPr>
          <w:rStyle w:val="CommentReference"/>
        </w:rPr>
        <w:commentReference w:id="4"/>
      </w:r>
      <w:r>
        <w:t>.</w:t>
      </w:r>
    </w:p>
    <w:p w14:paraId="02FEB9AB" w14:textId="1E7AC2B0" w:rsidR="00BD302D" w:rsidRDefault="00BD302D" w:rsidP="00DD22C2">
      <w:pPr>
        <w:pStyle w:val="Heading2"/>
      </w:pPr>
      <w:r>
        <w:t xml:space="preserve">Thermodynamic model </w:t>
      </w:r>
      <w:r w:rsidR="00DD22C2">
        <w:t>constraints</w:t>
      </w:r>
    </w:p>
    <w:p w14:paraId="35494D44" w14:textId="16DA3B7E" w:rsidR="00016BB9" w:rsidRDefault="00DD22C2" w:rsidP="00DD22C2">
      <w:r>
        <w:t xml:space="preserve">For performing the max-min driving-force (MDF) analysis, maximum and minimum metabolite concentration </w:t>
      </w:r>
      <w:proofErr w:type="gramStart"/>
      <w:r>
        <w:t>have to</w:t>
      </w:r>
      <w:proofErr w:type="gramEnd"/>
      <w:r>
        <w:t xml:space="preserve"> be established for non-measured metabolites. Noor et al. </w:t>
      </w:r>
      <w:r w:rsidR="00EB444B">
        <w:rPr>
          <w:rStyle w:val="FootnoteReference"/>
        </w:rPr>
        <w:fldChar w:fldCharType="begin" w:fldLock="1"/>
      </w:r>
      <w:r w:rsidR="00EB444B">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rsidR="00EB444B">
        <w:rPr>
          <w:rStyle w:val="FootnoteReference"/>
        </w:rPr>
        <w:fldChar w:fldCharType="separate"/>
      </w:r>
      <w:r w:rsidR="00EB444B" w:rsidRPr="00EB444B">
        <w:rPr>
          <w:noProof/>
        </w:rPr>
        <w:t>(Noor et al., 2014)</w:t>
      </w:r>
      <w:r w:rsidR="00EB444B">
        <w:rPr>
          <w:rStyle w:val="FootnoteReference"/>
        </w:rPr>
        <w:fldChar w:fldCharType="end"/>
      </w:r>
      <w:r w:rsidR="00EB444B">
        <w:t xml:space="preserve"> </w:t>
      </w:r>
      <w:r>
        <w:t xml:space="preserve">proposed a range of 1 µM to 10 mM, based on </w:t>
      </w:r>
      <w:r w:rsidR="00EB444B">
        <w:t xml:space="preserve">largely on the work of Bennet et al. </w:t>
      </w:r>
      <w:r w:rsidR="00EB444B">
        <w:fldChar w:fldCharType="begin" w:fldLock="1"/>
      </w:r>
      <w:r w:rsidR="00643C56">
        <w:instrText>ADDIN CSL_CITATION {"citationItems":[{"id":"ITEM-1","itemData":{"DOI":"10.1038/nchembio.186","ISBN":"1552-4469","ISSN":"15524469","PMID":"19561621","abstract":"Absolute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Biology","id":"ITEM-1","issue":"8","issued":{"date-parts":[["2009"]]},"page":"593-599","title":"Absolute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EB444B">
        <w:fldChar w:fldCharType="separate"/>
      </w:r>
      <w:r w:rsidR="00EB444B" w:rsidRPr="00EB444B">
        <w:rPr>
          <w:noProof/>
        </w:rPr>
        <w:t>(Bennett et al., 2009)</w:t>
      </w:r>
      <w:r w:rsidR="00EB444B">
        <w:fldChar w:fldCharType="end"/>
      </w:r>
      <w:r w:rsidR="00EB444B">
        <w:t>.</w:t>
      </w:r>
      <w:r w:rsidR="00210757">
        <w:t xml:space="preserve"> </w:t>
      </w:r>
      <w:r w:rsidR="0008182E">
        <w:t xml:space="preserve">Based on our measurements, we decided to keep the lower </w:t>
      </w:r>
      <w:r w:rsidR="00647E3D">
        <w:t>def</w:t>
      </w:r>
      <w:r w:rsidR="002D2D6A">
        <w:t xml:space="preserve">ault concentration at 1 </w:t>
      </w:r>
      <w:proofErr w:type="gramStart"/>
      <w:r w:rsidR="002D2D6A">
        <w:t>µM, but</w:t>
      </w:r>
      <w:proofErr w:type="gramEnd"/>
      <w:r w:rsidR="002D2D6A">
        <w:t xml:space="preserve"> raise the upper default concentration from 10 mM to 20 mM.</w:t>
      </w:r>
      <w:r w:rsidR="00016BB9">
        <w:t xml:space="preserve"> </w:t>
      </w:r>
    </w:p>
    <w:p w14:paraId="668B95CE" w14:textId="5D2A27E4" w:rsidR="00DD22C2" w:rsidRDefault="00016BB9" w:rsidP="00DD22C2">
      <w:r>
        <w:lastRenderedPageBreak/>
        <w:t xml:space="preserve">Although Noor et al. fixed the ratios of several cofactor pairs, we have relaxed these constraints, since the values have not been experimentally determined for </w:t>
      </w:r>
      <w:r w:rsidRPr="00016BB9">
        <w:rPr>
          <w:i/>
        </w:rPr>
        <w:t>C. thermocellum</w:t>
      </w:r>
      <w:r>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Concentration ranges for cofactors were set to allow ratios between 1:100 and 100:1 for the pairs (ATP/ADP, ATP/AMP, GTP/GDP, NADH/NAD+, NADPH/NADP+, </w:t>
      </w:r>
      <w:proofErr w:type="spellStart"/>
      <w:r>
        <w:t>Fd</w:t>
      </w:r>
      <w:proofErr w:type="spellEnd"/>
      <w:r>
        <w:t>(red)/</w:t>
      </w:r>
      <w:proofErr w:type="spellStart"/>
      <w:r>
        <w:t>Fd</w:t>
      </w:r>
      <w:proofErr w:type="spellEnd"/>
      <w:r>
        <w:t xml:space="preserve">(ox)). Default bounds for each metabolite is described in </w:t>
      </w:r>
      <w:commentRangeStart w:id="5"/>
      <w:r w:rsidRPr="00B414E7">
        <w:rPr>
          <w:highlight w:val="yellow"/>
        </w:rPr>
        <w:t>Supplementary table EEE</w:t>
      </w:r>
      <w:commentRangeEnd w:id="5"/>
      <w:r>
        <w:rPr>
          <w:rStyle w:val="CommentReference"/>
        </w:rPr>
        <w:commentReference w:id="5"/>
      </w:r>
      <w:r>
        <w:t>.</w:t>
      </w:r>
    </w:p>
    <w:p w14:paraId="51201063" w14:textId="56218772" w:rsidR="00EB444B" w:rsidRDefault="00EB444B" w:rsidP="00DD22C2"/>
    <w:p w14:paraId="5F560651" w14:textId="77777777" w:rsidR="00EB444B" w:rsidRPr="00DD22C2" w:rsidRDefault="00EB444B" w:rsidP="00DD22C2"/>
    <w:p w14:paraId="588F3840" w14:textId="77A023B8" w:rsidR="00942062" w:rsidRDefault="001002B7" w:rsidP="001002B7">
      <w:pPr>
        <w:pStyle w:val="Heading2"/>
      </w:pPr>
      <w:r>
        <w:t>Stoichiometric model</w:t>
      </w:r>
    </w:p>
    <w:p w14:paraId="6963847C" w14:textId="03E222E7" w:rsidR="001002B7" w:rsidRPr="001002B7" w:rsidRDefault="001002B7" w:rsidP="001002B7">
      <w:commentRangeStart w:id="6"/>
      <w:r>
        <w:t xml:space="preserve">Based on XXX. </w:t>
      </w:r>
      <w:r w:rsidR="005E680C">
        <w:t>Previous stoichiometric models of C. thermocellum have ignored cofactor balance. To reintroduce some of that complexity back into our model, we…</w:t>
      </w:r>
      <w:commentRangeEnd w:id="6"/>
      <w:r w:rsidR="005E680C">
        <w:rPr>
          <w:rStyle w:val="CommentReference"/>
        </w:rPr>
        <w:commentReference w:id="6"/>
      </w:r>
    </w:p>
    <w:p w14:paraId="539A4B18" w14:textId="4D191525" w:rsidR="00942062" w:rsidRPr="00A416F9" w:rsidRDefault="00942062" w:rsidP="00942062">
      <w:pPr>
        <w:pStyle w:val="Heading1"/>
      </w:pPr>
      <w:r>
        <w:t>Results and discussion</w:t>
      </w:r>
    </w:p>
    <w:p w14:paraId="5CB3DD9C" w14:textId="560F5D54" w:rsidR="00A416F9" w:rsidRDefault="00A416F9" w:rsidP="00942062">
      <w:pPr>
        <w:pStyle w:val="Heading2"/>
      </w:pPr>
      <w:r>
        <w:t>Description of metabolite dataset</w:t>
      </w:r>
    </w:p>
    <w:p w14:paraId="55EF4EBC" w14:textId="3496D86E" w:rsidR="0072129E" w:rsidRDefault="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noProof/>
        </w:rPr>
        <w:t>(Tian et al., 2017)</w:t>
      </w:r>
      <w:r w:rsidR="00944E23">
        <w:rPr>
          <w:rStyle w:val="FootnoteReference"/>
        </w:rPr>
        <w:fldChar w:fldCharType="end"/>
      </w:r>
      <w:r>
        <w:t xml:space="preserve"> was used. </w:t>
      </w:r>
      <w:r w:rsidR="00942062">
        <w:t xml:space="preserve">This dataset represents intracellular metabolites collected from WT </w:t>
      </w:r>
      <w:r w:rsidR="00942062" w:rsidRPr="00942062">
        <w:rPr>
          <w:i/>
        </w:rPr>
        <w:t>C. thermocellum</w:t>
      </w:r>
      <w:r w:rsidR="00942062">
        <w:t xml:space="preserve"> growing with and without the presence of added ethanol.</w:t>
      </w:r>
      <w:r w:rsidR="00D62BA3">
        <w:t xml:space="preserve"> </w:t>
      </w:r>
      <w:r w:rsidR="00016BB9">
        <w:t xml:space="preserve">The maximum concentration of added ethanol is 40 g/L, which is thought to be a minimum titer for commercial viability </w:t>
      </w:r>
      <w:r w:rsidR="00016BB9">
        <w:fldChar w:fldCharType="begin" w:fldLock="1"/>
      </w:r>
      <w:r w:rsidR="00643C56">
        <w:instrText>ADDIN CSL_CITATION {"citationItems":[{"id":"ITEM-1","itemData":{"DOI":"10.1007/s00253-003-1444-y","ISBN":"0175-7598","author":[{"dropping-particle":"","family":"Dien","given":"B S","non-dropping-particle":"","parse-names":false,"suffix":""},{"dropping-particle":"","family":"Cotta","given":"M A","non-dropping-particle":"","parse-names":false,"suffix":""},{"dropping-particle":"","family":"Jeffries","given":"T W","non-dropping-particle":"","parse-names":false,"suffix":""}],"container-title":"Applied Microbiology and Biotechnology","id":"ITEM-1","issue":"3","issued":{"date-parts":[["2003"]]},"page":"258-266","publisher":"Springer Berlin / Heidelberg","title":"Bacteria engineered for fuel ethanol production: current status","type":"article-journal","volume":"63"},"uris":["http://www.mendeley.com/documents/?uuid=dbcc1453-f1c3-421b-9cbb-c2bbd97d7497"]}],"mendeley":{"formattedCitation":"(Dien et al., 2003)","plainTextFormattedCitation":"(Dien et al., 2003)","previouslyFormattedCitation":"(Dien et al., 2003)"},"properties":{"noteIndex":0},"schema":"https://github.com/citation-style-language/schema/raw/master/csl-citation.json"}</w:instrText>
      </w:r>
      <w:r w:rsidR="00016BB9">
        <w:fldChar w:fldCharType="separate"/>
      </w:r>
      <w:r w:rsidR="00016BB9" w:rsidRPr="00016BB9">
        <w:rPr>
          <w:noProof/>
        </w:rPr>
        <w:t>(Dien et al., 2003)</w:t>
      </w:r>
      <w:r w:rsidR="00016BB9">
        <w:fldChar w:fldCharType="end"/>
      </w:r>
      <w:r w:rsidR="00016BB9">
        <w:t>.</w:t>
      </w:r>
    </w:p>
    <w:p w14:paraId="601CB8D3" w14:textId="75127AB1" w:rsidR="00A922A0" w:rsidRDefault="00E233D8" w:rsidP="00E233D8">
      <w:pPr>
        <w:pStyle w:val="Heading2"/>
      </w:pPr>
      <w:r>
        <w:t xml:space="preserve">Thermodynamic </w:t>
      </w:r>
      <w:r w:rsidR="00AA2200">
        <w:t>consistency</w:t>
      </w:r>
      <w:r>
        <w:t xml:space="preserve"> of dataset</w:t>
      </w:r>
    </w:p>
    <w:p w14:paraId="2BF45115" w14:textId="4AB974A1" w:rsidR="00AA2200" w:rsidRDefault="00AA2200" w:rsidP="00AA2200">
      <w:r>
        <w:t>Based on measurements of extracellular metabolites (</w:t>
      </w:r>
      <w:r w:rsidRPr="00AA2200">
        <w:rPr>
          <w:highlight w:val="yellow"/>
        </w:rPr>
        <w:t>Supplementary table FFF</w:t>
      </w:r>
      <w:r>
        <w:t xml:space="preserve">) we know that cellobiose was converted to ethanol during all 3 timepoints for the no-ethanol control, which implies that all reactions must have a positive MDF. For the samples with added ethanol, we cannot directly measure the ethanol flux, since the added ethanol is much larger than the produced </w:t>
      </w:r>
      <w:proofErr w:type="gramStart"/>
      <w:r w:rsidR="00001813">
        <w:t>ethanol, but</w:t>
      </w:r>
      <w:proofErr w:type="gramEnd"/>
      <w:r>
        <w:t xml:space="preserve"> based on the consumption of cellobiose and the presence of other fermentation products (formate and acetate), we suspect that there was flux from cellobiose to ethanol at the first two timepoints (and thus MDF should be positive). For the 3</w:t>
      </w:r>
      <w:r w:rsidRPr="00AA2200">
        <w:rPr>
          <w:vertAlign w:val="superscript"/>
        </w:rPr>
        <w:t>rd</w:t>
      </w:r>
      <w:r>
        <w:t xml:space="preserve"> timepoint, flux was close to zero. The </w:t>
      </w:r>
      <w:r w:rsidR="00001813">
        <w:t>expected MDF values are summarized in Table GGG.</w:t>
      </w:r>
    </w:p>
    <w:p w14:paraId="4BF6A9CD" w14:textId="23D42181" w:rsidR="00001813" w:rsidRPr="00001813" w:rsidRDefault="00001813" w:rsidP="00AA2200">
      <w:pPr>
        <w:rPr>
          <w:b/>
        </w:rPr>
      </w:pPr>
      <w:commentRangeStart w:id="7"/>
      <w:r w:rsidRPr="00001813">
        <w:rPr>
          <w:b/>
        </w:rPr>
        <w:t>Table GGG. Expected MDF values for ethanol addition experiment</w:t>
      </w:r>
      <w:commentRangeEnd w:id="7"/>
      <w:r w:rsidR="00F503AE">
        <w:rPr>
          <w:rStyle w:val="CommentReference"/>
        </w:rPr>
        <w:commentReference w:id="7"/>
      </w:r>
    </w:p>
    <w:tbl>
      <w:tblPr>
        <w:tblStyle w:val="TableGrid"/>
        <w:tblW w:w="0" w:type="auto"/>
        <w:tblLook w:val="04A0" w:firstRow="1" w:lastRow="0" w:firstColumn="1" w:lastColumn="0" w:noHBand="0" w:noVBand="1"/>
      </w:tblPr>
      <w:tblGrid>
        <w:gridCol w:w="1165"/>
        <w:gridCol w:w="1710"/>
        <w:gridCol w:w="1530"/>
      </w:tblGrid>
      <w:tr w:rsidR="00001813" w14:paraId="558AE2BE" w14:textId="77777777" w:rsidTr="00001813">
        <w:tc>
          <w:tcPr>
            <w:tcW w:w="1165" w:type="dxa"/>
          </w:tcPr>
          <w:p w14:paraId="643D321D" w14:textId="0A79884D" w:rsidR="00001813" w:rsidRDefault="00001813" w:rsidP="00AA2200">
            <w:r>
              <w:t>Timepoint</w:t>
            </w:r>
          </w:p>
        </w:tc>
        <w:tc>
          <w:tcPr>
            <w:tcW w:w="1710" w:type="dxa"/>
          </w:tcPr>
          <w:p w14:paraId="1AB86C7D" w14:textId="6AAF1DA1" w:rsidR="00001813" w:rsidRDefault="00001813" w:rsidP="00001813">
            <w:pPr>
              <w:jc w:val="center"/>
            </w:pPr>
            <w:r>
              <w:t>Added ethanol</w:t>
            </w:r>
          </w:p>
        </w:tc>
        <w:tc>
          <w:tcPr>
            <w:tcW w:w="1530" w:type="dxa"/>
          </w:tcPr>
          <w:p w14:paraId="3026A4BE" w14:textId="1B5B337F" w:rsidR="00001813" w:rsidRDefault="00001813" w:rsidP="00001813">
            <w:pPr>
              <w:jc w:val="center"/>
            </w:pPr>
            <w:r>
              <w:t>Control</w:t>
            </w:r>
          </w:p>
        </w:tc>
      </w:tr>
      <w:tr w:rsidR="00001813" w14:paraId="6F2F6EE7" w14:textId="77777777" w:rsidTr="00001813">
        <w:tc>
          <w:tcPr>
            <w:tcW w:w="1165" w:type="dxa"/>
          </w:tcPr>
          <w:p w14:paraId="4C296512" w14:textId="622A92A0" w:rsidR="00001813" w:rsidRDefault="00001813" w:rsidP="00AA2200">
            <w:r>
              <w:t>T0</w:t>
            </w:r>
          </w:p>
        </w:tc>
        <w:tc>
          <w:tcPr>
            <w:tcW w:w="1710" w:type="dxa"/>
          </w:tcPr>
          <w:p w14:paraId="6B173968" w14:textId="11EC9275" w:rsidR="00001813" w:rsidRDefault="00001813" w:rsidP="00001813">
            <w:pPr>
              <w:tabs>
                <w:tab w:val="center" w:pos="747"/>
              </w:tabs>
              <w:jc w:val="center"/>
            </w:pPr>
            <w:r>
              <w:t>+</w:t>
            </w:r>
          </w:p>
        </w:tc>
        <w:tc>
          <w:tcPr>
            <w:tcW w:w="1530" w:type="dxa"/>
          </w:tcPr>
          <w:p w14:paraId="75022AC3" w14:textId="3BBB5BB6" w:rsidR="00001813" w:rsidRDefault="00001813" w:rsidP="00001813">
            <w:pPr>
              <w:jc w:val="center"/>
            </w:pPr>
            <w:r>
              <w:t>+</w:t>
            </w:r>
          </w:p>
        </w:tc>
      </w:tr>
      <w:tr w:rsidR="00001813" w14:paraId="2F439FFF" w14:textId="77777777" w:rsidTr="00001813">
        <w:tc>
          <w:tcPr>
            <w:tcW w:w="1165" w:type="dxa"/>
          </w:tcPr>
          <w:p w14:paraId="09BE7BB3" w14:textId="605CE468" w:rsidR="00001813" w:rsidRDefault="00001813" w:rsidP="00AA2200">
            <w:r>
              <w:t>T1</w:t>
            </w:r>
          </w:p>
        </w:tc>
        <w:tc>
          <w:tcPr>
            <w:tcW w:w="1710" w:type="dxa"/>
          </w:tcPr>
          <w:p w14:paraId="6B9C252B" w14:textId="5B99B0CC" w:rsidR="00001813" w:rsidRDefault="00001813" w:rsidP="00001813">
            <w:pPr>
              <w:jc w:val="center"/>
            </w:pPr>
            <w:r>
              <w:t>+</w:t>
            </w:r>
          </w:p>
        </w:tc>
        <w:tc>
          <w:tcPr>
            <w:tcW w:w="1530" w:type="dxa"/>
          </w:tcPr>
          <w:p w14:paraId="604AC3BA" w14:textId="1DBA1A5A" w:rsidR="00001813" w:rsidRDefault="00001813" w:rsidP="00001813">
            <w:pPr>
              <w:jc w:val="center"/>
            </w:pPr>
            <w:r>
              <w:t>+</w:t>
            </w:r>
          </w:p>
        </w:tc>
      </w:tr>
      <w:tr w:rsidR="00001813" w14:paraId="61E6702B" w14:textId="77777777" w:rsidTr="00001813">
        <w:tc>
          <w:tcPr>
            <w:tcW w:w="1165" w:type="dxa"/>
          </w:tcPr>
          <w:p w14:paraId="505DC2EA" w14:textId="087D822F" w:rsidR="00001813" w:rsidRDefault="00001813" w:rsidP="00AA2200">
            <w:r>
              <w:t>T2</w:t>
            </w:r>
          </w:p>
        </w:tc>
        <w:tc>
          <w:tcPr>
            <w:tcW w:w="1710" w:type="dxa"/>
          </w:tcPr>
          <w:p w14:paraId="380B7D93" w14:textId="7CAB27AA" w:rsidR="00001813" w:rsidRDefault="00E60044" w:rsidP="00001813">
            <w:pPr>
              <w:jc w:val="center"/>
            </w:pPr>
            <w:r>
              <w:rPr>
                <w:rFonts w:cstheme="minorHAnsi"/>
              </w:rPr>
              <w:t>≤</w:t>
            </w:r>
            <w:r w:rsidR="005C04DB">
              <w:rPr>
                <w:rFonts w:cstheme="minorHAnsi"/>
              </w:rPr>
              <w:t xml:space="preserve"> </w:t>
            </w:r>
            <w:r w:rsidR="00001813">
              <w:t>0</w:t>
            </w:r>
          </w:p>
        </w:tc>
        <w:tc>
          <w:tcPr>
            <w:tcW w:w="1530" w:type="dxa"/>
          </w:tcPr>
          <w:p w14:paraId="2BDD3FD4" w14:textId="0791C23E" w:rsidR="00001813" w:rsidRDefault="00001813" w:rsidP="00001813">
            <w:pPr>
              <w:jc w:val="center"/>
            </w:pPr>
            <w:r>
              <w:t>+</w:t>
            </w:r>
          </w:p>
        </w:tc>
      </w:tr>
    </w:tbl>
    <w:p w14:paraId="4C07A5A5" w14:textId="76E45A6B" w:rsidR="00AA2200" w:rsidRDefault="00AA2200" w:rsidP="00AA2200"/>
    <w:p w14:paraId="316DAD97" w14:textId="5CFC9C4B" w:rsidR="00001813" w:rsidRDefault="00101A1E" w:rsidP="00AA2200">
      <w:r>
        <w:t xml:space="preserve">We attempted to fit </w:t>
      </w:r>
      <w:proofErr w:type="gramStart"/>
      <w:r>
        <w:t>all of</w:t>
      </w:r>
      <w:proofErr w:type="gramEnd"/>
      <w:r>
        <w:t xml:space="preserve"> the measured metabolite concentrations (excluding cofactors) to our thermodynamic model. For each measured metabolite, we </w:t>
      </w:r>
      <w:r w:rsidR="000F6A00">
        <w:t>included an uncertainty factor of 2</w:t>
      </w:r>
      <w:r w:rsidR="00082930">
        <w:t xml:space="preserve"> (see materials and methods for description). This </w:t>
      </w:r>
      <w:r>
        <w:t xml:space="preserve">resulted in negative MDF values for both the added ethanol and control cultures at all timepoints, indicating that the </w:t>
      </w:r>
      <w:r w:rsidR="00082930">
        <w:t>dataset is not thermodynamically consistent. To identify which metabolites were causing the inconsistency, we tested them one-by-one (Table HHH).</w:t>
      </w:r>
    </w:p>
    <w:p w14:paraId="071CF57C" w14:textId="37F1BDD2" w:rsidR="00082930" w:rsidRPr="00082930" w:rsidRDefault="00082930" w:rsidP="00AA2200">
      <w:pPr>
        <w:rPr>
          <w:b/>
        </w:rPr>
      </w:pPr>
      <w:r w:rsidRPr="00082930">
        <w:rPr>
          <w:b/>
        </w:rPr>
        <w:lastRenderedPageBreak/>
        <w:t>Table HHH. MDF values for each metabolite tested one-by-one from each fermentation condition.</w:t>
      </w:r>
    </w:p>
    <w:tbl>
      <w:tblPr>
        <w:tblW w:w="7920" w:type="dxa"/>
        <w:tblLook w:val="04A0" w:firstRow="1" w:lastRow="0" w:firstColumn="1" w:lastColumn="0" w:noHBand="0" w:noVBand="1"/>
      </w:tblPr>
      <w:tblGrid>
        <w:gridCol w:w="960"/>
        <w:gridCol w:w="960"/>
        <w:gridCol w:w="500"/>
        <w:gridCol w:w="500"/>
        <w:gridCol w:w="500"/>
        <w:gridCol w:w="500"/>
        <w:gridCol w:w="500"/>
        <w:gridCol w:w="500"/>
        <w:gridCol w:w="500"/>
        <w:gridCol w:w="500"/>
        <w:gridCol w:w="500"/>
        <w:gridCol w:w="500"/>
        <w:gridCol w:w="500"/>
        <w:gridCol w:w="500"/>
      </w:tblGrid>
      <w:tr w:rsidR="00082930" w:rsidRPr="00082930" w14:paraId="54C1710F" w14:textId="77777777" w:rsidTr="00082930">
        <w:trPr>
          <w:trHeight w:val="288"/>
        </w:trPr>
        <w:tc>
          <w:tcPr>
            <w:tcW w:w="960" w:type="dxa"/>
            <w:tcBorders>
              <w:top w:val="nil"/>
              <w:left w:val="nil"/>
              <w:bottom w:val="nil"/>
              <w:right w:val="nil"/>
            </w:tcBorders>
            <w:shd w:val="clear" w:color="auto" w:fill="auto"/>
            <w:noWrap/>
            <w:vAlign w:val="bottom"/>
            <w:hideMark/>
          </w:tcPr>
          <w:p w14:paraId="3AED6515"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04B979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ID</w:t>
            </w:r>
          </w:p>
        </w:tc>
        <w:tc>
          <w:tcPr>
            <w:tcW w:w="500" w:type="dxa"/>
            <w:tcBorders>
              <w:top w:val="single" w:sz="4" w:space="0" w:color="auto"/>
              <w:left w:val="nil"/>
              <w:bottom w:val="single" w:sz="4" w:space="0" w:color="auto"/>
              <w:right w:val="single" w:sz="4" w:space="0" w:color="auto"/>
            </w:tcBorders>
            <w:shd w:val="clear" w:color="auto" w:fill="auto"/>
            <w:noWrap/>
            <w:hideMark/>
          </w:tcPr>
          <w:p w14:paraId="2F03683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w:t>
            </w:r>
          </w:p>
        </w:tc>
        <w:tc>
          <w:tcPr>
            <w:tcW w:w="500" w:type="dxa"/>
            <w:tcBorders>
              <w:top w:val="single" w:sz="4" w:space="0" w:color="auto"/>
              <w:left w:val="nil"/>
              <w:bottom w:val="single" w:sz="4" w:space="0" w:color="auto"/>
              <w:right w:val="single" w:sz="4" w:space="0" w:color="auto"/>
            </w:tcBorders>
            <w:shd w:val="clear" w:color="auto" w:fill="auto"/>
            <w:noWrap/>
            <w:hideMark/>
          </w:tcPr>
          <w:p w14:paraId="30C15F6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2</w:t>
            </w:r>
          </w:p>
        </w:tc>
        <w:tc>
          <w:tcPr>
            <w:tcW w:w="500" w:type="dxa"/>
            <w:tcBorders>
              <w:top w:val="single" w:sz="4" w:space="0" w:color="auto"/>
              <w:left w:val="nil"/>
              <w:bottom w:val="single" w:sz="4" w:space="0" w:color="auto"/>
              <w:right w:val="single" w:sz="4" w:space="0" w:color="auto"/>
            </w:tcBorders>
            <w:shd w:val="clear" w:color="auto" w:fill="auto"/>
            <w:noWrap/>
            <w:hideMark/>
          </w:tcPr>
          <w:p w14:paraId="05756AA1"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w:t>
            </w:r>
          </w:p>
        </w:tc>
        <w:tc>
          <w:tcPr>
            <w:tcW w:w="500" w:type="dxa"/>
            <w:tcBorders>
              <w:top w:val="single" w:sz="4" w:space="0" w:color="auto"/>
              <w:left w:val="nil"/>
              <w:bottom w:val="single" w:sz="4" w:space="0" w:color="auto"/>
              <w:right w:val="single" w:sz="4" w:space="0" w:color="auto"/>
            </w:tcBorders>
            <w:shd w:val="clear" w:color="auto" w:fill="auto"/>
            <w:noWrap/>
            <w:hideMark/>
          </w:tcPr>
          <w:p w14:paraId="04885A2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4</w:t>
            </w:r>
          </w:p>
        </w:tc>
        <w:tc>
          <w:tcPr>
            <w:tcW w:w="500" w:type="dxa"/>
            <w:tcBorders>
              <w:top w:val="single" w:sz="4" w:space="0" w:color="auto"/>
              <w:left w:val="nil"/>
              <w:bottom w:val="single" w:sz="4" w:space="0" w:color="auto"/>
              <w:right w:val="single" w:sz="4" w:space="0" w:color="auto"/>
            </w:tcBorders>
            <w:shd w:val="clear" w:color="auto" w:fill="auto"/>
            <w:noWrap/>
            <w:hideMark/>
          </w:tcPr>
          <w:p w14:paraId="7DF7AF2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5</w:t>
            </w:r>
          </w:p>
        </w:tc>
        <w:tc>
          <w:tcPr>
            <w:tcW w:w="500" w:type="dxa"/>
            <w:tcBorders>
              <w:top w:val="single" w:sz="4" w:space="0" w:color="auto"/>
              <w:left w:val="nil"/>
              <w:bottom w:val="single" w:sz="4" w:space="0" w:color="auto"/>
              <w:right w:val="single" w:sz="4" w:space="0" w:color="auto"/>
            </w:tcBorders>
            <w:shd w:val="clear" w:color="auto" w:fill="auto"/>
            <w:noWrap/>
            <w:hideMark/>
          </w:tcPr>
          <w:p w14:paraId="220790B0"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6</w:t>
            </w:r>
          </w:p>
        </w:tc>
        <w:tc>
          <w:tcPr>
            <w:tcW w:w="500" w:type="dxa"/>
            <w:tcBorders>
              <w:top w:val="single" w:sz="4" w:space="0" w:color="auto"/>
              <w:left w:val="nil"/>
              <w:bottom w:val="single" w:sz="4" w:space="0" w:color="auto"/>
              <w:right w:val="single" w:sz="4" w:space="0" w:color="auto"/>
            </w:tcBorders>
            <w:shd w:val="clear" w:color="auto" w:fill="auto"/>
            <w:noWrap/>
            <w:hideMark/>
          </w:tcPr>
          <w:p w14:paraId="17466C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7</w:t>
            </w:r>
          </w:p>
        </w:tc>
        <w:tc>
          <w:tcPr>
            <w:tcW w:w="500" w:type="dxa"/>
            <w:tcBorders>
              <w:top w:val="single" w:sz="4" w:space="0" w:color="auto"/>
              <w:left w:val="nil"/>
              <w:bottom w:val="single" w:sz="4" w:space="0" w:color="auto"/>
              <w:right w:val="single" w:sz="4" w:space="0" w:color="auto"/>
            </w:tcBorders>
            <w:shd w:val="clear" w:color="auto" w:fill="auto"/>
            <w:noWrap/>
            <w:hideMark/>
          </w:tcPr>
          <w:p w14:paraId="03CADAE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8</w:t>
            </w:r>
          </w:p>
        </w:tc>
        <w:tc>
          <w:tcPr>
            <w:tcW w:w="500" w:type="dxa"/>
            <w:tcBorders>
              <w:top w:val="single" w:sz="4" w:space="0" w:color="auto"/>
              <w:left w:val="nil"/>
              <w:bottom w:val="single" w:sz="4" w:space="0" w:color="auto"/>
              <w:right w:val="single" w:sz="4" w:space="0" w:color="auto"/>
            </w:tcBorders>
            <w:shd w:val="clear" w:color="auto" w:fill="auto"/>
            <w:noWrap/>
            <w:hideMark/>
          </w:tcPr>
          <w:p w14:paraId="183BFB5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9</w:t>
            </w:r>
          </w:p>
        </w:tc>
        <w:tc>
          <w:tcPr>
            <w:tcW w:w="500" w:type="dxa"/>
            <w:tcBorders>
              <w:top w:val="single" w:sz="4" w:space="0" w:color="auto"/>
              <w:left w:val="nil"/>
              <w:bottom w:val="single" w:sz="4" w:space="0" w:color="auto"/>
              <w:right w:val="single" w:sz="4" w:space="0" w:color="auto"/>
            </w:tcBorders>
            <w:shd w:val="clear" w:color="auto" w:fill="auto"/>
            <w:noWrap/>
            <w:hideMark/>
          </w:tcPr>
          <w:p w14:paraId="5025763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10</w:t>
            </w:r>
          </w:p>
        </w:tc>
        <w:tc>
          <w:tcPr>
            <w:tcW w:w="500" w:type="dxa"/>
            <w:tcBorders>
              <w:top w:val="single" w:sz="4" w:space="0" w:color="auto"/>
              <w:left w:val="nil"/>
              <w:bottom w:val="single" w:sz="4" w:space="0" w:color="auto"/>
              <w:right w:val="single" w:sz="4" w:space="0" w:color="auto"/>
            </w:tcBorders>
            <w:shd w:val="clear" w:color="auto" w:fill="auto"/>
            <w:noWrap/>
            <w:hideMark/>
          </w:tcPr>
          <w:p w14:paraId="48351EB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11</w:t>
            </w:r>
          </w:p>
        </w:tc>
        <w:tc>
          <w:tcPr>
            <w:tcW w:w="500" w:type="dxa"/>
            <w:tcBorders>
              <w:top w:val="single" w:sz="4" w:space="0" w:color="auto"/>
              <w:left w:val="nil"/>
              <w:bottom w:val="single" w:sz="4" w:space="0" w:color="auto"/>
              <w:right w:val="single" w:sz="4" w:space="0" w:color="auto"/>
            </w:tcBorders>
            <w:shd w:val="clear" w:color="auto" w:fill="auto"/>
            <w:noWrap/>
            <w:hideMark/>
          </w:tcPr>
          <w:p w14:paraId="38E8C45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12</w:t>
            </w:r>
          </w:p>
        </w:tc>
      </w:tr>
      <w:tr w:rsidR="00082930" w:rsidRPr="00082930" w14:paraId="17195BEB" w14:textId="77777777" w:rsidTr="00082930">
        <w:trPr>
          <w:trHeight w:val="1284"/>
        </w:trPr>
        <w:tc>
          <w:tcPr>
            <w:tcW w:w="960" w:type="dxa"/>
            <w:tcBorders>
              <w:top w:val="nil"/>
              <w:left w:val="nil"/>
              <w:bottom w:val="nil"/>
              <w:right w:val="nil"/>
            </w:tcBorders>
            <w:shd w:val="clear" w:color="auto" w:fill="auto"/>
            <w:noWrap/>
            <w:textDirection w:val="btLr"/>
            <w:vAlign w:val="bottom"/>
            <w:hideMark/>
          </w:tcPr>
          <w:p w14:paraId="1C1B276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textDirection w:val="btLr"/>
            <w:hideMark/>
          </w:tcPr>
          <w:p w14:paraId="58C3D49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graphName</w:t>
            </w:r>
            <w:proofErr w:type="spellEnd"/>
          </w:p>
        </w:tc>
        <w:tc>
          <w:tcPr>
            <w:tcW w:w="500" w:type="dxa"/>
            <w:tcBorders>
              <w:top w:val="nil"/>
              <w:left w:val="nil"/>
              <w:bottom w:val="single" w:sz="4" w:space="0" w:color="auto"/>
              <w:right w:val="single" w:sz="4" w:space="0" w:color="auto"/>
            </w:tcBorders>
            <w:shd w:val="clear" w:color="auto" w:fill="auto"/>
            <w:noWrap/>
            <w:textDirection w:val="btLr"/>
            <w:hideMark/>
          </w:tcPr>
          <w:p w14:paraId="6BC0735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A1_1 et=5.0</w:t>
            </w:r>
          </w:p>
        </w:tc>
        <w:tc>
          <w:tcPr>
            <w:tcW w:w="500" w:type="dxa"/>
            <w:tcBorders>
              <w:top w:val="nil"/>
              <w:left w:val="nil"/>
              <w:bottom w:val="single" w:sz="4" w:space="0" w:color="auto"/>
              <w:right w:val="single" w:sz="4" w:space="0" w:color="auto"/>
            </w:tcBorders>
            <w:shd w:val="clear" w:color="auto" w:fill="auto"/>
            <w:noWrap/>
            <w:textDirection w:val="btLr"/>
            <w:hideMark/>
          </w:tcPr>
          <w:p w14:paraId="51157E1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A1_2 et=5.0</w:t>
            </w:r>
          </w:p>
        </w:tc>
        <w:tc>
          <w:tcPr>
            <w:tcW w:w="500" w:type="dxa"/>
            <w:tcBorders>
              <w:top w:val="nil"/>
              <w:left w:val="nil"/>
              <w:bottom w:val="single" w:sz="4" w:space="0" w:color="auto"/>
              <w:right w:val="single" w:sz="4" w:space="0" w:color="auto"/>
            </w:tcBorders>
            <w:shd w:val="clear" w:color="auto" w:fill="auto"/>
            <w:noWrap/>
            <w:textDirection w:val="btLr"/>
            <w:hideMark/>
          </w:tcPr>
          <w:p w14:paraId="4092F5B9"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A2_1 et=20.0</w:t>
            </w:r>
          </w:p>
        </w:tc>
        <w:tc>
          <w:tcPr>
            <w:tcW w:w="500" w:type="dxa"/>
            <w:tcBorders>
              <w:top w:val="nil"/>
              <w:left w:val="nil"/>
              <w:bottom w:val="single" w:sz="4" w:space="0" w:color="auto"/>
              <w:right w:val="single" w:sz="4" w:space="0" w:color="auto"/>
            </w:tcBorders>
            <w:shd w:val="clear" w:color="auto" w:fill="auto"/>
            <w:noWrap/>
            <w:textDirection w:val="btLr"/>
            <w:hideMark/>
          </w:tcPr>
          <w:p w14:paraId="60E98AF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A2_2 et=20.0</w:t>
            </w:r>
          </w:p>
        </w:tc>
        <w:tc>
          <w:tcPr>
            <w:tcW w:w="500" w:type="dxa"/>
            <w:tcBorders>
              <w:top w:val="nil"/>
              <w:left w:val="nil"/>
              <w:bottom w:val="single" w:sz="4" w:space="0" w:color="auto"/>
              <w:right w:val="single" w:sz="4" w:space="0" w:color="auto"/>
            </w:tcBorders>
            <w:shd w:val="clear" w:color="auto" w:fill="auto"/>
            <w:noWrap/>
            <w:textDirection w:val="btLr"/>
            <w:hideMark/>
          </w:tcPr>
          <w:p w14:paraId="7A8591A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A3_1 et=40.0</w:t>
            </w:r>
          </w:p>
        </w:tc>
        <w:tc>
          <w:tcPr>
            <w:tcW w:w="500" w:type="dxa"/>
            <w:tcBorders>
              <w:top w:val="nil"/>
              <w:left w:val="nil"/>
              <w:bottom w:val="single" w:sz="4" w:space="0" w:color="auto"/>
              <w:right w:val="single" w:sz="4" w:space="0" w:color="auto"/>
            </w:tcBorders>
            <w:shd w:val="clear" w:color="auto" w:fill="auto"/>
            <w:noWrap/>
            <w:textDirection w:val="btLr"/>
            <w:hideMark/>
          </w:tcPr>
          <w:p w14:paraId="7132998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A3_2 et=40.0</w:t>
            </w:r>
          </w:p>
        </w:tc>
        <w:tc>
          <w:tcPr>
            <w:tcW w:w="500" w:type="dxa"/>
            <w:tcBorders>
              <w:top w:val="nil"/>
              <w:left w:val="nil"/>
              <w:bottom w:val="single" w:sz="4" w:space="0" w:color="auto"/>
              <w:right w:val="single" w:sz="4" w:space="0" w:color="auto"/>
            </w:tcBorders>
            <w:shd w:val="clear" w:color="auto" w:fill="auto"/>
            <w:noWrap/>
            <w:textDirection w:val="btLr"/>
            <w:hideMark/>
          </w:tcPr>
          <w:p w14:paraId="3D38974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B1_1 et=0.2</w:t>
            </w:r>
          </w:p>
        </w:tc>
        <w:tc>
          <w:tcPr>
            <w:tcW w:w="500" w:type="dxa"/>
            <w:tcBorders>
              <w:top w:val="nil"/>
              <w:left w:val="nil"/>
              <w:bottom w:val="single" w:sz="4" w:space="0" w:color="auto"/>
              <w:right w:val="single" w:sz="4" w:space="0" w:color="auto"/>
            </w:tcBorders>
            <w:shd w:val="clear" w:color="auto" w:fill="auto"/>
            <w:noWrap/>
            <w:textDirection w:val="btLr"/>
            <w:hideMark/>
          </w:tcPr>
          <w:p w14:paraId="3F1134EC"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B1_2 et=0.2</w:t>
            </w:r>
          </w:p>
        </w:tc>
        <w:tc>
          <w:tcPr>
            <w:tcW w:w="500" w:type="dxa"/>
            <w:tcBorders>
              <w:top w:val="nil"/>
              <w:left w:val="nil"/>
              <w:bottom w:val="single" w:sz="4" w:space="0" w:color="auto"/>
              <w:right w:val="single" w:sz="4" w:space="0" w:color="auto"/>
            </w:tcBorders>
            <w:shd w:val="clear" w:color="auto" w:fill="auto"/>
            <w:noWrap/>
            <w:textDirection w:val="btLr"/>
            <w:hideMark/>
          </w:tcPr>
          <w:p w14:paraId="1228144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B2_1 et=0.47</w:t>
            </w:r>
          </w:p>
        </w:tc>
        <w:tc>
          <w:tcPr>
            <w:tcW w:w="500" w:type="dxa"/>
            <w:tcBorders>
              <w:top w:val="nil"/>
              <w:left w:val="nil"/>
              <w:bottom w:val="single" w:sz="4" w:space="0" w:color="auto"/>
              <w:right w:val="single" w:sz="4" w:space="0" w:color="auto"/>
            </w:tcBorders>
            <w:shd w:val="clear" w:color="auto" w:fill="auto"/>
            <w:noWrap/>
            <w:textDirection w:val="btLr"/>
            <w:hideMark/>
          </w:tcPr>
          <w:p w14:paraId="269FD4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B2_2 et=0.47</w:t>
            </w:r>
          </w:p>
        </w:tc>
        <w:tc>
          <w:tcPr>
            <w:tcW w:w="500" w:type="dxa"/>
            <w:tcBorders>
              <w:top w:val="nil"/>
              <w:left w:val="nil"/>
              <w:bottom w:val="single" w:sz="4" w:space="0" w:color="auto"/>
              <w:right w:val="single" w:sz="4" w:space="0" w:color="auto"/>
            </w:tcBorders>
            <w:shd w:val="clear" w:color="auto" w:fill="auto"/>
            <w:noWrap/>
            <w:textDirection w:val="btLr"/>
            <w:hideMark/>
          </w:tcPr>
          <w:p w14:paraId="5CAC9AE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B3_1 et=0.58</w:t>
            </w:r>
          </w:p>
        </w:tc>
        <w:tc>
          <w:tcPr>
            <w:tcW w:w="500" w:type="dxa"/>
            <w:tcBorders>
              <w:top w:val="nil"/>
              <w:left w:val="nil"/>
              <w:bottom w:val="single" w:sz="4" w:space="0" w:color="auto"/>
              <w:right w:val="single" w:sz="4" w:space="0" w:color="auto"/>
            </w:tcBorders>
            <w:shd w:val="clear" w:color="auto" w:fill="auto"/>
            <w:noWrap/>
            <w:textDirection w:val="btLr"/>
            <w:hideMark/>
          </w:tcPr>
          <w:p w14:paraId="64BF39C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B3_2 et=0.58</w:t>
            </w:r>
          </w:p>
        </w:tc>
      </w:tr>
      <w:tr w:rsidR="00082930" w:rsidRPr="00082930" w14:paraId="00011479" w14:textId="77777777" w:rsidTr="00082930">
        <w:trPr>
          <w:trHeight w:val="288"/>
        </w:trPr>
        <w:tc>
          <w:tcPr>
            <w:tcW w:w="960" w:type="dxa"/>
            <w:tcBorders>
              <w:top w:val="nil"/>
              <w:left w:val="nil"/>
              <w:bottom w:val="nil"/>
              <w:right w:val="nil"/>
            </w:tcBorders>
            <w:shd w:val="clear" w:color="auto" w:fill="auto"/>
            <w:noWrap/>
            <w:vAlign w:val="bottom"/>
            <w:hideMark/>
          </w:tcPr>
          <w:p w14:paraId="42E8162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nil"/>
              <w:bottom w:val="nil"/>
              <w:right w:val="nil"/>
            </w:tcBorders>
            <w:shd w:val="clear" w:color="auto" w:fill="auto"/>
            <w:noWrap/>
            <w:vAlign w:val="bottom"/>
            <w:hideMark/>
          </w:tcPr>
          <w:p w14:paraId="5CA75A9E"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B4C47ED"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870117C"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E5B995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7B16698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25DB78D3"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FB6F83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95D2D5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6A18160"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CED3C1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427B7C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2C2B45F"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28E813F" w14:textId="77777777" w:rsidR="00082930" w:rsidRPr="00082930" w:rsidRDefault="00082930" w:rsidP="00082930">
            <w:pPr>
              <w:spacing w:after="0" w:line="240" w:lineRule="auto"/>
              <w:rPr>
                <w:rFonts w:ascii="Times New Roman" w:eastAsia="Times New Roman" w:hAnsi="Times New Roman" w:cs="Times New Roman"/>
                <w:sz w:val="18"/>
                <w:szCs w:val="18"/>
              </w:rPr>
            </w:pPr>
          </w:p>
        </w:tc>
      </w:tr>
      <w:tr w:rsidR="00082930" w:rsidRPr="00082930" w14:paraId="4940588A" w14:textId="77777777" w:rsidTr="000829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47B1D7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C00010</w:t>
            </w:r>
          </w:p>
        </w:tc>
        <w:tc>
          <w:tcPr>
            <w:tcW w:w="960" w:type="dxa"/>
            <w:tcBorders>
              <w:top w:val="single" w:sz="4" w:space="0" w:color="auto"/>
              <w:left w:val="nil"/>
              <w:bottom w:val="single" w:sz="4" w:space="0" w:color="auto"/>
              <w:right w:val="single" w:sz="4" w:space="0" w:color="auto"/>
            </w:tcBorders>
            <w:shd w:val="clear" w:color="auto" w:fill="auto"/>
            <w:noWrap/>
            <w:hideMark/>
          </w:tcPr>
          <w:p w14:paraId="4226C20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coa</w:t>
            </w:r>
            <w:proofErr w:type="spellEnd"/>
          </w:p>
        </w:tc>
        <w:tc>
          <w:tcPr>
            <w:tcW w:w="500" w:type="dxa"/>
            <w:tcBorders>
              <w:top w:val="nil"/>
              <w:left w:val="nil"/>
              <w:bottom w:val="nil"/>
              <w:right w:val="nil"/>
            </w:tcBorders>
            <w:shd w:val="clear" w:color="000000" w:fill="63BE7B"/>
            <w:noWrap/>
            <w:vAlign w:val="bottom"/>
            <w:hideMark/>
          </w:tcPr>
          <w:p w14:paraId="63EDDBF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371D25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743FAF0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A2A17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4BC9DF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1A9A37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29602AC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6956108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25C4C4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08B97B6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EBF3F5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19ED8CD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61577E8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49170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C00469</w:t>
            </w:r>
          </w:p>
        </w:tc>
        <w:tc>
          <w:tcPr>
            <w:tcW w:w="960" w:type="dxa"/>
            <w:tcBorders>
              <w:top w:val="nil"/>
              <w:left w:val="nil"/>
              <w:bottom w:val="single" w:sz="4" w:space="0" w:color="auto"/>
              <w:right w:val="single" w:sz="4" w:space="0" w:color="auto"/>
            </w:tcBorders>
            <w:shd w:val="clear" w:color="auto" w:fill="auto"/>
            <w:noWrap/>
            <w:hideMark/>
          </w:tcPr>
          <w:p w14:paraId="1A943FE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etoh</w:t>
            </w:r>
            <w:proofErr w:type="spellEnd"/>
          </w:p>
        </w:tc>
        <w:tc>
          <w:tcPr>
            <w:tcW w:w="500" w:type="dxa"/>
            <w:tcBorders>
              <w:top w:val="nil"/>
              <w:left w:val="nil"/>
              <w:bottom w:val="nil"/>
              <w:right w:val="nil"/>
            </w:tcBorders>
            <w:shd w:val="clear" w:color="000000" w:fill="63BE7B"/>
            <w:noWrap/>
            <w:vAlign w:val="bottom"/>
            <w:hideMark/>
          </w:tcPr>
          <w:p w14:paraId="44643D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5485697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1D2CD29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5B9830E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789877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C30B0C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2F987F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79E132B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4F6394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3A480CF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79255A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290289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r>
      <w:tr w:rsidR="00082930" w:rsidRPr="00082930" w14:paraId="5E5BA00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9D5ED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C00197</w:t>
            </w:r>
          </w:p>
        </w:tc>
        <w:tc>
          <w:tcPr>
            <w:tcW w:w="960" w:type="dxa"/>
            <w:tcBorders>
              <w:top w:val="nil"/>
              <w:left w:val="nil"/>
              <w:bottom w:val="single" w:sz="4" w:space="0" w:color="auto"/>
              <w:right w:val="single" w:sz="4" w:space="0" w:color="auto"/>
            </w:tcBorders>
            <w:shd w:val="clear" w:color="auto" w:fill="auto"/>
            <w:noWrap/>
            <w:hideMark/>
          </w:tcPr>
          <w:p w14:paraId="544D97C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3pg</w:t>
            </w:r>
          </w:p>
        </w:tc>
        <w:tc>
          <w:tcPr>
            <w:tcW w:w="500" w:type="dxa"/>
            <w:tcBorders>
              <w:top w:val="nil"/>
              <w:left w:val="nil"/>
              <w:bottom w:val="nil"/>
              <w:right w:val="nil"/>
            </w:tcBorders>
            <w:shd w:val="clear" w:color="000000" w:fill="63BE7B"/>
            <w:noWrap/>
            <w:vAlign w:val="bottom"/>
            <w:hideMark/>
          </w:tcPr>
          <w:p w14:paraId="3FC5B15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E31724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9FB056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E0B56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3F9A0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A7E37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71541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57CEAE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BE7F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F0E14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4170F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B9781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2C5DE1C"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168DA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C00024</w:t>
            </w:r>
          </w:p>
        </w:tc>
        <w:tc>
          <w:tcPr>
            <w:tcW w:w="960" w:type="dxa"/>
            <w:tcBorders>
              <w:top w:val="nil"/>
              <w:left w:val="nil"/>
              <w:bottom w:val="single" w:sz="4" w:space="0" w:color="auto"/>
              <w:right w:val="single" w:sz="4" w:space="0" w:color="auto"/>
            </w:tcBorders>
            <w:shd w:val="clear" w:color="auto" w:fill="auto"/>
            <w:noWrap/>
            <w:hideMark/>
          </w:tcPr>
          <w:p w14:paraId="0845DF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accoa</w:t>
            </w:r>
            <w:proofErr w:type="spellEnd"/>
          </w:p>
        </w:tc>
        <w:tc>
          <w:tcPr>
            <w:tcW w:w="500" w:type="dxa"/>
            <w:tcBorders>
              <w:top w:val="nil"/>
              <w:left w:val="nil"/>
              <w:bottom w:val="nil"/>
              <w:right w:val="nil"/>
            </w:tcBorders>
            <w:shd w:val="clear" w:color="000000" w:fill="A9D380"/>
            <w:noWrap/>
            <w:vAlign w:val="bottom"/>
            <w:hideMark/>
          </w:tcPr>
          <w:p w14:paraId="7BA08C0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0.6</w:t>
            </w:r>
          </w:p>
        </w:tc>
        <w:tc>
          <w:tcPr>
            <w:tcW w:w="500" w:type="dxa"/>
            <w:tcBorders>
              <w:top w:val="nil"/>
              <w:left w:val="nil"/>
              <w:bottom w:val="nil"/>
              <w:right w:val="nil"/>
            </w:tcBorders>
            <w:shd w:val="clear" w:color="000000" w:fill="D5DF82"/>
            <w:noWrap/>
            <w:vAlign w:val="bottom"/>
            <w:hideMark/>
          </w:tcPr>
          <w:p w14:paraId="592914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8696B"/>
            <w:noWrap/>
            <w:vAlign w:val="bottom"/>
            <w:hideMark/>
          </w:tcPr>
          <w:p w14:paraId="180D0D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63BE7B"/>
            <w:noWrap/>
            <w:vAlign w:val="bottom"/>
            <w:hideMark/>
          </w:tcPr>
          <w:p w14:paraId="47C3DB6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F8696B"/>
            <w:noWrap/>
            <w:vAlign w:val="bottom"/>
            <w:hideMark/>
          </w:tcPr>
          <w:p w14:paraId="3FC4BA2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8696B"/>
            <w:noWrap/>
            <w:vAlign w:val="bottom"/>
            <w:hideMark/>
          </w:tcPr>
          <w:p w14:paraId="7925A1A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BB078"/>
            <w:noWrap/>
            <w:vAlign w:val="bottom"/>
            <w:hideMark/>
          </w:tcPr>
          <w:p w14:paraId="33B6CAA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-0.5</w:t>
            </w:r>
          </w:p>
        </w:tc>
        <w:tc>
          <w:tcPr>
            <w:tcW w:w="500" w:type="dxa"/>
            <w:tcBorders>
              <w:top w:val="nil"/>
              <w:left w:val="nil"/>
              <w:bottom w:val="nil"/>
              <w:right w:val="nil"/>
            </w:tcBorders>
            <w:shd w:val="clear" w:color="000000" w:fill="FDCB7D"/>
            <w:noWrap/>
            <w:vAlign w:val="bottom"/>
            <w:hideMark/>
          </w:tcPr>
          <w:p w14:paraId="06891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-0.2</w:t>
            </w:r>
          </w:p>
        </w:tc>
        <w:tc>
          <w:tcPr>
            <w:tcW w:w="500" w:type="dxa"/>
            <w:tcBorders>
              <w:top w:val="nil"/>
              <w:left w:val="nil"/>
              <w:bottom w:val="nil"/>
              <w:right w:val="nil"/>
            </w:tcBorders>
            <w:shd w:val="clear" w:color="000000" w:fill="F98770"/>
            <w:noWrap/>
            <w:vAlign w:val="bottom"/>
            <w:hideMark/>
          </w:tcPr>
          <w:p w14:paraId="53BC18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71F5FB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EDE81"/>
            <w:noWrap/>
            <w:vAlign w:val="bottom"/>
            <w:hideMark/>
          </w:tcPr>
          <w:p w14:paraId="04C258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c>
          <w:tcPr>
            <w:tcW w:w="500" w:type="dxa"/>
            <w:tcBorders>
              <w:top w:val="nil"/>
              <w:left w:val="nil"/>
              <w:bottom w:val="nil"/>
              <w:right w:val="nil"/>
            </w:tcBorders>
            <w:shd w:val="clear" w:color="000000" w:fill="F4E884"/>
            <w:noWrap/>
            <w:vAlign w:val="bottom"/>
            <w:hideMark/>
          </w:tcPr>
          <w:p w14:paraId="2ED5951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r>
      <w:tr w:rsidR="00082930" w:rsidRPr="00082930" w14:paraId="77F3B68B"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BE6C5F2"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C00111</w:t>
            </w:r>
          </w:p>
        </w:tc>
        <w:tc>
          <w:tcPr>
            <w:tcW w:w="960" w:type="dxa"/>
            <w:tcBorders>
              <w:top w:val="nil"/>
              <w:left w:val="nil"/>
              <w:bottom w:val="single" w:sz="4" w:space="0" w:color="auto"/>
              <w:right w:val="single" w:sz="4" w:space="0" w:color="auto"/>
            </w:tcBorders>
            <w:shd w:val="clear" w:color="auto" w:fill="auto"/>
            <w:noWrap/>
            <w:hideMark/>
          </w:tcPr>
          <w:p w14:paraId="2F448C5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dhap</w:t>
            </w:r>
            <w:proofErr w:type="spellEnd"/>
          </w:p>
        </w:tc>
        <w:tc>
          <w:tcPr>
            <w:tcW w:w="500" w:type="dxa"/>
            <w:tcBorders>
              <w:top w:val="nil"/>
              <w:left w:val="nil"/>
              <w:bottom w:val="nil"/>
              <w:right w:val="nil"/>
            </w:tcBorders>
            <w:shd w:val="clear" w:color="000000" w:fill="F8696B"/>
            <w:noWrap/>
            <w:vAlign w:val="bottom"/>
            <w:hideMark/>
          </w:tcPr>
          <w:p w14:paraId="73C98F2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-5.5</w:t>
            </w:r>
          </w:p>
        </w:tc>
        <w:tc>
          <w:tcPr>
            <w:tcW w:w="500" w:type="dxa"/>
            <w:tcBorders>
              <w:top w:val="nil"/>
              <w:left w:val="nil"/>
              <w:bottom w:val="nil"/>
              <w:right w:val="nil"/>
            </w:tcBorders>
            <w:shd w:val="clear" w:color="000000" w:fill="F8696B"/>
            <w:noWrap/>
            <w:vAlign w:val="bottom"/>
            <w:hideMark/>
          </w:tcPr>
          <w:p w14:paraId="168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-4.7</w:t>
            </w:r>
          </w:p>
        </w:tc>
        <w:tc>
          <w:tcPr>
            <w:tcW w:w="500" w:type="dxa"/>
            <w:tcBorders>
              <w:top w:val="nil"/>
              <w:left w:val="nil"/>
              <w:bottom w:val="nil"/>
              <w:right w:val="nil"/>
            </w:tcBorders>
            <w:shd w:val="clear" w:color="000000" w:fill="F8696B"/>
            <w:noWrap/>
            <w:vAlign w:val="bottom"/>
            <w:hideMark/>
          </w:tcPr>
          <w:p w14:paraId="164AA0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F8696B"/>
            <w:noWrap/>
            <w:vAlign w:val="bottom"/>
            <w:hideMark/>
          </w:tcPr>
          <w:p w14:paraId="47FA3A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65A8576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062E02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F8696B"/>
            <w:noWrap/>
            <w:vAlign w:val="bottom"/>
            <w:hideMark/>
          </w:tcPr>
          <w:p w14:paraId="2E26B5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-4.8</w:t>
            </w:r>
          </w:p>
        </w:tc>
        <w:tc>
          <w:tcPr>
            <w:tcW w:w="500" w:type="dxa"/>
            <w:tcBorders>
              <w:top w:val="nil"/>
              <w:left w:val="nil"/>
              <w:bottom w:val="nil"/>
              <w:right w:val="nil"/>
            </w:tcBorders>
            <w:shd w:val="clear" w:color="000000" w:fill="F8696B"/>
            <w:noWrap/>
            <w:vAlign w:val="bottom"/>
            <w:hideMark/>
          </w:tcPr>
          <w:p w14:paraId="1E05046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-4.3</w:t>
            </w:r>
          </w:p>
        </w:tc>
        <w:tc>
          <w:tcPr>
            <w:tcW w:w="500" w:type="dxa"/>
            <w:tcBorders>
              <w:top w:val="nil"/>
              <w:left w:val="nil"/>
              <w:bottom w:val="nil"/>
              <w:right w:val="nil"/>
            </w:tcBorders>
            <w:shd w:val="clear" w:color="000000" w:fill="F8696B"/>
            <w:noWrap/>
            <w:vAlign w:val="bottom"/>
            <w:hideMark/>
          </w:tcPr>
          <w:p w14:paraId="418723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-4.6</w:t>
            </w:r>
          </w:p>
        </w:tc>
        <w:tc>
          <w:tcPr>
            <w:tcW w:w="500" w:type="dxa"/>
            <w:tcBorders>
              <w:top w:val="nil"/>
              <w:left w:val="nil"/>
              <w:bottom w:val="nil"/>
              <w:right w:val="nil"/>
            </w:tcBorders>
            <w:shd w:val="clear" w:color="000000" w:fill="F8696B"/>
            <w:noWrap/>
            <w:vAlign w:val="bottom"/>
            <w:hideMark/>
          </w:tcPr>
          <w:p w14:paraId="7856EF0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-5.8</w:t>
            </w:r>
          </w:p>
        </w:tc>
        <w:tc>
          <w:tcPr>
            <w:tcW w:w="500" w:type="dxa"/>
            <w:tcBorders>
              <w:top w:val="nil"/>
              <w:left w:val="nil"/>
              <w:bottom w:val="nil"/>
              <w:right w:val="nil"/>
            </w:tcBorders>
            <w:shd w:val="clear" w:color="000000" w:fill="F8696B"/>
            <w:noWrap/>
            <w:vAlign w:val="bottom"/>
            <w:hideMark/>
          </w:tcPr>
          <w:p w14:paraId="3A1C97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-3.6</w:t>
            </w:r>
          </w:p>
        </w:tc>
        <w:tc>
          <w:tcPr>
            <w:tcW w:w="500" w:type="dxa"/>
            <w:tcBorders>
              <w:top w:val="nil"/>
              <w:left w:val="nil"/>
              <w:bottom w:val="nil"/>
              <w:right w:val="nil"/>
            </w:tcBorders>
            <w:shd w:val="clear" w:color="000000" w:fill="F8696B"/>
            <w:noWrap/>
            <w:vAlign w:val="bottom"/>
            <w:hideMark/>
          </w:tcPr>
          <w:p w14:paraId="75E1F1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-5.2</w:t>
            </w:r>
          </w:p>
        </w:tc>
      </w:tr>
      <w:tr w:rsidR="00082930" w:rsidRPr="00082930" w14:paraId="0B0386CF"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BAEF81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C00085</w:t>
            </w:r>
          </w:p>
        </w:tc>
        <w:tc>
          <w:tcPr>
            <w:tcW w:w="960" w:type="dxa"/>
            <w:tcBorders>
              <w:top w:val="nil"/>
              <w:left w:val="nil"/>
              <w:bottom w:val="single" w:sz="4" w:space="0" w:color="auto"/>
              <w:right w:val="single" w:sz="4" w:space="0" w:color="auto"/>
            </w:tcBorders>
            <w:shd w:val="clear" w:color="auto" w:fill="auto"/>
            <w:noWrap/>
            <w:hideMark/>
          </w:tcPr>
          <w:p w14:paraId="627085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f6p</w:t>
            </w:r>
          </w:p>
        </w:tc>
        <w:tc>
          <w:tcPr>
            <w:tcW w:w="500" w:type="dxa"/>
            <w:tcBorders>
              <w:top w:val="nil"/>
              <w:left w:val="nil"/>
              <w:bottom w:val="nil"/>
              <w:right w:val="nil"/>
            </w:tcBorders>
            <w:shd w:val="clear" w:color="000000" w:fill="63BE7B"/>
            <w:noWrap/>
            <w:vAlign w:val="bottom"/>
            <w:hideMark/>
          </w:tcPr>
          <w:p w14:paraId="11BCEA6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1779C99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36375A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49BC15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6557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82CB5B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6643BD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FC4861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15994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2496381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31F1ED7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292EFF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r>
      <w:tr w:rsidR="00082930" w:rsidRPr="00082930" w14:paraId="5BEAD20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157620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C00354</w:t>
            </w:r>
          </w:p>
        </w:tc>
        <w:tc>
          <w:tcPr>
            <w:tcW w:w="960" w:type="dxa"/>
            <w:tcBorders>
              <w:top w:val="nil"/>
              <w:left w:val="nil"/>
              <w:bottom w:val="single" w:sz="4" w:space="0" w:color="auto"/>
              <w:right w:val="single" w:sz="4" w:space="0" w:color="auto"/>
            </w:tcBorders>
            <w:shd w:val="clear" w:color="auto" w:fill="auto"/>
            <w:noWrap/>
            <w:hideMark/>
          </w:tcPr>
          <w:p w14:paraId="3058948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fdp</w:t>
            </w:r>
            <w:proofErr w:type="spellEnd"/>
          </w:p>
        </w:tc>
        <w:tc>
          <w:tcPr>
            <w:tcW w:w="500" w:type="dxa"/>
            <w:tcBorders>
              <w:top w:val="nil"/>
              <w:left w:val="nil"/>
              <w:bottom w:val="nil"/>
              <w:right w:val="nil"/>
            </w:tcBorders>
            <w:shd w:val="clear" w:color="000000" w:fill="F8696B"/>
            <w:noWrap/>
            <w:vAlign w:val="bottom"/>
            <w:hideMark/>
          </w:tcPr>
          <w:p w14:paraId="51473E7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F8696B"/>
            <w:noWrap/>
            <w:vAlign w:val="bottom"/>
            <w:hideMark/>
          </w:tcPr>
          <w:p w14:paraId="3534F86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CC37C"/>
            <w:noWrap/>
            <w:vAlign w:val="bottom"/>
            <w:hideMark/>
          </w:tcPr>
          <w:p w14:paraId="4C2A94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CB87A"/>
            <w:noWrap/>
            <w:vAlign w:val="bottom"/>
            <w:hideMark/>
          </w:tcPr>
          <w:p w14:paraId="187EDA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-0.4</w:t>
            </w:r>
          </w:p>
        </w:tc>
        <w:tc>
          <w:tcPr>
            <w:tcW w:w="500" w:type="dxa"/>
            <w:tcBorders>
              <w:top w:val="nil"/>
              <w:left w:val="nil"/>
              <w:bottom w:val="nil"/>
              <w:right w:val="nil"/>
            </w:tcBorders>
            <w:shd w:val="clear" w:color="000000" w:fill="FDC67D"/>
            <w:noWrap/>
            <w:vAlign w:val="bottom"/>
            <w:hideMark/>
          </w:tcPr>
          <w:p w14:paraId="55A3159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EE883"/>
            <w:noWrap/>
            <w:vAlign w:val="bottom"/>
            <w:hideMark/>
          </w:tcPr>
          <w:p w14:paraId="6C7F1B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0.0</w:t>
            </w:r>
          </w:p>
        </w:tc>
        <w:tc>
          <w:tcPr>
            <w:tcW w:w="500" w:type="dxa"/>
            <w:tcBorders>
              <w:top w:val="nil"/>
              <w:left w:val="nil"/>
              <w:bottom w:val="nil"/>
              <w:right w:val="nil"/>
            </w:tcBorders>
            <w:shd w:val="clear" w:color="000000" w:fill="F8766D"/>
            <w:noWrap/>
            <w:vAlign w:val="bottom"/>
            <w:hideMark/>
          </w:tcPr>
          <w:p w14:paraId="6349A7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c>
          <w:tcPr>
            <w:tcW w:w="500" w:type="dxa"/>
            <w:tcBorders>
              <w:top w:val="nil"/>
              <w:left w:val="nil"/>
              <w:bottom w:val="nil"/>
              <w:right w:val="nil"/>
            </w:tcBorders>
            <w:shd w:val="clear" w:color="000000" w:fill="F9806F"/>
            <w:noWrap/>
            <w:vAlign w:val="bottom"/>
            <w:hideMark/>
          </w:tcPr>
          <w:p w14:paraId="1BB5A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233DF04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F8696B"/>
            <w:noWrap/>
            <w:vAlign w:val="bottom"/>
            <w:hideMark/>
          </w:tcPr>
          <w:p w14:paraId="1A37E99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6B6B"/>
            <w:noWrap/>
            <w:vAlign w:val="bottom"/>
            <w:hideMark/>
          </w:tcPr>
          <w:p w14:paraId="6E088A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7B6E"/>
            <w:noWrap/>
            <w:vAlign w:val="bottom"/>
            <w:hideMark/>
          </w:tcPr>
          <w:p w14:paraId="58A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r>
      <w:tr w:rsidR="00082930" w:rsidRPr="00082930" w14:paraId="1F63854A"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A8925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C00092</w:t>
            </w:r>
          </w:p>
        </w:tc>
        <w:tc>
          <w:tcPr>
            <w:tcW w:w="960" w:type="dxa"/>
            <w:tcBorders>
              <w:top w:val="nil"/>
              <w:left w:val="nil"/>
              <w:bottom w:val="single" w:sz="4" w:space="0" w:color="auto"/>
              <w:right w:val="single" w:sz="4" w:space="0" w:color="auto"/>
            </w:tcBorders>
            <w:shd w:val="clear" w:color="auto" w:fill="auto"/>
            <w:noWrap/>
            <w:hideMark/>
          </w:tcPr>
          <w:p w14:paraId="5A5E2B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g6p</w:t>
            </w:r>
          </w:p>
        </w:tc>
        <w:tc>
          <w:tcPr>
            <w:tcW w:w="500" w:type="dxa"/>
            <w:tcBorders>
              <w:top w:val="nil"/>
              <w:left w:val="nil"/>
              <w:bottom w:val="nil"/>
              <w:right w:val="nil"/>
            </w:tcBorders>
            <w:shd w:val="clear" w:color="000000" w:fill="63BE7B"/>
            <w:noWrap/>
            <w:vAlign w:val="bottom"/>
            <w:hideMark/>
          </w:tcPr>
          <w:p w14:paraId="69A568D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9B3A38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1.4</w:t>
            </w:r>
          </w:p>
        </w:tc>
        <w:tc>
          <w:tcPr>
            <w:tcW w:w="500" w:type="dxa"/>
            <w:tcBorders>
              <w:top w:val="nil"/>
              <w:left w:val="nil"/>
              <w:bottom w:val="nil"/>
              <w:right w:val="nil"/>
            </w:tcBorders>
            <w:shd w:val="clear" w:color="000000" w:fill="63BE7B"/>
            <w:noWrap/>
            <w:vAlign w:val="bottom"/>
            <w:hideMark/>
          </w:tcPr>
          <w:p w14:paraId="4B96087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55D009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29001A1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3F6D5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2F64B3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455900B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27E561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43B9546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37E78E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63BE7B"/>
            <w:noWrap/>
            <w:vAlign w:val="bottom"/>
            <w:hideMark/>
          </w:tcPr>
          <w:p w14:paraId="495A11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r>
      <w:tr w:rsidR="00082930" w:rsidRPr="00082930" w14:paraId="2E8B4735"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7FD31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C00103</w:t>
            </w:r>
          </w:p>
        </w:tc>
        <w:tc>
          <w:tcPr>
            <w:tcW w:w="960" w:type="dxa"/>
            <w:tcBorders>
              <w:top w:val="nil"/>
              <w:left w:val="nil"/>
              <w:bottom w:val="single" w:sz="4" w:space="0" w:color="auto"/>
              <w:right w:val="single" w:sz="4" w:space="0" w:color="auto"/>
            </w:tcBorders>
            <w:shd w:val="clear" w:color="auto" w:fill="auto"/>
            <w:noWrap/>
            <w:hideMark/>
          </w:tcPr>
          <w:p w14:paraId="574E24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g1p</w:t>
            </w:r>
          </w:p>
        </w:tc>
        <w:tc>
          <w:tcPr>
            <w:tcW w:w="500" w:type="dxa"/>
            <w:tcBorders>
              <w:top w:val="nil"/>
              <w:left w:val="nil"/>
              <w:bottom w:val="nil"/>
              <w:right w:val="nil"/>
            </w:tcBorders>
            <w:shd w:val="clear" w:color="000000" w:fill="63BE7B"/>
            <w:noWrap/>
            <w:vAlign w:val="bottom"/>
            <w:hideMark/>
          </w:tcPr>
          <w:p w14:paraId="6BE37E8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11792F0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710CCA8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C241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144CA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72356F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1CADC3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E6F68E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318128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2D8A95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88D00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ECF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504A0A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37981E"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C00031</w:t>
            </w:r>
          </w:p>
        </w:tc>
        <w:tc>
          <w:tcPr>
            <w:tcW w:w="960" w:type="dxa"/>
            <w:tcBorders>
              <w:top w:val="nil"/>
              <w:left w:val="nil"/>
              <w:bottom w:val="single" w:sz="4" w:space="0" w:color="auto"/>
              <w:right w:val="single" w:sz="4" w:space="0" w:color="auto"/>
            </w:tcBorders>
            <w:shd w:val="clear" w:color="auto" w:fill="auto"/>
            <w:noWrap/>
            <w:hideMark/>
          </w:tcPr>
          <w:p w14:paraId="5FD384E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glc</w:t>
            </w:r>
            <w:proofErr w:type="spellEnd"/>
            <w:r w:rsidRPr="00082930">
              <w:rPr>
                <w:rFonts w:ascii="Calibri" w:eastAsia="Times New Roman" w:hAnsi="Calibri" w:cs="Calibri"/>
                <w:b/>
                <w:bCs/>
                <w:color w:val="000000"/>
                <w:sz w:val="18"/>
                <w:szCs w:val="18"/>
              </w:rPr>
              <w:t>-d</w:t>
            </w:r>
          </w:p>
        </w:tc>
        <w:tc>
          <w:tcPr>
            <w:tcW w:w="500" w:type="dxa"/>
            <w:tcBorders>
              <w:top w:val="nil"/>
              <w:left w:val="nil"/>
              <w:bottom w:val="nil"/>
              <w:right w:val="nil"/>
            </w:tcBorders>
            <w:shd w:val="clear" w:color="000000" w:fill="63BE7B"/>
            <w:noWrap/>
            <w:vAlign w:val="bottom"/>
            <w:hideMark/>
          </w:tcPr>
          <w:p w14:paraId="509E48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35A5F8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D1037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2497B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DC74C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47822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C8A6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F976F3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9305D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65420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46B458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25795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256E9C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94AE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C00074</w:t>
            </w:r>
          </w:p>
        </w:tc>
        <w:tc>
          <w:tcPr>
            <w:tcW w:w="960" w:type="dxa"/>
            <w:tcBorders>
              <w:top w:val="nil"/>
              <w:left w:val="nil"/>
              <w:bottom w:val="single" w:sz="4" w:space="0" w:color="auto"/>
              <w:right w:val="single" w:sz="4" w:space="0" w:color="auto"/>
            </w:tcBorders>
            <w:shd w:val="clear" w:color="auto" w:fill="auto"/>
            <w:noWrap/>
            <w:hideMark/>
          </w:tcPr>
          <w:p w14:paraId="6BFF803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pep</w:t>
            </w:r>
          </w:p>
        </w:tc>
        <w:tc>
          <w:tcPr>
            <w:tcW w:w="500" w:type="dxa"/>
            <w:tcBorders>
              <w:top w:val="nil"/>
              <w:left w:val="nil"/>
              <w:bottom w:val="nil"/>
              <w:right w:val="nil"/>
            </w:tcBorders>
            <w:shd w:val="clear" w:color="000000" w:fill="63BE7B"/>
            <w:noWrap/>
            <w:vAlign w:val="bottom"/>
            <w:hideMark/>
          </w:tcPr>
          <w:p w14:paraId="43E6A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B135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666C37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F665E9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5489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C4D9F5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E6DF2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C0AC3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3EFE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8D584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D8056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7C0F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CCFDB0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8123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C00022</w:t>
            </w:r>
          </w:p>
        </w:tc>
        <w:tc>
          <w:tcPr>
            <w:tcW w:w="960" w:type="dxa"/>
            <w:tcBorders>
              <w:top w:val="nil"/>
              <w:left w:val="nil"/>
              <w:bottom w:val="single" w:sz="4" w:space="0" w:color="auto"/>
              <w:right w:val="single" w:sz="4" w:space="0" w:color="auto"/>
            </w:tcBorders>
            <w:shd w:val="clear" w:color="auto" w:fill="auto"/>
            <w:noWrap/>
            <w:hideMark/>
          </w:tcPr>
          <w:p w14:paraId="3828DDB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pyr</w:t>
            </w:r>
            <w:proofErr w:type="spellEnd"/>
          </w:p>
        </w:tc>
        <w:tc>
          <w:tcPr>
            <w:tcW w:w="500" w:type="dxa"/>
            <w:tcBorders>
              <w:top w:val="nil"/>
              <w:left w:val="nil"/>
              <w:bottom w:val="nil"/>
              <w:right w:val="nil"/>
            </w:tcBorders>
            <w:shd w:val="clear" w:color="000000" w:fill="63BE7B"/>
            <w:noWrap/>
            <w:vAlign w:val="bottom"/>
            <w:hideMark/>
          </w:tcPr>
          <w:p w14:paraId="12CE951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3A648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D2E77D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AB837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421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A54FBB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949732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D3405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58F5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C2541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D21665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5605C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A4EA4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1232F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C00149</w:t>
            </w:r>
          </w:p>
        </w:tc>
        <w:tc>
          <w:tcPr>
            <w:tcW w:w="960" w:type="dxa"/>
            <w:tcBorders>
              <w:top w:val="nil"/>
              <w:left w:val="nil"/>
              <w:bottom w:val="single" w:sz="4" w:space="0" w:color="auto"/>
              <w:right w:val="single" w:sz="4" w:space="0" w:color="auto"/>
            </w:tcBorders>
            <w:shd w:val="clear" w:color="auto" w:fill="auto"/>
            <w:noWrap/>
            <w:hideMark/>
          </w:tcPr>
          <w:p w14:paraId="5E3B34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mal-l</w:t>
            </w:r>
          </w:p>
        </w:tc>
        <w:tc>
          <w:tcPr>
            <w:tcW w:w="500" w:type="dxa"/>
            <w:tcBorders>
              <w:top w:val="nil"/>
              <w:left w:val="nil"/>
              <w:bottom w:val="nil"/>
              <w:right w:val="nil"/>
            </w:tcBorders>
            <w:shd w:val="clear" w:color="000000" w:fill="63BE7B"/>
            <w:noWrap/>
            <w:vAlign w:val="bottom"/>
            <w:hideMark/>
          </w:tcPr>
          <w:p w14:paraId="206795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0E682D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3730C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E57099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C1915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96C92A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542D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01A92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67BA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475D8C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80A651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1D52DE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bl>
    <w:p w14:paraId="7BB833BE" w14:textId="6204D0C9" w:rsidR="00082930" w:rsidRDefault="00082930" w:rsidP="00AA2200"/>
    <w:p w14:paraId="6DCAA0FC" w14:textId="7159115A" w:rsidR="00082930" w:rsidRDefault="00082930" w:rsidP="00AA2200">
      <w:r>
        <w:t xml:space="preserve">From this, we can see that </w:t>
      </w:r>
      <w:r w:rsidR="005201E3">
        <w:t xml:space="preserve">there are potential problems with 3 metabolites: </w:t>
      </w:r>
      <w:commentRangeStart w:id="8"/>
      <w:r w:rsidR="005201E3">
        <w:t>acetyl-coA (</w:t>
      </w:r>
      <w:proofErr w:type="spellStart"/>
      <w:r w:rsidR="005201E3">
        <w:t>accoa</w:t>
      </w:r>
      <w:proofErr w:type="spellEnd"/>
      <w:r w:rsidR="005201E3">
        <w:t>)</w:t>
      </w:r>
      <w:commentRangeEnd w:id="8"/>
      <w:r w:rsidR="00F9270E">
        <w:rPr>
          <w:rStyle w:val="CommentReference"/>
        </w:rPr>
        <w:commentReference w:id="8"/>
      </w:r>
      <w:r w:rsidR="005201E3">
        <w:t>, dihydroxyacetonephosphate (</w:t>
      </w:r>
      <w:proofErr w:type="spellStart"/>
      <w:r w:rsidR="005201E3">
        <w:t>dhap</w:t>
      </w:r>
      <w:proofErr w:type="spellEnd"/>
      <w:r w:rsidR="005201E3">
        <w:t>), and fructose-1,6-bisphosphate (</w:t>
      </w:r>
      <w:proofErr w:type="spellStart"/>
      <w:r w:rsidR="005201E3">
        <w:t>fdp</w:t>
      </w:r>
      <w:proofErr w:type="spellEnd"/>
      <w:r w:rsidR="005201E3">
        <w:t>)</w:t>
      </w:r>
      <w:r w:rsidR="00BB0466">
        <w:t>.</w:t>
      </w:r>
    </w:p>
    <w:p w14:paraId="00FBA794" w14:textId="5158923C" w:rsidR="00F9270E" w:rsidRDefault="00F9270E" w:rsidP="00AA2200"/>
    <w:p w14:paraId="4DEEEDDA" w14:textId="3EEC5629" w:rsidR="00F9270E" w:rsidRDefault="00F9270E" w:rsidP="00F9270E">
      <w:pPr>
        <w:pStyle w:val="Heading2"/>
      </w:pPr>
      <w:r>
        <w:t>FDP and DHAP levels</w:t>
      </w:r>
    </w:p>
    <w:p w14:paraId="7BDEE28D" w14:textId="4D5B8086" w:rsidR="00A76E46" w:rsidRDefault="00F9270E" w:rsidP="00F9270E">
      <w:r>
        <w:t>FDP and DHAP are the two metabolites that caus</w:t>
      </w:r>
      <w:r w:rsidR="00510DE6">
        <w:t>e</w:t>
      </w:r>
      <w:r>
        <w:t xml:space="preserve"> the biggest problems with thermodynamic consistency of the </w:t>
      </w:r>
      <w:r w:rsidRPr="00F9270E">
        <w:rPr>
          <w:i/>
        </w:rPr>
        <w:t>C. thermocellum</w:t>
      </w:r>
      <w:r>
        <w:t xml:space="preserve"> metabolic pathway.</w:t>
      </w:r>
      <w:r w:rsidR="00643C56">
        <w:t xml:space="preserve"> The set of reactions that allow for substrate-level phosphorylation</w:t>
      </w:r>
      <w:r w:rsidR="00C920DB">
        <w:t xml:space="preserve"> (SLP)</w:t>
      </w:r>
      <w:r w:rsidR="00643C56">
        <w:t xml:space="preserve"> in EMP glycolysis (FBA, TPI, GAPDH and PGK) are known to be a thermodynamic bottleneck </w:t>
      </w:r>
      <w:r w:rsidR="001F5051">
        <w:fldChar w:fldCharType="begin" w:fldLock="1"/>
      </w:r>
      <w:r w:rsidR="005C04DB">
        <w:instrText>ADDIN CSL_CITATION {"citationItems":[{"id":"ITEM-1","itemData":{"DOI":"10.1016/B978-0-12-666260-3.X5000-6","ISBN":"9780126662603","author":[{"dropping-particle":"","family":"Stephanopoulos","given":"Gregory N.","non-dropping-particle":"","parse-names":false,"suffix":""},{"dropping-particle":"","family":"Aristidou","given":"Aristos A.","non-dropping-particle":"","parse-names":false,"suffix":""},{"dropping-particle":"","family":"Nielsen","given":"Jens","non-dropping-particle":"","parse-names":false,"suffix":""}],"id":"ITEM-1","issued":{"date-parts":[["1998"]]},"publisher":"Elsevier","publisher-place":"San Diego","title":"Metabolic Engineering, Principles and Methodologies","type":"book"},"uris":["http://www.mendeley.com/documents/?uuid=b00f1ebd-aa09-4ae9-8c99-152d8c081201"]},{"id":"ITEM-2","itemData":{"DOI":"10.1371/journal.pcbi.1003483","ISBN":"1553-7358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Biology","id":"ITEM-2","issue":"2","issued":{"date-parts":[["2014"]]},"title":"Pathway Thermodynamics Highlights Kinetic Obstacles in Central Metabolism","type":"article-journal","volume":"10"},"uris":["http://www.mendeley.com/documents/?uuid=32b9dd0e-7a58-4fc5-ad12-f1512545536c"]}],"mendeley":{"formattedCitation":"(Noor et al., 2014; Stephanopoulos et al., 1998)","plainTextFormattedCitation":"(Noor et al., 2014; Stephanopoulos et al., 1998)","previouslyFormattedCitation":"(Noor et al., 2014; Stephanopoulos et al., 1998)"},"properties":{"noteIndex":0},"schema":"https://github.com/citation-style-language/schema/raw/master/csl-citation.json"}</w:instrText>
      </w:r>
      <w:r w:rsidR="001F5051">
        <w:fldChar w:fldCharType="separate"/>
      </w:r>
      <w:r w:rsidR="001F5051" w:rsidRPr="001F5051">
        <w:rPr>
          <w:noProof/>
        </w:rPr>
        <w:t>(Noor et al., 2014; Stephanopoulos et al., 1998)</w:t>
      </w:r>
      <w:r w:rsidR="001F5051">
        <w:fldChar w:fldCharType="end"/>
      </w:r>
      <w:r w:rsidR="00643C56">
        <w:t>.</w:t>
      </w:r>
      <w:r w:rsidR="001F5051">
        <w:t xml:space="preserve"> In </w:t>
      </w:r>
      <w:r w:rsidR="001F5051" w:rsidRPr="001F5051">
        <w:rPr>
          <w:i/>
        </w:rPr>
        <w:t>E. coli</w:t>
      </w:r>
      <w:r w:rsidR="001F5051">
        <w:t xml:space="preserve">, this pathway is feasible due to the high </w:t>
      </w:r>
      <w:r w:rsidR="001F5051">
        <w:t xml:space="preserve">(&gt;10 mM) </w:t>
      </w:r>
      <w:r w:rsidR="001F5051">
        <w:t xml:space="preserve">intracellular concentration of FDP </w:t>
      </w:r>
      <w:r w:rsidR="001F5051">
        <w:rPr>
          <w:rStyle w:val="FootnoteReference"/>
        </w:rPr>
        <w:fldChar w:fldCharType="begin" w:fldLock="1"/>
      </w:r>
      <w:r w:rsidR="001F5051">
        <w:instrText>ADDIN CSL_CITATION {"citationItems":[{"id":"ITEM-1","itemData":{"DOI":"10.1038/nchembio.186","ISBN":"1552-4469","ISSN":"15524469","PMID":"19561621","abstract":"Absolute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Biology","id":"ITEM-1","issue":"8","issued":{"date-parts":[["2009"]]},"page":"593-599","title":"Absolute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1F5051">
        <w:rPr>
          <w:rStyle w:val="FootnoteReference"/>
        </w:rPr>
        <w:fldChar w:fldCharType="separate"/>
      </w:r>
      <w:r w:rsidR="001F5051" w:rsidRPr="00643C56">
        <w:rPr>
          <w:noProof/>
        </w:rPr>
        <w:t>(Bennett et al., 2009)</w:t>
      </w:r>
      <w:r w:rsidR="001F5051">
        <w:rPr>
          <w:rStyle w:val="FootnoteReference"/>
        </w:rPr>
        <w:fldChar w:fldCharType="end"/>
      </w:r>
      <w:r w:rsidR="001F5051">
        <w:t xml:space="preserve">, however in </w:t>
      </w:r>
      <w:r w:rsidR="001F5051" w:rsidRPr="001F5051">
        <w:rPr>
          <w:i/>
        </w:rPr>
        <w:t>C. thermocellum</w:t>
      </w:r>
      <w:r w:rsidR="001F5051">
        <w:t xml:space="preserve">, the intracellular concentration of FDP is 2-3 orders of magnitude lower (10-100 µM). </w:t>
      </w:r>
      <w:r w:rsidR="00ED5A18">
        <w:t xml:space="preserve">At 10 µM, none of the datasets from the ethanol addition experiment are thermodynamically feasible. At 100 µM, </w:t>
      </w:r>
      <w:r w:rsidR="005C04DB">
        <w:t xml:space="preserve">however, 11 of 12 datasets are consistent with the MDF predictions from </w:t>
      </w:r>
      <w:r w:rsidR="005C04DB" w:rsidRPr="00B9400C">
        <w:rPr>
          <w:highlight w:val="yellow"/>
        </w:rPr>
        <w:t>Table GGG</w:t>
      </w:r>
      <w:r w:rsidR="005C04DB">
        <w:t xml:space="preserve">, suggesting that glycolysis may be able to function in </w:t>
      </w:r>
      <w:r w:rsidR="005C04DB" w:rsidRPr="00B9400C">
        <w:rPr>
          <w:i/>
        </w:rPr>
        <w:t>C. thermocellum</w:t>
      </w:r>
      <w:r w:rsidR="005C04DB">
        <w:t xml:space="preserve"> despite much lower levels of intracellular FDP than are commonly observed</w:t>
      </w:r>
      <w:r w:rsidR="00A76E46">
        <w:t xml:space="preserve"> in model organisms</w:t>
      </w:r>
      <w:r w:rsidR="005C04DB">
        <w:t>.</w:t>
      </w:r>
      <w:r w:rsidR="00A76E46">
        <w:t xml:space="preserve"> </w:t>
      </w:r>
    </w:p>
    <w:p w14:paraId="6BA12CE2" w14:textId="06E76936" w:rsidR="0025781C" w:rsidRDefault="00A76E46" w:rsidP="005A29FC">
      <w:r>
        <w:t xml:space="preserve">In these bottleneck reactions (FBA, TPI, GAPDH and PGK), there are several cofactor ratios that contribute to the thermodynamic feasibility: NAD/NADH and ATP/ADP. In the Noor et al. analysis </w:t>
      </w:r>
      <w:r>
        <w:fldChar w:fldCharType="begin" w:fldLock="1"/>
      </w:r>
      <w:r w:rsidR="005D3F06">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fldChar w:fldCharType="separate"/>
      </w:r>
      <w:r w:rsidRPr="00A76E46">
        <w:rPr>
          <w:noProof/>
        </w:rPr>
        <w:t>(Noor et al., 2014)</w:t>
      </w:r>
      <w:r>
        <w:fldChar w:fldCharType="end"/>
      </w:r>
      <w:r>
        <w:t xml:space="preserve">, both of these ratios were fixed at a value of 10. In our analysis, we have provided additional degrees of freedom by allowing these cofactor ratios to vary over a </w:t>
      </w:r>
      <w:r w:rsidR="00046532">
        <w:t xml:space="preserve">wide range (100 to 0.01 for the NAD/NADH ratio and 200 to 10 for the ATP/ADP ratio). For the </w:t>
      </w:r>
      <w:r w:rsidR="00046532" w:rsidRPr="00046532">
        <w:rPr>
          <w:i/>
        </w:rPr>
        <w:t>C. thermocellum</w:t>
      </w:r>
      <w:r w:rsidR="00046532">
        <w:t xml:space="preserve"> datasets that are </w:t>
      </w:r>
      <w:r w:rsidR="00046532">
        <w:lastRenderedPageBreak/>
        <w:t>thermodynamically feasible</w:t>
      </w:r>
      <w:r w:rsidR="005A29FC">
        <w:t xml:space="preserve"> with FDP at 100 </w:t>
      </w:r>
      <w:proofErr w:type="spellStart"/>
      <w:proofErr w:type="gramStart"/>
      <w:r w:rsidR="005A29FC">
        <w:t>uM</w:t>
      </w:r>
      <w:proofErr w:type="spellEnd"/>
      <w:proofErr w:type="gramEnd"/>
      <w:r w:rsidR="00046532">
        <w:t xml:space="preserve">, the </w:t>
      </w:r>
      <w:commentRangeStart w:id="9"/>
      <w:r w:rsidR="00046532">
        <w:t xml:space="preserve">NAD/NADH ratio is typically close to the upper end of the range (i.e. 100) </w:t>
      </w:r>
      <w:commentRangeEnd w:id="9"/>
      <w:r w:rsidR="0025781C">
        <w:rPr>
          <w:rStyle w:val="CommentReference"/>
        </w:rPr>
        <w:commentReference w:id="9"/>
      </w:r>
      <w:r w:rsidR="00046532">
        <w:t>and the ATP/ADP ratio is close to the lower end of the range (i.e. 10). Thus</w:t>
      </w:r>
      <w:r w:rsidR="00240589">
        <w:t>,</w:t>
      </w:r>
      <w:r w:rsidR="00046532">
        <w:t xml:space="preserve"> our model allows lower FDP levels by increasing the NAD/NADH ratio.</w:t>
      </w:r>
      <w:r w:rsidR="005A29FC">
        <w:t xml:space="preserve"> </w:t>
      </w:r>
      <w:commentRangeStart w:id="10"/>
      <w:r w:rsidR="005A29FC">
        <w:t xml:space="preserve">Since the NAD/NADH ratio decreases as ethanol titer increases, this may make </w:t>
      </w:r>
      <w:r w:rsidR="005A29FC" w:rsidRPr="005A29FC">
        <w:rPr>
          <w:i/>
        </w:rPr>
        <w:t>C. thermocellum</w:t>
      </w:r>
      <w:r w:rsidR="005A29FC">
        <w:t xml:space="preserve"> more susceptible to ethanol inhibition than other organisms such as </w:t>
      </w:r>
      <w:r w:rsidR="005A29FC" w:rsidRPr="005A29FC">
        <w:rPr>
          <w:i/>
        </w:rPr>
        <w:t>E. coli</w:t>
      </w:r>
      <w:r w:rsidR="005A29FC">
        <w:t>.</w:t>
      </w:r>
      <w:commentRangeEnd w:id="10"/>
      <w:r w:rsidR="005A29FC">
        <w:rPr>
          <w:rStyle w:val="CommentReference"/>
        </w:rPr>
        <w:commentReference w:id="10"/>
      </w:r>
      <w:r w:rsidR="005A29FC">
        <w:t xml:space="preserve"> </w:t>
      </w:r>
    </w:p>
    <w:p w14:paraId="417FA680" w14:textId="548577F5" w:rsidR="0025781C" w:rsidRDefault="0025781C" w:rsidP="005A29FC">
      <w:r>
        <w:t>In our model, DHAP levels need to be about 1 mM for thermodynamic feasibility, which is 20-fold higher than the range of 5-50 µM that we measured.</w:t>
      </w:r>
      <w:r>
        <w:t xml:space="preserve"> DHAP is difficult to measure by LC/MS because it has the same M/z ratio as G3P, and the two metabolites </w:t>
      </w:r>
      <w:r w:rsidR="005B2EBC">
        <w:t>are</w:t>
      </w:r>
      <w:r>
        <w:t xml:space="preserve"> interconverted by the TPI reaction, potentially allowing for rapid </w:t>
      </w:r>
      <w:r w:rsidR="00856C74">
        <w:t>equilibration</w:t>
      </w:r>
      <w:r w:rsidR="005D3F06">
        <w:t xml:space="preserve"> during quenching</w:t>
      </w:r>
      <w:r w:rsidR="00856C74">
        <w:t>. Because of these uncertainties, we suspect the measurement error for DHAP may be higher than for FDP.</w:t>
      </w:r>
    </w:p>
    <w:p w14:paraId="74C33C71" w14:textId="1F57D4D6" w:rsidR="00135807" w:rsidRDefault="005A29FC" w:rsidP="005A29FC">
      <w:r>
        <w:t xml:space="preserve">We anticipate that future studies of intracellular metabolite concentrations in </w:t>
      </w:r>
      <w:r w:rsidRPr="0025781C">
        <w:rPr>
          <w:i/>
        </w:rPr>
        <w:t>C. thermocellum</w:t>
      </w:r>
      <w:r>
        <w:t xml:space="preserve"> may provide insight into this question by accurately measuring both the FDP concentration and NAD/NADH ratio.</w:t>
      </w:r>
    </w:p>
    <w:p w14:paraId="078CDFA0" w14:textId="22648B5D" w:rsidR="005D3F06" w:rsidRDefault="005D3F06" w:rsidP="005D3F06">
      <w:pPr>
        <w:pStyle w:val="Heading2"/>
      </w:pPr>
      <w:r>
        <w:t>Conclusions for ethanol addition dataset analysis</w:t>
      </w:r>
    </w:p>
    <w:p w14:paraId="06432736" w14:textId="03293C5D" w:rsidR="005D3F06" w:rsidRDefault="005D3F06" w:rsidP="00C24889">
      <w:pPr>
        <w:pStyle w:val="ListParagraph"/>
        <w:numPr>
          <w:ilvl w:val="0"/>
          <w:numId w:val="1"/>
        </w:numPr>
      </w:pPr>
      <w:commentRangeStart w:id="11"/>
      <w:r w:rsidRPr="007C0221">
        <w:rPr>
          <w:i/>
        </w:rPr>
        <w:t xml:space="preserve">What do we know about </w:t>
      </w:r>
      <w:r w:rsidR="007C0221" w:rsidRPr="007C0221">
        <w:rPr>
          <w:i/>
        </w:rPr>
        <w:t>causes of ethanol inhibition?</w:t>
      </w:r>
      <w:r w:rsidR="007C0221">
        <w:t xml:space="preserve"> </w:t>
      </w:r>
      <w:r w:rsidR="00C920DB">
        <w:t xml:space="preserve">Here </w:t>
      </w:r>
      <w:commentRangeEnd w:id="11"/>
      <w:r w:rsidR="00C355B7">
        <w:rPr>
          <w:rStyle w:val="CommentReference"/>
        </w:rPr>
        <w:commentReference w:id="11"/>
      </w:r>
      <w:r w:rsidR="00C920DB">
        <w:t>we</w:t>
      </w:r>
      <w:r>
        <w:t xml:space="preserve"> applied a </w:t>
      </w:r>
      <w:r w:rsidR="00C920DB">
        <w:t xml:space="preserve">thermodynamic framework to the measured metabolite concentrations to “upgrade” the data. In general, we find a metabolic bottleneck distributed among the SLP reactions, consistent with our previous analysis of the data </w:t>
      </w:r>
      <w:r w:rsidR="00C920DB">
        <w:fldChar w:fldCharType="begin" w:fldLock="1"/>
      </w:r>
      <w:r w:rsidR="00C920DB">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2017)"},"properties":{"noteIndex":0},"schema":"https://github.com/citation-style-language/schema/raw/master/csl-citation.json"}</w:instrText>
      </w:r>
      <w:r w:rsidR="00C920DB">
        <w:fldChar w:fldCharType="separate"/>
      </w:r>
      <w:r w:rsidR="00C920DB" w:rsidRPr="005D3F06">
        <w:rPr>
          <w:noProof/>
        </w:rPr>
        <w:t>(Tian et al., 2017)</w:t>
      </w:r>
      <w:r w:rsidR="00C920DB">
        <w:fldChar w:fldCharType="end"/>
      </w:r>
      <w:r w:rsidR="00C920DB">
        <w:t>.</w:t>
      </w:r>
      <w:r w:rsidR="007D3577">
        <w:t xml:space="preserve"> In addition, we find the metabolic bottleneck is also distributed between the ADH and ALDH reactions. </w:t>
      </w:r>
      <w:r w:rsidR="00C355B7">
        <w:t>This highlights the role of the NAD/NADH ratio</w:t>
      </w:r>
      <w:r w:rsidR="00783530">
        <w:t xml:space="preserve"> in the thermodynamic feasibility of the cellobiose to ethanol pathway in </w:t>
      </w:r>
      <w:r w:rsidR="00783530" w:rsidRPr="00783530">
        <w:rPr>
          <w:i/>
        </w:rPr>
        <w:t>C. thermocellum</w:t>
      </w:r>
      <w:r w:rsidR="00783530">
        <w:t>.</w:t>
      </w:r>
    </w:p>
    <w:p w14:paraId="5FFD6153" w14:textId="5DCB120E" w:rsidR="00783530" w:rsidRDefault="00783530" w:rsidP="00C24889">
      <w:pPr>
        <w:pStyle w:val="ListParagraph"/>
        <w:numPr>
          <w:ilvl w:val="0"/>
          <w:numId w:val="1"/>
        </w:numPr>
      </w:pPr>
      <w:commentRangeStart w:id="12"/>
      <w:r>
        <w:t>Low levels of FDP constrain the feasible range of the NAD/NADH ratio.</w:t>
      </w:r>
      <w:commentRangeEnd w:id="12"/>
      <w:r>
        <w:rPr>
          <w:rStyle w:val="CommentReference"/>
        </w:rPr>
        <w:commentReference w:id="12"/>
      </w:r>
    </w:p>
    <w:p w14:paraId="550EB691" w14:textId="65C5A091" w:rsidR="00783530" w:rsidRDefault="00783530" w:rsidP="00C24889">
      <w:pPr>
        <w:pStyle w:val="ListParagraph"/>
        <w:numPr>
          <w:ilvl w:val="0"/>
          <w:numId w:val="1"/>
        </w:numPr>
      </w:pPr>
      <w:r>
        <w:t xml:space="preserve">In the next section we investigate possible metabolic engineering interventions to improve ethanol titer in </w:t>
      </w:r>
      <w:r w:rsidRPr="00783530">
        <w:rPr>
          <w:i/>
        </w:rPr>
        <w:t>C. thermocellum</w:t>
      </w:r>
      <w:r>
        <w:t>.</w:t>
      </w:r>
    </w:p>
    <w:p w14:paraId="1B2328B5" w14:textId="77777777" w:rsidR="00783530" w:rsidRDefault="00783530" w:rsidP="00783530">
      <w:pPr>
        <w:pStyle w:val="ListParagraph"/>
      </w:pPr>
    </w:p>
    <w:p w14:paraId="4AC3C523" w14:textId="04A9AE97" w:rsidR="00783530" w:rsidRDefault="00783530" w:rsidP="003B2B98"/>
    <w:p w14:paraId="7C9B8861" w14:textId="7C96D224" w:rsidR="00783530" w:rsidRDefault="00D269E4" w:rsidP="00D269E4">
      <w:pPr>
        <w:pStyle w:val="Heading2"/>
      </w:pPr>
      <w:r>
        <w:t xml:space="preserve">Analysis of thermodynamic landscape of </w:t>
      </w:r>
      <w:r w:rsidRPr="00D269E4">
        <w:rPr>
          <w:i/>
        </w:rPr>
        <w:t>C. thermocellum</w:t>
      </w:r>
      <w:r>
        <w:t xml:space="preserve"> and possible metabolic engineering interventions</w:t>
      </w:r>
    </w:p>
    <w:p w14:paraId="4108B92C" w14:textId="722CBD63" w:rsidR="00D269E4" w:rsidRPr="00D269E4" w:rsidRDefault="00D269E4" w:rsidP="00D269E4">
      <w:r>
        <w:t xml:space="preserve">The </w:t>
      </w:r>
    </w:p>
    <w:p w14:paraId="489C95FF" w14:textId="3A332410" w:rsidR="00783530" w:rsidRDefault="00783530" w:rsidP="00783530">
      <w:pPr>
        <w:ind w:left="360"/>
      </w:pPr>
    </w:p>
    <w:p w14:paraId="56FB5E24" w14:textId="04576D3D" w:rsidR="00783530" w:rsidRDefault="00783530" w:rsidP="00783530">
      <w:pPr>
        <w:ind w:left="360"/>
      </w:pPr>
    </w:p>
    <w:p w14:paraId="29066EB1" w14:textId="76D1323F" w:rsidR="00783530" w:rsidRDefault="00783530" w:rsidP="00783530">
      <w:pPr>
        <w:ind w:left="360"/>
      </w:pPr>
    </w:p>
    <w:p w14:paraId="528192B2" w14:textId="4FE5A196" w:rsidR="00783530" w:rsidRDefault="00783530" w:rsidP="00783530">
      <w:pPr>
        <w:ind w:left="360"/>
      </w:pPr>
      <w:bookmarkStart w:id="13" w:name="_GoBack"/>
      <w:bookmarkEnd w:id="13"/>
    </w:p>
    <w:p w14:paraId="3774D90D" w14:textId="18B78E3C" w:rsidR="00783530" w:rsidRDefault="00783530" w:rsidP="00783530">
      <w:pPr>
        <w:ind w:left="360"/>
      </w:pPr>
    </w:p>
    <w:p w14:paraId="54D84459" w14:textId="07C2FF26" w:rsidR="00783530" w:rsidRDefault="00783530" w:rsidP="00783530">
      <w:pPr>
        <w:ind w:left="360"/>
      </w:pPr>
    </w:p>
    <w:p w14:paraId="5EC30F19" w14:textId="7C27180E" w:rsidR="00783530" w:rsidRDefault="00783530" w:rsidP="00783530">
      <w:pPr>
        <w:ind w:left="360"/>
      </w:pPr>
    </w:p>
    <w:p w14:paraId="02D2D976" w14:textId="6DED2775" w:rsidR="00783530" w:rsidRDefault="00783530" w:rsidP="00783530">
      <w:pPr>
        <w:ind w:left="360"/>
      </w:pPr>
    </w:p>
    <w:p w14:paraId="3E0F980F" w14:textId="77495F39" w:rsidR="00783530" w:rsidRDefault="00783530" w:rsidP="00783530">
      <w:pPr>
        <w:ind w:left="360"/>
      </w:pPr>
    </w:p>
    <w:p w14:paraId="54D6FD80" w14:textId="56C7F1A3" w:rsidR="00783530" w:rsidRDefault="00783530" w:rsidP="00783530">
      <w:pPr>
        <w:ind w:left="360"/>
      </w:pPr>
    </w:p>
    <w:p w14:paraId="4F8DE7C2" w14:textId="1200ECC0" w:rsidR="00783530" w:rsidRDefault="00783530" w:rsidP="00783530">
      <w:pPr>
        <w:ind w:left="360"/>
      </w:pPr>
    </w:p>
    <w:p w14:paraId="48872B1C" w14:textId="048DB535" w:rsidR="00783530" w:rsidRDefault="00783530" w:rsidP="00783530">
      <w:pPr>
        <w:ind w:left="360"/>
      </w:pPr>
    </w:p>
    <w:p w14:paraId="4B6D522C" w14:textId="3BF64A5C" w:rsidR="00783530" w:rsidRDefault="00783530" w:rsidP="00783530">
      <w:pPr>
        <w:ind w:left="360"/>
      </w:pPr>
    </w:p>
    <w:p w14:paraId="728F863B" w14:textId="071D8B56" w:rsidR="00783530" w:rsidRDefault="00783530" w:rsidP="00783530">
      <w:pPr>
        <w:ind w:left="360"/>
      </w:pPr>
    </w:p>
    <w:p w14:paraId="13770623" w14:textId="5833206A" w:rsidR="00783530" w:rsidRDefault="00783530" w:rsidP="00783530">
      <w:pPr>
        <w:ind w:left="360"/>
      </w:pPr>
    </w:p>
    <w:p w14:paraId="3C6F6916" w14:textId="191F3E05" w:rsidR="00783530" w:rsidRDefault="00783530" w:rsidP="00783530">
      <w:pPr>
        <w:ind w:left="360"/>
      </w:pPr>
    </w:p>
    <w:p w14:paraId="5E9B152A" w14:textId="7E87D3CE" w:rsidR="00783530" w:rsidRDefault="00783530" w:rsidP="00783530">
      <w:pPr>
        <w:ind w:left="360"/>
      </w:pPr>
    </w:p>
    <w:p w14:paraId="3BD58716" w14:textId="09AC3D93" w:rsidR="00783530" w:rsidRDefault="00783530" w:rsidP="00783530">
      <w:pPr>
        <w:ind w:left="360"/>
      </w:pPr>
    </w:p>
    <w:p w14:paraId="2FC2D711" w14:textId="60C17686" w:rsidR="00783530" w:rsidRDefault="00783530" w:rsidP="00783530">
      <w:pPr>
        <w:ind w:left="360"/>
      </w:pPr>
    </w:p>
    <w:p w14:paraId="78ECDA3A" w14:textId="317CE453" w:rsidR="00783530" w:rsidRDefault="00783530" w:rsidP="00783530">
      <w:pPr>
        <w:ind w:left="360"/>
      </w:pPr>
    </w:p>
    <w:p w14:paraId="1F50045E" w14:textId="5BC4572C" w:rsidR="00783530" w:rsidRDefault="00783530" w:rsidP="00783530">
      <w:pPr>
        <w:ind w:left="360"/>
      </w:pPr>
    </w:p>
    <w:p w14:paraId="165128B3" w14:textId="42931C37" w:rsidR="00783530" w:rsidRDefault="00783530" w:rsidP="00783530">
      <w:pPr>
        <w:ind w:left="360"/>
      </w:pPr>
    </w:p>
    <w:p w14:paraId="20AE44DF" w14:textId="5894DF26" w:rsidR="00783530" w:rsidRDefault="00783530" w:rsidP="00783530">
      <w:pPr>
        <w:ind w:left="360"/>
      </w:pPr>
    </w:p>
    <w:p w14:paraId="6241A139" w14:textId="0AD3018B" w:rsidR="00783530" w:rsidRDefault="00783530" w:rsidP="00783530">
      <w:pPr>
        <w:ind w:left="360"/>
      </w:pPr>
    </w:p>
    <w:p w14:paraId="5BEEF24F" w14:textId="78D29F1B" w:rsidR="00783530" w:rsidRDefault="00783530" w:rsidP="00783530">
      <w:pPr>
        <w:ind w:left="360"/>
      </w:pPr>
    </w:p>
    <w:p w14:paraId="432EC9EA" w14:textId="750500A1" w:rsidR="00783530" w:rsidRDefault="00783530" w:rsidP="00783530">
      <w:pPr>
        <w:ind w:left="360"/>
      </w:pPr>
    </w:p>
    <w:p w14:paraId="5BF60C89" w14:textId="094BBAEA" w:rsidR="00783530" w:rsidRDefault="00783530" w:rsidP="00783530">
      <w:pPr>
        <w:ind w:left="360"/>
      </w:pPr>
    </w:p>
    <w:p w14:paraId="394E6000" w14:textId="0EC5B44C" w:rsidR="00783530" w:rsidRDefault="00783530" w:rsidP="00783530">
      <w:pPr>
        <w:ind w:left="360"/>
      </w:pPr>
    </w:p>
    <w:p w14:paraId="51A28859" w14:textId="635595C6" w:rsidR="00783530" w:rsidRDefault="00783530" w:rsidP="00783530">
      <w:pPr>
        <w:ind w:left="360"/>
      </w:pPr>
    </w:p>
    <w:p w14:paraId="655FA5CB" w14:textId="216846EC" w:rsidR="00783530" w:rsidRDefault="00783530" w:rsidP="00783530">
      <w:pPr>
        <w:ind w:left="360"/>
      </w:pPr>
    </w:p>
    <w:p w14:paraId="38758DF9" w14:textId="10D452D1" w:rsidR="00783530" w:rsidRDefault="00783530">
      <w:r>
        <w:br w:type="page"/>
      </w:r>
    </w:p>
    <w:p w14:paraId="3C79C8BC" w14:textId="285A150F" w:rsidR="00783530" w:rsidRDefault="00783530" w:rsidP="00783530">
      <w:pPr>
        <w:pStyle w:val="Heading2"/>
      </w:pPr>
      <w:r>
        <w:lastRenderedPageBreak/>
        <w:t>Additional text that I don’t have a place for yet</w:t>
      </w:r>
    </w:p>
    <w:p w14:paraId="2C592975" w14:textId="77777777" w:rsidR="00783530" w:rsidRDefault="00783530" w:rsidP="00783530">
      <w:pPr>
        <w:ind w:left="360"/>
      </w:pPr>
    </w:p>
    <w:p w14:paraId="52808EFB" w14:textId="2DD7CC42" w:rsidR="00783530" w:rsidRPr="005D3F06" w:rsidRDefault="00783530" w:rsidP="00783530">
      <w:pPr>
        <w:ind w:left="360"/>
      </w:pPr>
      <w:r>
        <w:t>Thus, two possible approaches to increase ethanol titer are to increase FDP levels (possibly by changing the PPi-PFK reaction to ATP-PFK) or to break the link between NADH-producing reactions (i.e. GapDH) and NADH-consuming reactions (i.e. ADH and ALDH).</w:t>
      </w:r>
    </w:p>
    <w:sectPr w:rsidR="00783530" w:rsidRPr="005D3F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1-15T15:02:00Z" w:initials="DO">
    <w:p w14:paraId="5BA51B72" w14:textId="4D436717" w:rsidR="00944E23" w:rsidRDefault="00944E23">
      <w:pPr>
        <w:pStyle w:val="CommentText"/>
      </w:pPr>
      <w:r>
        <w:rPr>
          <w:rStyle w:val="CommentReference"/>
        </w:rPr>
        <w:annotationRef/>
      </w:r>
      <w:r>
        <w:t>Table of extracellular metabolites</w:t>
      </w:r>
    </w:p>
  </w:comment>
  <w:comment w:id="1" w:author="Dan Olson" w:date="2019-01-15T14:47:00Z" w:initials="DO">
    <w:p w14:paraId="33A115EC" w14:textId="046F9F0E" w:rsidR="00A416F9" w:rsidRDefault="00A416F9">
      <w:pPr>
        <w:pStyle w:val="CommentText"/>
      </w:pPr>
      <w:r>
        <w:rPr>
          <w:rStyle w:val="CommentReference"/>
        </w:rPr>
        <w:annotationRef/>
      </w:r>
      <w:r>
        <w:t>Figure with standard curves for all metabolites</w:t>
      </w:r>
    </w:p>
  </w:comment>
  <w:comment w:id="2" w:author="Dan Olson" w:date="2019-01-17T15:54:00Z" w:initials="DO">
    <w:p w14:paraId="5E6F32F8" w14:textId="27245BF6" w:rsidR="000F6A00" w:rsidRDefault="000F6A00">
      <w:pPr>
        <w:pStyle w:val="CommentText"/>
      </w:pPr>
      <w:r>
        <w:rPr>
          <w:rStyle w:val="CommentReference"/>
        </w:rPr>
        <w:annotationRef/>
      </w:r>
      <w:r>
        <w:t>Explain that we chose to start with an error factor of 2 to cover quantification errors from our std. curves.</w:t>
      </w:r>
    </w:p>
  </w:comment>
  <w:comment w:id="3" w:author="Dan Olson" w:date="2019-01-15T15:32:00Z" w:initials="DO">
    <w:p w14:paraId="0E2D6F6A" w14:textId="21313646" w:rsidR="00F171EB" w:rsidRDefault="00F171EB">
      <w:pPr>
        <w:pStyle w:val="CommentText"/>
      </w:pPr>
      <w:r>
        <w:rPr>
          <w:rStyle w:val="CommentReference"/>
        </w:rPr>
        <w:annotationRef/>
      </w:r>
      <w:r>
        <w:t>Description of samples</w:t>
      </w:r>
    </w:p>
  </w:comment>
  <w:comment w:id="4" w:author="Dan Olson" w:date="2019-01-15T16:02:00Z" w:initials="DO">
    <w:p w14:paraId="5D5894A2" w14:textId="5E9F57CC" w:rsidR="00546EA4" w:rsidRDefault="00546EA4">
      <w:pPr>
        <w:pStyle w:val="CommentText"/>
      </w:pPr>
      <w:r>
        <w:rPr>
          <w:rStyle w:val="CommentReference"/>
        </w:rPr>
        <w:annotationRef/>
      </w:r>
      <w:r>
        <w:t>Find reference for this</w:t>
      </w:r>
    </w:p>
  </w:comment>
  <w:comment w:id="5" w:author="Dan Olson" w:date="2019-01-15T17:40:00Z" w:initials="DO">
    <w:p w14:paraId="5604749A" w14:textId="77777777" w:rsidR="00016BB9" w:rsidRDefault="00016BB9" w:rsidP="00016BB9">
      <w:pPr>
        <w:pStyle w:val="CommentText"/>
      </w:pPr>
      <w:r>
        <w:rPr>
          <w:rStyle w:val="CommentReference"/>
        </w:rPr>
        <w:annotationRef/>
      </w:r>
      <w:proofErr w:type="spellStart"/>
      <w:r>
        <w:t>metabolite_bounds</w:t>
      </w:r>
      <w:proofErr w:type="spellEnd"/>
      <w:r>
        <w:t xml:space="preserve"> sheet from cth_thermo_model_DO_SD3.xlsx</w:t>
      </w:r>
    </w:p>
  </w:comment>
  <w:comment w:id="6" w:author="Dan Olson" w:date="2019-01-15T18:44:00Z" w:initials="DO">
    <w:p w14:paraId="1561A15B" w14:textId="5DCB9D7F" w:rsidR="005E680C" w:rsidRDefault="005E680C">
      <w:pPr>
        <w:pStyle w:val="CommentText"/>
      </w:pPr>
      <w:r>
        <w:rPr>
          <w:rStyle w:val="CommentReference"/>
        </w:rPr>
        <w:annotationRef/>
      </w:r>
      <w:r>
        <w:t>Describe adding PPi, GTP/GDP and NADPH</w:t>
      </w:r>
    </w:p>
  </w:comment>
  <w:comment w:id="7" w:author="Dan Olson" w:date="2019-01-28T14:54:00Z" w:initials="DO">
    <w:p w14:paraId="593D9D03" w14:textId="33BB7860" w:rsidR="00F503AE" w:rsidRDefault="00F503AE">
      <w:pPr>
        <w:pStyle w:val="CommentText"/>
      </w:pPr>
      <w:r>
        <w:rPr>
          <w:rStyle w:val="CommentReference"/>
        </w:rPr>
        <w:annotationRef/>
      </w:r>
      <w:r>
        <w:t xml:space="preserve">Might add flux data to this. We should be able to calculate cellobiose </w:t>
      </w:r>
      <w:r>
        <w:sym w:font="Wingdings" w:char="F0E0"/>
      </w:r>
      <w:r>
        <w:t xml:space="preserve"> ethanol flux per gDCW.</w:t>
      </w:r>
    </w:p>
  </w:comment>
  <w:comment w:id="8" w:author="Dan Olson" w:date="2019-01-28T10:02:00Z" w:initials="DO">
    <w:p w14:paraId="62279245" w14:textId="35BD388C" w:rsidR="00F9270E" w:rsidRDefault="00F9270E">
      <w:pPr>
        <w:pStyle w:val="CommentText"/>
      </w:pPr>
      <w:r>
        <w:rPr>
          <w:rStyle w:val="CommentReference"/>
        </w:rPr>
        <w:annotationRef/>
      </w:r>
      <w:r>
        <w:t>The acetyl-CoA problem was fixed by lowering CoA levels. DHAP and FBP problems remain.</w:t>
      </w:r>
    </w:p>
  </w:comment>
  <w:comment w:id="9" w:author="Dan Olson" w:date="2019-01-28T14:01:00Z" w:initials="DO">
    <w:p w14:paraId="4FBF8397" w14:textId="2B3306F6" w:rsidR="0025781C" w:rsidRDefault="0025781C">
      <w:pPr>
        <w:pStyle w:val="CommentText"/>
      </w:pPr>
      <w:r>
        <w:rPr>
          <w:rStyle w:val="CommentReference"/>
        </w:rPr>
        <w:annotationRef/>
      </w:r>
      <w:r>
        <w:t xml:space="preserve">This would contradict the results from Beri et al. where NAD/NADH ratio = 2.5 for WT C. </w:t>
      </w:r>
      <w:proofErr w:type="spellStart"/>
      <w:r>
        <w:t>therm</w:t>
      </w:r>
      <w:proofErr w:type="spellEnd"/>
    </w:p>
  </w:comment>
  <w:comment w:id="10" w:author="Dan Olson" w:date="2019-01-28T13:42:00Z" w:initials="DO">
    <w:p w14:paraId="296E2432" w14:textId="28A5BF88" w:rsidR="005A29FC" w:rsidRDefault="005A29FC">
      <w:pPr>
        <w:pStyle w:val="CommentText"/>
      </w:pPr>
      <w:r>
        <w:rPr>
          <w:rStyle w:val="CommentReference"/>
        </w:rPr>
        <w:annotationRef/>
      </w:r>
      <w:r>
        <w:t xml:space="preserve">Possible explanation for low maximum ethanol titer in C. </w:t>
      </w:r>
      <w:proofErr w:type="spellStart"/>
      <w:r>
        <w:t>therm</w:t>
      </w:r>
      <w:proofErr w:type="spellEnd"/>
    </w:p>
  </w:comment>
  <w:comment w:id="11" w:author="Dan Olson" w:date="2019-01-28T15:27:00Z" w:initials="DO">
    <w:p w14:paraId="0FEF1472" w14:textId="62C72351" w:rsidR="00C355B7" w:rsidRDefault="00C355B7">
      <w:pPr>
        <w:pStyle w:val="CommentText"/>
      </w:pPr>
      <w:r>
        <w:rPr>
          <w:rStyle w:val="CommentReference"/>
        </w:rPr>
        <w:annotationRef/>
      </w:r>
      <w:r>
        <w:t>Satya, do we ever see a positive shadow price for the PPi-PFK reaction? If so, under what conditions?</w:t>
      </w:r>
    </w:p>
  </w:comment>
  <w:comment w:id="12" w:author="Dan Olson" w:date="2019-01-28T15:37:00Z" w:initials="DO">
    <w:p w14:paraId="2E9DFD49" w14:textId="6741AE5D" w:rsidR="00783530" w:rsidRDefault="00783530">
      <w:pPr>
        <w:pStyle w:val="CommentText"/>
      </w:pPr>
      <w:r>
        <w:rPr>
          <w:rStyle w:val="CommentReference"/>
        </w:rPr>
        <w:annotationRef/>
      </w:r>
      <w:r>
        <w:t>Maybe make a bar plot showing the feasible NAD/NADH ratios for different levels of FDP (1e-6, 1e-5, 1e-4, 1e-3, 1e-2)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51B72" w15:done="0"/>
  <w15:commentEx w15:paraId="33A115EC" w15:done="0"/>
  <w15:commentEx w15:paraId="5E6F32F8" w15:done="0"/>
  <w15:commentEx w15:paraId="0E2D6F6A" w15:done="0"/>
  <w15:commentEx w15:paraId="5D5894A2" w15:done="0"/>
  <w15:commentEx w15:paraId="5604749A" w15:done="0"/>
  <w15:commentEx w15:paraId="1561A15B" w15:done="0"/>
  <w15:commentEx w15:paraId="593D9D03" w15:done="0"/>
  <w15:commentEx w15:paraId="62279245" w15:done="0"/>
  <w15:commentEx w15:paraId="4FBF8397" w15:done="0"/>
  <w15:commentEx w15:paraId="296E2432" w15:done="0"/>
  <w15:commentEx w15:paraId="0FEF1472" w15:done="0"/>
  <w15:commentEx w15:paraId="2E9DF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51B72" w16cid:durableId="1FE87476"/>
  <w16cid:commentId w16cid:paraId="33A115EC" w16cid:durableId="1FE87102"/>
  <w16cid:commentId w16cid:paraId="5E6F32F8" w16cid:durableId="1FEB23BE"/>
  <w16cid:commentId w16cid:paraId="0E2D6F6A" w16cid:durableId="1FE87BA0"/>
  <w16cid:commentId w16cid:paraId="5D5894A2" w16cid:durableId="1FE88295"/>
  <w16cid:commentId w16cid:paraId="5604749A" w16cid:durableId="1FE89979"/>
  <w16cid:commentId w16cid:paraId="1561A15B" w16cid:durableId="1FE8A884"/>
  <w16cid:commentId w16cid:paraId="593D9D03" w16cid:durableId="1FF9960A"/>
  <w16cid:commentId w16cid:paraId="62279245" w16cid:durableId="1FF951A8"/>
  <w16cid:commentId w16cid:paraId="4FBF8397" w16cid:durableId="1FF989AE"/>
  <w16cid:commentId w16cid:paraId="296E2432" w16cid:durableId="1FF98550"/>
  <w16cid:commentId w16cid:paraId="0FEF1472" w16cid:durableId="1FF99DCB"/>
  <w16cid:commentId w16cid:paraId="2E9DFD49" w16cid:durableId="1FF9A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07BEB" w14:textId="77777777" w:rsidR="0084334A" w:rsidRDefault="0084334A" w:rsidP="00A416F9">
      <w:pPr>
        <w:spacing w:after="0" w:line="240" w:lineRule="auto"/>
      </w:pPr>
      <w:r>
        <w:separator/>
      </w:r>
    </w:p>
  </w:endnote>
  <w:endnote w:type="continuationSeparator" w:id="0">
    <w:p w14:paraId="6F3BC759" w14:textId="77777777" w:rsidR="0084334A" w:rsidRDefault="0084334A" w:rsidP="00A4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28A8C" w14:textId="77777777" w:rsidR="0084334A" w:rsidRDefault="0084334A" w:rsidP="00A416F9">
      <w:pPr>
        <w:spacing w:after="0" w:line="240" w:lineRule="auto"/>
      </w:pPr>
      <w:r>
        <w:separator/>
      </w:r>
    </w:p>
  </w:footnote>
  <w:footnote w:type="continuationSeparator" w:id="0">
    <w:p w14:paraId="7A021FC7" w14:textId="77777777" w:rsidR="0084334A" w:rsidRDefault="0084334A" w:rsidP="00A41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E516C"/>
    <w:multiLevelType w:val="hybridMultilevel"/>
    <w:tmpl w:val="59D6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EF"/>
    <w:rsid w:val="00001813"/>
    <w:rsid w:val="00016BB9"/>
    <w:rsid w:val="00046532"/>
    <w:rsid w:val="0008182E"/>
    <w:rsid w:val="00082930"/>
    <w:rsid w:val="000C3AFA"/>
    <w:rsid w:val="000F3B01"/>
    <w:rsid w:val="000F6A00"/>
    <w:rsid w:val="001002B7"/>
    <w:rsid w:val="00101A1E"/>
    <w:rsid w:val="00135807"/>
    <w:rsid w:val="001A483D"/>
    <w:rsid w:val="001F5051"/>
    <w:rsid w:val="00205C54"/>
    <w:rsid w:val="00210757"/>
    <w:rsid w:val="00240589"/>
    <w:rsid w:val="0025781C"/>
    <w:rsid w:val="00260705"/>
    <w:rsid w:val="00262FD5"/>
    <w:rsid w:val="002A60EF"/>
    <w:rsid w:val="002D2D6A"/>
    <w:rsid w:val="002D5636"/>
    <w:rsid w:val="003B2B98"/>
    <w:rsid w:val="003E23A1"/>
    <w:rsid w:val="00510DE6"/>
    <w:rsid w:val="005201E3"/>
    <w:rsid w:val="00546EA4"/>
    <w:rsid w:val="005A29FC"/>
    <w:rsid w:val="005B2EBC"/>
    <w:rsid w:val="005C04DB"/>
    <w:rsid w:val="005D3F06"/>
    <w:rsid w:val="005E680C"/>
    <w:rsid w:val="00643C56"/>
    <w:rsid w:val="00644933"/>
    <w:rsid w:val="00647E3D"/>
    <w:rsid w:val="0072129E"/>
    <w:rsid w:val="007375F6"/>
    <w:rsid w:val="00783530"/>
    <w:rsid w:val="007C0221"/>
    <w:rsid w:val="007D3577"/>
    <w:rsid w:val="0080133D"/>
    <w:rsid w:val="0084334A"/>
    <w:rsid w:val="00856C74"/>
    <w:rsid w:val="008B1E0C"/>
    <w:rsid w:val="00942062"/>
    <w:rsid w:val="00944E23"/>
    <w:rsid w:val="00A416F9"/>
    <w:rsid w:val="00A76E46"/>
    <w:rsid w:val="00A922A0"/>
    <w:rsid w:val="00AA2200"/>
    <w:rsid w:val="00AA39D7"/>
    <w:rsid w:val="00B21E39"/>
    <w:rsid w:val="00B414E7"/>
    <w:rsid w:val="00B9400C"/>
    <w:rsid w:val="00BB0466"/>
    <w:rsid w:val="00BD302D"/>
    <w:rsid w:val="00C355B7"/>
    <w:rsid w:val="00C920DB"/>
    <w:rsid w:val="00D269E4"/>
    <w:rsid w:val="00D46191"/>
    <w:rsid w:val="00D5412E"/>
    <w:rsid w:val="00D62BA3"/>
    <w:rsid w:val="00DD22C2"/>
    <w:rsid w:val="00E233D8"/>
    <w:rsid w:val="00E60044"/>
    <w:rsid w:val="00E64720"/>
    <w:rsid w:val="00E95330"/>
    <w:rsid w:val="00EB444B"/>
    <w:rsid w:val="00ED5A18"/>
    <w:rsid w:val="00F171EB"/>
    <w:rsid w:val="00F503AE"/>
    <w:rsid w:val="00F9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5B38"/>
  <w15:chartTrackingRefBased/>
  <w15:docId w15:val="{8BCC544A-1FD4-485C-8BFB-361F6A0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1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6F9"/>
    <w:rPr>
      <w:sz w:val="20"/>
      <w:szCs w:val="20"/>
    </w:rPr>
  </w:style>
  <w:style w:type="character" w:styleId="FootnoteReference">
    <w:name w:val="footnote reference"/>
    <w:basedOn w:val="DefaultParagraphFont"/>
    <w:uiPriority w:val="99"/>
    <w:semiHidden/>
    <w:unhideWhenUsed/>
    <w:rsid w:val="00A416F9"/>
    <w:rPr>
      <w:vertAlign w:val="superscript"/>
    </w:rPr>
  </w:style>
  <w:style w:type="character" w:customStyle="1" w:styleId="Heading1Char">
    <w:name w:val="Heading 1 Char"/>
    <w:basedOn w:val="DefaultParagraphFont"/>
    <w:link w:val="Heading1"/>
    <w:uiPriority w:val="9"/>
    <w:rsid w:val="00A416F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16F9"/>
    <w:rPr>
      <w:sz w:val="16"/>
      <w:szCs w:val="16"/>
    </w:rPr>
  </w:style>
  <w:style w:type="paragraph" w:styleId="CommentText">
    <w:name w:val="annotation text"/>
    <w:basedOn w:val="Normal"/>
    <w:link w:val="CommentTextChar"/>
    <w:uiPriority w:val="99"/>
    <w:semiHidden/>
    <w:unhideWhenUsed/>
    <w:rsid w:val="00A416F9"/>
    <w:pPr>
      <w:spacing w:line="240" w:lineRule="auto"/>
    </w:pPr>
    <w:rPr>
      <w:sz w:val="20"/>
      <w:szCs w:val="20"/>
    </w:rPr>
  </w:style>
  <w:style w:type="character" w:customStyle="1" w:styleId="CommentTextChar">
    <w:name w:val="Comment Text Char"/>
    <w:basedOn w:val="DefaultParagraphFont"/>
    <w:link w:val="CommentText"/>
    <w:uiPriority w:val="99"/>
    <w:semiHidden/>
    <w:rsid w:val="00A416F9"/>
    <w:rPr>
      <w:sz w:val="20"/>
      <w:szCs w:val="20"/>
    </w:rPr>
  </w:style>
  <w:style w:type="paragraph" w:styleId="CommentSubject">
    <w:name w:val="annotation subject"/>
    <w:basedOn w:val="CommentText"/>
    <w:next w:val="CommentText"/>
    <w:link w:val="CommentSubjectChar"/>
    <w:uiPriority w:val="99"/>
    <w:semiHidden/>
    <w:unhideWhenUsed/>
    <w:rsid w:val="00A416F9"/>
    <w:rPr>
      <w:b/>
      <w:bCs/>
    </w:rPr>
  </w:style>
  <w:style w:type="character" w:customStyle="1" w:styleId="CommentSubjectChar">
    <w:name w:val="Comment Subject Char"/>
    <w:basedOn w:val="CommentTextChar"/>
    <w:link w:val="CommentSubject"/>
    <w:uiPriority w:val="99"/>
    <w:semiHidden/>
    <w:rsid w:val="00A416F9"/>
    <w:rPr>
      <w:b/>
      <w:bCs/>
      <w:sz w:val="20"/>
      <w:szCs w:val="20"/>
    </w:rPr>
  </w:style>
  <w:style w:type="paragraph" w:styleId="BalloonText">
    <w:name w:val="Balloon Text"/>
    <w:basedOn w:val="Normal"/>
    <w:link w:val="BalloonTextChar"/>
    <w:uiPriority w:val="99"/>
    <w:semiHidden/>
    <w:unhideWhenUsed/>
    <w:rsid w:val="00A4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F9"/>
    <w:rPr>
      <w:rFonts w:ascii="Segoe UI" w:hAnsi="Segoe UI" w:cs="Segoe UI"/>
      <w:sz w:val="18"/>
      <w:szCs w:val="18"/>
    </w:rPr>
  </w:style>
  <w:style w:type="character" w:customStyle="1" w:styleId="Heading2Char">
    <w:name w:val="Heading 2 Char"/>
    <w:basedOn w:val="DefaultParagraphFont"/>
    <w:link w:val="Heading2"/>
    <w:uiPriority w:val="9"/>
    <w:rsid w:val="009420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83D"/>
    <w:rPr>
      <w:color w:val="808080"/>
    </w:rPr>
  </w:style>
  <w:style w:type="table" w:styleId="TableGrid">
    <w:name w:val="Table Grid"/>
    <w:basedOn w:val="TableNormal"/>
    <w:uiPriority w:val="39"/>
    <w:rsid w:val="00001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38180-C7A2-4397-BCDA-ECB6FADC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6</Pages>
  <Words>7434</Words>
  <Characters>42377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Olson</dc:creator>
  <cp:keywords/>
  <dc:description/>
  <cp:lastModifiedBy>Dan Olson</cp:lastModifiedBy>
  <cp:revision>23</cp:revision>
  <dcterms:created xsi:type="dcterms:W3CDTF">2019-01-15T19:38:00Z</dcterms:created>
  <dcterms:modified xsi:type="dcterms:W3CDTF">2019-01-28T21:16:00Z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http://csl.mendeley.com/styles/23524721/chicago-DanOlsonCV-2</vt:lpwstr>
  </property>
  <property fmtid="{D5CDD505-2E9C-101B-9397-08002B2CF9AE}" pid="11" name="Mendeley Recent Style Name 4_1">
    <vt:lpwstr>Daniel Olson CV style - Daniel Olson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e26c3186-a820-3c30-bdec-77488339eadc</vt:lpwstr>
  </property>
  <property fmtid="{D5CDD505-2E9C-101B-9397-08002B2CF9AE}" pid="24" name="Mendeley Citation Style_1">
    <vt:lpwstr>http://www.zotero.org/styles/metabolic-engineering</vt:lpwstr>
  </property>
</Properties>
</file>