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C1DCE" w14:textId="01B25E2A" w:rsidR="00942062" w:rsidRDefault="00942062" w:rsidP="00A416F9">
      <w:pPr>
        <w:pStyle w:val="Heading1"/>
      </w:pPr>
      <w:r>
        <w:t>Materials and methods</w:t>
      </w:r>
    </w:p>
    <w:p w14:paraId="267C5262" w14:textId="67D661BF" w:rsidR="00A416F9" w:rsidRDefault="00A416F9" w:rsidP="00942062">
      <w:pPr>
        <w:pStyle w:val="Heading2"/>
      </w:pPr>
      <w:r>
        <w:t>Metabolite quantification</w:t>
      </w:r>
    </w:p>
    <w:p w14:paraId="15D78576" w14:textId="7B508902" w:rsidR="00942062" w:rsidRDefault="00A416F9" w:rsidP="00A416F9">
      <w:r>
        <w:t xml:space="preserve">Dataset 2 from Tian et al. 2017 </w:t>
      </w:r>
      <w:r w:rsidR="00944E23">
        <w:rPr>
          <w:rStyle w:val="FootnoteReference"/>
        </w:rPr>
        <w:fldChar w:fldCharType="begin" w:fldLock="1"/>
      </w:r>
      <w:r w:rsidR="00944E23">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2017)","previouslyFormattedCitation":"Liang Tian et al., “Metabolome analysis reveals a role for glyceraldehyde 3-phosphate dehydrogenase in the inhibition of C. thermocellum by ethanol,” &lt;i&gt;Biotechnology for Biofuels&lt;/i&gt; 10, no. 1 (2017): 276, doi:10.1186/s13068-017-0961-3."},"properties":{"noteIndex":0},"schema":"https://github.com/citation-style-language/schema/raw/master/csl-citation.json"}</w:instrText>
      </w:r>
      <w:r w:rsidR="00944E23">
        <w:rPr>
          <w:rStyle w:val="FootnoteReference"/>
        </w:rPr>
        <w:fldChar w:fldCharType="separate"/>
      </w:r>
      <w:r w:rsidR="00944E23" w:rsidRPr="00944E23">
        <w:rPr>
          <w:bCs/>
          <w:noProof/>
        </w:rPr>
        <w:t>(Tian et al., 2017)</w:t>
      </w:r>
      <w:r w:rsidR="00944E23">
        <w:rPr>
          <w:rStyle w:val="FootnoteReference"/>
        </w:rPr>
        <w:fldChar w:fldCharType="end"/>
      </w:r>
      <w:r>
        <w:t xml:space="preserve"> was used. </w:t>
      </w:r>
      <w:r w:rsidR="00942062">
        <w:t>Briefly, a single 200 ml culture was grown to an OD</w:t>
      </w:r>
      <w:r w:rsidR="00942062" w:rsidRPr="00942062">
        <w:rPr>
          <w:vertAlign w:val="subscript"/>
        </w:rPr>
        <w:t>600</w:t>
      </w:r>
      <w:r w:rsidR="00942062">
        <w:t xml:space="preserve"> of 0.1, the culture was split in half. Starting at 2 hours (</w:t>
      </w:r>
      <w:proofErr w:type="spellStart"/>
      <w:r w:rsidR="00942062">
        <w:t>post split</w:t>
      </w:r>
      <w:proofErr w:type="spellEnd"/>
      <w:r w:rsidR="00942062">
        <w:t>), ethanol was added to one culture at a rate of about 9 g/L/h. No ethanol was added to the other culture.</w:t>
      </w:r>
      <w:r w:rsidR="00944E23">
        <w:t xml:space="preserve"> At 3 timepoints (T=2.0h, 3.8h and 5.9h), each culture was sampled twice for intracellular metabolites using previously described protocols </w:t>
      </w:r>
      <w:r w:rsidR="00944E23">
        <w:rPr>
          <w:rStyle w:val="FootnoteReference"/>
        </w:rPr>
        <w:fldChar w:fldCharType="begin" w:fldLock="1"/>
      </w:r>
      <w:r w:rsidR="00944E23">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id":"ITEM-2","itemData":{"DOI":"10.1021/ac070470c","ISBN":"0003-2700","author":[{"dropping-particle":"","family":"Rabinowitz","given":"Joshua D","non-dropping-particle":"","parse-names":false,"suffix":""},{"dropping-particle":"","family":"Kimball","given":"Elizabeth","non-dropping-particle":"","parse-names":false,"suffix":""}],"container-title":"Analytical Chemistry","id":"ITEM-2","issue":"16","issued":{"date-parts":[["2007"]]},"note":"doi: 10.1021/ac070470c","page":"6167-6173","publisher":"American Chemical Society","title":"Acidic Acetonitrile for Cellular Metabolome Extraction from Escherichia coli","type":"article-journal","volume":"79"},"uris":["http://www.mendeley.com/documents/?uuid=91843d77-7a5e-44a0-a198-caa2b629d98e"]},{"id":"ITEM-3","itemData":{"DOI":"10.1016/j.ymben.2016.11.011","ISSN":"10967176","PMID":"27914869","abstract":"The metabolism of Clostridium thermocellum is notable in that it assimilates sugar via the EMP pathway but does not possess a pyruvate kinase enzyme. In the wild type organism, there are three proposed pathways for conversion of phosphoenolpyruvate (PEP) to pyruvate, which differ in their cofactor usage. One path uses pyruvate phosphate dikinase (PPDK), another pathway uses the combined activities of PEP carboxykinase (PEPCK) and oxaloacetate decarboxylase (ODC). Yet another pathway, the malate shunt, uses the combined activities of PEPCK, malate dehydrogenase and malic enzyme. First we showed that there is no flux through the ODC pathway by enzyme assay. Flux through the remaining two pathways (PPDK and malate shunt) was determined by dynamic 13C labeling. In the wild-type strain, the malate shunt accounts for about 33 ± 2% of the flux to pyruvate, with the remainder via the PPDK pathway. Deletion of the ppdk gene resulted in a redirection of all pyruvate flux through the malate shunt. This provides the first direct evidence of the in-vivo function of the malate shunt.","author":[{"dropping-particle":"","family":"Olson","given":"Daniel G.","non-dropping-particle":"","parse-names":false,"suffix":""},{"dropping-particle":"","family":"Hörl","given":"Manuel","non-dropping-particle":"","parse-names":false,"suffix":""},{"dropping-particle":"","family":"Fuhrer","given":"Tobias","non-dropping-particle":"","parse-names":false,"suffix":""},{"dropping-particle":"","family":"Cui","given":"Jingxuan","non-dropping-particle":"","parse-names":false,"suffix":""},{"dropping-particle":"","family":"Zhou","given":"Jilai","non-dropping-particle":"","parse-names":false,"suffix":""},{"dropping-particle":"","family":"Maloney","given":"Marybeth I.","non-dropping-particle":"","parse-names":false,"suffix":""},{"dropping-particle":"","family":"Amador-Noguez","given":"Daniel","non-dropping-particle":"","parse-names":false,"suffix":""},{"dropping-particle":"","family":"Tian","given":"Liang","non-dropping-particle":"","parse-names":false,"suffix":""},{"dropping-particle":"","family":"Sauer","given":"Uwe","non-dropping-particle":"","parse-names":false,"suffix":""},{"dropping-particle":"","family":"Lynd","given":"Lee R.","non-dropping-particle":"","parse-names":false,"suffix":""}],"container-title":"Metabolic Engineering","id":"ITEM-3","issue":"November 2016","issued":{"date-parts":[["2016"]]},"page":"169-180","publisher":"Elsevier","title":"Glycolysis without pyruvate kinase in &lt;i&gt;Clostridium thermocellum&lt;/i&gt;","type":"article-journal","volume":"39"},"uris":["http://www.mendeley.com/documents/?uuid=bcbe601f-f662-44b9-a1b6-a0d5793e7c14"]}],"mendeley":{"formattedCitation":"(Olson et al., 2016; Rabinowitz and Kimball, 2007; Tian et al., 2017)","plainTextFormattedCitation":"(Olson et al., 2016; Rabinowitz and Kimball, 2007; Tian et al., 2017)","previouslyFormattedCitation":"Ibid.; Joshua D Rabinowitz and Elizabeth Kimball, “Acidic Acetonitrile for Cellular Metabolome Extraction from Escherichia coli,” &lt;i&gt;Analytical Chemistry&lt;/i&gt; 79, no. 16 (2007): 6167–73, doi:10.1021/ac070470c; Daniel G. Olson et al., “Glycolysis without pyruvate kinase in &lt;i&gt;Clostridium thermocellum&lt;/i&gt;,” &lt;i&gt;Metabolic Engineering&lt;/i&gt; 39, no. November 2016 (2016): 169–80, doi:10.1016/j.ymben.2016.11.011."},"properties":{"noteIndex":0},"schema":"https://github.com/citation-style-language/schema/raw/master/csl-citation.json"}</w:instrText>
      </w:r>
      <w:r w:rsidR="00944E23">
        <w:rPr>
          <w:rStyle w:val="FootnoteReference"/>
        </w:rPr>
        <w:fldChar w:fldCharType="separate"/>
      </w:r>
      <w:r w:rsidR="00944E23" w:rsidRPr="00944E23">
        <w:rPr>
          <w:bCs/>
          <w:noProof/>
        </w:rPr>
        <w:t>(Olson et al., 2016; Rabinowitz and Kimball, 2007; Tian et al., 2017)</w:t>
      </w:r>
      <w:r w:rsidR="00944E23">
        <w:rPr>
          <w:rStyle w:val="FootnoteReference"/>
        </w:rPr>
        <w:fldChar w:fldCharType="end"/>
      </w:r>
      <w:r w:rsidR="00944E23">
        <w:t>, and once for extracellular metabolites (</w:t>
      </w:r>
      <w:r w:rsidR="00944E23" w:rsidRPr="00944E23">
        <w:rPr>
          <w:highlight w:val="yellow"/>
        </w:rPr>
        <w:t xml:space="preserve">supplemental table </w:t>
      </w:r>
      <w:commentRangeStart w:id="0"/>
      <w:r w:rsidR="00944E23" w:rsidRPr="00944E23">
        <w:rPr>
          <w:highlight w:val="yellow"/>
        </w:rPr>
        <w:t>BBB</w:t>
      </w:r>
      <w:commentRangeEnd w:id="0"/>
      <w:r w:rsidR="00944E23">
        <w:rPr>
          <w:rStyle w:val="CommentReference"/>
        </w:rPr>
        <w:commentReference w:id="0"/>
      </w:r>
      <w:r w:rsidR="00944E23">
        <w:t>).</w:t>
      </w:r>
    </w:p>
    <w:p w14:paraId="7298D1C7" w14:textId="0C54373B" w:rsidR="00A416F9" w:rsidRDefault="00A416F9" w:rsidP="00A416F9">
      <w:r>
        <w:t>The raw data was re-processed with El-Maven 0.5.0 and quantified using external standards (</w:t>
      </w:r>
      <w:commentRangeStart w:id="1"/>
      <w:r w:rsidRPr="00A416F9">
        <w:rPr>
          <w:highlight w:val="yellow"/>
        </w:rPr>
        <w:t>supplemental figure AAA</w:t>
      </w:r>
      <w:commentRangeEnd w:id="1"/>
      <w:r>
        <w:rPr>
          <w:rStyle w:val="CommentReference"/>
        </w:rPr>
        <w:commentReference w:id="1"/>
      </w:r>
      <w:r>
        <w:t>).</w:t>
      </w:r>
      <w:r>
        <w:t xml:space="preserve"> Since the response was not linear over the full range of the standards (0.1 µM to 100 µM), quantification was performed by piecewise linear interpolation.</w:t>
      </w:r>
      <w:r w:rsidR="00942062">
        <w:t xml:space="preserve"> </w:t>
      </w:r>
    </w:p>
    <w:p w14:paraId="6D979725" w14:textId="34CA864E" w:rsidR="00942062" w:rsidRDefault="00942062" w:rsidP="00A416F9"/>
    <w:p w14:paraId="588F3840" w14:textId="096DC7E5" w:rsidR="00942062" w:rsidRDefault="00942062" w:rsidP="00A416F9"/>
    <w:p w14:paraId="539A4B18" w14:textId="4D191525" w:rsidR="00942062" w:rsidRPr="00A416F9" w:rsidRDefault="00942062" w:rsidP="00942062">
      <w:pPr>
        <w:pStyle w:val="Heading1"/>
      </w:pPr>
      <w:r>
        <w:t>Results and discussion</w:t>
      </w:r>
      <w:bookmarkStart w:id="2" w:name="_GoBack"/>
      <w:bookmarkEnd w:id="2"/>
    </w:p>
    <w:p w14:paraId="5CB3DD9C" w14:textId="560F5D54" w:rsidR="00A416F9" w:rsidRDefault="00A416F9" w:rsidP="00942062">
      <w:pPr>
        <w:pStyle w:val="Heading2"/>
      </w:pPr>
      <w:r>
        <w:t>Description of metabolite dataset</w:t>
      </w:r>
    </w:p>
    <w:p w14:paraId="55EF4EBC" w14:textId="472D32DD" w:rsidR="0072129E" w:rsidRDefault="00A416F9">
      <w:r>
        <w:t xml:space="preserve">Dataset 2 from Tian et al. 2017 </w:t>
      </w:r>
      <w:r w:rsidR="00944E23">
        <w:rPr>
          <w:rStyle w:val="FootnoteReference"/>
        </w:rPr>
        <w:fldChar w:fldCharType="begin" w:fldLock="1"/>
      </w:r>
      <w:r w:rsidR="00944E23">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2017)","previouslyFormattedCitation":"Tian et al., “Metabolome Analysis Reveals a Role for Glyceraldehyde 3-Phosphate Dehydrogenase in the Inhibition of C. Thermocellum by Ethanol.”"},"properties":{"noteIndex":0},"schema":"https://github.com/citation-style-language/schema/raw/master/csl-citation.json"}</w:instrText>
      </w:r>
      <w:r w:rsidR="00944E23">
        <w:rPr>
          <w:rStyle w:val="FootnoteReference"/>
        </w:rPr>
        <w:fldChar w:fldCharType="separate"/>
      </w:r>
      <w:r w:rsidR="00944E23" w:rsidRPr="00944E23">
        <w:rPr>
          <w:noProof/>
        </w:rPr>
        <w:t>(Tian et al., 2017)</w:t>
      </w:r>
      <w:r w:rsidR="00944E23">
        <w:rPr>
          <w:rStyle w:val="FootnoteReference"/>
        </w:rPr>
        <w:fldChar w:fldCharType="end"/>
      </w:r>
      <w:r>
        <w:t xml:space="preserve"> was used. </w:t>
      </w:r>
      <w:r w:rsidR="00942062">
        <w:t xml:space="preserve">This dataset represents intracellular metabolites collected from WT </w:t>
      </w:r>
      <w:r w:rsidR="00942062" w:rsidRPr="00942062">
        <w:rPr>
          <w:i/>
        </w:rPr>
        <w:t>C. thermocellum</w:t>
      </w:r>
      <w:r w:rsidR="00942062">
        <w:t xml:space="preserve"> growing with and without the presence of added ethanol.</w:t>
      </w:r>
    </w:p>
    <w:sectPr w:rsidR="007212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Olson" w:date="2019-01-15T15:02:00Z" w:initials="DO">
    <w:p w14:paraId="5BA51B72" w14:textId="4D436717" w:rsidR="00944E23" w:rsidRDefault="00944E23">
      <w:pPr>
        <w:pStyle w:val="CommentText"/>
      </w:pPr>
      <w:r>
        <w:rPr>
          <w:rStyle w:val="CommentReference"/>
        </w:rPr>
        <w:annotationRef/>
      </w:r>
      <w:r>
        <w:t>Table of extracellular metabolites</w:t>
      </w:r>
    </w:p>
  </w:comment>
  <w:comment w:id="1" w:author="Dan Olson" w:date="2019-01-15T14:47:00Z" w:initials="DO">
    <w:p w14:paraId="33A115EC" w14:textId="046F9F0E" w:rsidR="00A416F9" w:rsidRDefault="00A416F9">
      <w:pPr>
        <w:pStyle w:val="CommentText"/>
      </w:pPr>
      <w:r>
        <w:rPr>
          <w:rStyle w:val="CommentReference"/>
        </w:rPr>
        <w:annotationRef/>
      </w:r>
      <w:r>
        <w:t>Figure with standard curves for all metabolites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A51B72" w15:done="0"/>
  <w15:commentEx w15:paraId="33A11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A51B72" w16cid:durableId="1FE87476"/>
  <w16cid:commentId w16cid:paraId="33A115EC" w16cid:durableId="1FE87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1E5EB" w14:textId="77777777" w:rsidR="006B17EA" w:rsidRDefault="006B17EA" w:rsidP="00A416F9">
      <w:pPr>
        <w:spacing w:after="0" w:line="240" w:lineRule="auto"/>
      </w:pPr>
      <w:r>
        <w:separator/>
      </w:r>
    </w:p>
  </w:endnote>
  <w:endnote w:type="continuationSeparator" w:id="0">
    <w:p w14:paraId="2C3C5A71" w14:textId="77777777" w:rsidR="006B17EA" w:rsidRDefault="006B17EA" w:rsidP="00A4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DB3AC" w14:textId="77777777" w:rsidR="006B17EA" w:rsidRDefault="006B17EA" w:rsidP="00A416F9">
      <w:pPr>
        <w:spacing w:after="0" w:line="240" w:lineRule="auto"/>
      </w:pPr>
      <w:r>
        <w:separator/>
      </w:r>
    </w:p>
  </w:footnote>
  <w:footnote w:type="continuationSeparator" w:id="0">
    <w:p w14:paraId="07EDF71E" w14:textId="77777777" w:rsidR="006B17EA" w:rsidRDefault="006B17EA" w:rsidP="00A416F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EF"/>
    <w:rsid w:val="002A60EF"/>
    <w:rsid w:val="006B17EA"/>
    <w:rsid w:val="0072129E"/>
    <w:rsid w:val="00942062"/>
    <w:rsid w:val="00944E23"/>
    <w:rsid w:val="00A4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15B38"/>
  <w15:chartTrackingRefBased/>
  <w15:docId w15:val="{8BCC544A-1FD4-485C-8BFB-361F6A07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16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16F9"/>
    <w:rPr>
      <w:sz w:val="20"/>
      <w:szCs w:val="20"/>
    </w:rPr>
  </w:style>
  <w:style w:type="character" w:styleId="FootnoteReference">
    <w:name w:val="footnote reference"/>
    <w:basedOn w:val="DefaultParagraphFont"/>
    <w:uiPriority w:val="99"/>
    <w:semiHidden/>
    <w:unhideWhenUsed/>
    <w:rsid w:val="00A416F9"/>
    <w:rPr>
      <w:vertAlign w:val="superscript"/>
    </w:rPr>
  </w:style>
  <w:style w:type="character" w:customStyle="1" w:styleId="Heading1Char">
    <w:name w:val="Heading 1 Char"/>
    <w:basedOn w:val="DefaultParagraphFont"/>
    <w:link w:val="Heading1"/>
    <w:uiPriority w:val="9"/>
    <w:rsid w:val="00A416F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416F9"/>
    <w:rPr>
      <w:sz w:val="16"/>
      <w:szCs w:val="16"/>
    </w:rPr>
  </w:style>
  <w:style w:type="paragraph" w:styleId="CommentText">
    <w:name w:val="annotation text"/>
    <w:basedOn w:val="Normal"/>
    <w:link w:val="CommentTextChar"/>
    <w:uiPriority w:val="99"/>
    <w:semiHidden/>
    <w:unhideWhenUsed/>
    <w:rsid w:val="00A416F9"/>
    <w:pPr>
      <w:spacing w:line="240" w:lineRule="auto"/>
    </w:pPr>
    <w:rPr>
      <w:sz w:val="20"/>
      <w:szCs w:val="20"/>
    </w:rPr>
  </w:style>
  <w:style w:type="character" w:customStyle="1" w:styleId="CommentTextChar">
    <w:name w:val="Comment Text Char"/>
    <w:basedOn w:val="DefaultParagraphFont"/>
    <w:link w:val="CommentText"/>
    <w:uiPriority w:val="99"/>
    <w:semiHidden/>
    <w:rsid w:val="00A416F9"/>
    <w:rPr>
      <w:sz w:val="20"/>
      <w:szCs w:val="20"/>
    </w:rPr>
  </w:style>
  <w:style w:type="paragraph" w:styleId="CommentSubject">
    <w:name w:val="annotation subject"/>
    <w:basedOn w:val="CommentText"/>
    <w:next w:val="CommentText"/>
    <w:link w:val="CommentSubjectChar"/>
    <w:uiPriority w:val="99"/>
    <w:semiHidden/>
    <w:unhideWhenUsed/>
    <w:rsid w:val="00A416F9"/>
    <w:rPr>
      <w:b/>
      <w:bCs/>
    </w:rPr>
  </w:style>
  <w:style w:type="character" w:customStyle="1" w:styleId="CommentSubjectChar">
    <w:name w:val="Comment Subject Char"/>
    <w:basedOn w:val="CommentTextChar"/>
    <w:link w:val="CommentSubject"/>
    <w:uiPriority w:val="99"/>
    <w:semiHidden/>
    <w:rsid w:val="00A416F9"/>
    <w:rPr>
      <w:b/>
      <w:bCs/>
      <w:sz w:val="20"/>
      <w:szCs w:val="20"/>
    </w:rPr>
  </w:style>
  <w:style w:type="paragraph" w:styleId="BalloonText">
    <w:name w:val="Balloon Text"/>
    <w:basedOn w:val="Normal"/>
    <w:link w:val="BalloonTextChar"/>
    <w:uiPriority w:val="99"/>
    <w:semiHidden/>
    <w:unhideWhenUsed/>
    <w:rsid w:val="00A41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6F9"/>
    <w:rPr>
      <w:rFonts w:ascii="Segoe UI" w:hAnsi="Segoe UI" w:cs="Segoe UI"/>
      <w:sz w:val="18"/>
      <w:szCs w:val="18"/>
    </w:rPr>
  </w:style>
  <w:style w:type="character" w:customStyle="1" w:styleId="Heading2Char">
    <w:name w:val="Heading 2 Char"/>
    <w:basedOn w:val="DefaultParagraphFont"/>
    <w:link w:val="Heading2"/>
    <w:uiPriority w:val="9"/>
    <w:rsid w:val="009420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31FB-D163-4F2F-A300-0A06CC794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Olson</dc:creator>
  <cp:keywords/>
  <dc:description/>
  <cp:lastModifiedBy>Dan Olson</cp:lastModifiedBy>
  <cp:revision>2</cp:revision>
  <dcterms:created xsi:type="dcterms:W3CDTF">2019-01-15T19:38:00Z</dcterms:created>
  <dcterms:modified xsi:type="dcterms:W3CDTF">2019-01-15T20:04:00Z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http://csl.mendeley.com/styles/23524721/chicago-DanOlsonCV-2</vt:lpwstr>
  </property>
  <property fmtid="{D5CDD505-2E9C-101B-9397-08002B2CF9AE}" pid="11" name="Mendeley Recent Style Name 4_1">
    <vt:lpwstr>Daniel Olson CV style - Daniel Olson</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http://www.zotero.org/styles/metabolic-engineering</vt:lpwstr>
  </property>
  <property fmtid="{D5CDD505-2E9C-101B-9397-08002B2CF9AE}" pid="15" name="Mendeley Recent Style Name 6_1">
    <vt:lpwstr>Metabolic Engineering</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e26c3186-a820-3c30-bdec-77488339eadc</vt:lpwstr>
  </property>
  <property fmtid="{D5CDD505-2E9C-101B-9397-08002B2CF9AE}" pid="24" name="Mendeley Citation Style_1">
    <vt:lpwstr>http://www.zotero.org/styles/metabolic-engineering</vt:lpwstr>
  </property>
</Properties>
</file>