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C1DCE" w14:textId="01B25E2A" w:rsidR="00942062" w:rsidRDefault="00942062" w:rsidP="00A416F9">
      <w:pPr>
        <w:pStyle w:val="Heading1"/>
      </w:pPr>
      <w:r>
        <w:t>Materials and methods</w:t>
      </w:r>
    </w:p>
    <w:p w14:paraId="267C5262" w14:textId="67D661BF" w:rsidR="00A416F9" w:rsidRDefault="00A416F9" w:rsidP="00942062">
      <w:pPr>
        <w:pStyle w:val="Heading2"/>
      </w:pPr>
      <w:r>
        <w:t>Metabolite quantification</w:t>
      </w:r>
    </w:p>
    <w:p w14:paraId="7B445C99" w14:textId="512DA347" w:rsidR="00D46191" w:rsidRDefault="00A416F9" w:rsidP="00A416F9">
      <w:r>
        <w:t xml:space="preserve">Dataset 2 from Tian et al. 2017 </w:t>
      </w:r>
      <w:r w:rsidR="00944E23">
        <w:rPr>
          <w:rStyle w:val="FootnoteReference"/>
        </w:rPr>
        <w:fldChar w:fldCharType="begin" w:fldLock="1"/>
      </w:r>
      <w:r w:rsidR="007375F6">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ethanol","type":"article-journal","volume":"10"},"uris":["http://www.mendeley.com/documents/?uuid=2b7ce93c-349f-4c80-86b1-440e8de35809"]}],"mendeley":{"formattedCitation":"(Tian et al., 2017)","plainTextFormattedCitation":"(Tian et al., 2017)","previouslyFormattedCitation":"(Tian et al., 2017)"},"properties":{"noteIndex":0},"schema":"https://github.com/citation-style-language/schema/raw/master/csl-citation.json"}</w:instrText>
      </w:r>
      <w:r w:rsidR="00944E23">
        <w:rPr>
          <w:rStyle w:val="FootnoteReference"/>
        </w:rPr>
        <w:fldChar w:fldCharType="separate"/>
      </w:r>
      <w:r w:rsidR="00944E23" w:rsidRPr="00944E23">
        <w:rPr>
          <w:bCs/>
          <w:noProof/>
        </w:rPr>
        <w:t>(Tian et al., 2017)</w:t>
      </w:r>
      <w:r w:rsidR="00944E23">
        <w:rPr>
          <w:rStyle w:val="FootnoteReference"/>
        </w:rPr>
        <w:fldChar w:fldCharType="end"/>
      </w:r>
      <w:r>
        <w:t xml:space="preserve"> was used. </w:t>
      </w:r>
      <w:r w:rsidR="00942062">
        <w:t>Briefly, a single 200 ml culture was grown to an OD</w:t>
      </w:r>
      <w:r w:rsidR="00942062" w:rsidRPr="00942062">
        <w:rPr>
          <w:vertAlign w:val="subscript"/>
        </w:rPr>
        <w:t>600</w:t>
      </w:r>
      <w:r w:rsidR="00942062">
        <w:t xml:space="preserve"> of 0.1, the culture was split in half. Starting at 2 hours (</w:t>
      </w:r>
      <w:proofErr w:type="spellStart"/>
      <w:r w:rsidR="00942062">
        <w:t>post split</w:t>
      </w:r>
      <w:proofErr w:type="spellEnd"/>
      <w:r w:rsidR="00942062">
        <w:t>), ethanol was added to one culture at a rate of about 9 g/L/h. No ethanol was added to the other culture.</w:t>
      </w:r>
      <w:r w:rsidR="00944E23">
        <w:t xml:space="preserve"> At 3 timepoints (T=2.0h, 3.8h and 5.9h), each culture was sampled twice for intracellular metabolites using previously described protocols </w:t>
      </w:r>
      <w:r w:rsidR="00944E23">
        <w:rPr>
          <w:rStyle w:val="FootnoteReference"/>
        </w:rPr>
        <w:fldChar w:fldCharType="begin" w:fldLock="1"/>
      </w:r>
      <w:r w:rsidR="007375F6">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id":"ITEM-2","itemData":{"DOI":"10.1021/ac070470c","ISBN":"0003-2700","author":[{"dropping-particle":"","family":"Rabinowitz","given":"Joshua D","non-dropping-particle":"","parse-names":false,"suffix":""},{"dropping-particle":"","family":"Kimball","given":"Elizabeth","non-dropping-particle":"","parse-names":false,"suffix":""}],"container-title":"Analytical Chemistry","id":"ITEM-2","issue":"16","issued":{"date-parts":[["2007"]]},"note":"doi: 10.1021/ac070470c","page":"6167-6173","publisher":"American Chemical Society","title":"Acidic Acetonitrile for Cellular Metabolome Extraction from Escherichia coli","type":"article-journal","volume":"79"},"uris":["http://www.mendeley.com/documents/?uuid=91843d77-7a5e-44a0-a198-caa2b629d98e"]},{"id":"ITEM-3","itemData":{"DOI":"10.1016/j.ymben.2016.11.011","ISSN":"10967176","PMID":"27914869","abstract":"The metabolism of Clostridium thermocellum is notable in that it assimilates sugar via the EMP pathway but does not possess a pyruvate kinase enzyme. In the wild type organism, there are three proposed pathways for conversion of phosphoenolpyruvate (PEP) to pyruvate, which differ in their cofactor usage. One path uses pyruvate phosphate dikinase (PPDK), another pathway uses the combined activities of PEP carboxykinase (PEPCK) and oxaloacetate decarboxylase (ODC). Yet another pathway, the malate shunt, uses the combined activities of PEPCK, malate dehydrogenase and malic enzyme. First we showed that there is no flux through the ODC pathway by enzyme assay. Flux through the remaining two pathways (PPDK and malate shunt) was determined by dynamic 13C labeling. In the wild-type strain, the malate shunt accounts for about 33 ± 2% of the flux to pyruvate, with the remainder via the PPDK pathway. Deletion of the ppdk gene resulted in a redirection of all pyruvate flux through the malate shunt. This provides the first direct evidence of the in-vivo function of the malate shunt.","author":[{"dropping-particle":"","family":"Olson","given":"Daniel G.","non-dropping-particle":"","parse-names":false,"suffix":""},{"dropping-particle":"","family":"Hörl","given":"Manuel","non-dropping-particle":"","parse-names":false,"suffix":""},{"dropping-particle":"","family":"Fuhrer","given":"Tobias","non-dropping-particle":"","parse-names":false,"suffix":""},{"dropping-particle":"","family":"Cui","given":"Jingxuan","non-dropping-particle":"","parse-names":false,"suffix":""},{"dropping-particle":"","family":"Zhou","given":"Jilai","non-dropping-particle":"","parse-names":false,"suffix":""},{"dropping-particle":"","family":"Maloney","given":"Marybeth I.","non-dropping-particle":"","parse-names":false,"suffix":""},{"dropping-particle":"","family":"Amador-Noguez","given":"Daniel","non-dropping-particle":"","parse-names":false,"suffix":""},{"dropping-particle":"","family":"Tian","given":"Liang","non-dropping-particle":"","parse-names":false,"suffix":""},{"dropping-particle":"","family":"Sauer","given":"Uwe","non-dropping-particle":"","parse-names":false,"suffix":""},{"dropping-particle":"","family":"Lynd","given":"Lee R.","non-dropping-particle":"","parse-names":false,"suffix":""}],"container-title":"Metabolic Engineering","id":"ITEM-3","issue":"November 2016","issued":{"date-parts":[["2016"]]},"page":"169-180","publisher":"Elsevier","title":"Glycolysis without pyruvate kinase in &lt;i&gt;Clostridium thermocellum&lt;/i&gt;","type":"article-journal","volume":"39"},"uris":["http://www.mendeley.com/documents/?uuid=bcbe601f-f662-44b9-a1b6-a0d5793e7c14"]}],"mendeley":{"formattedCitation":"(Olson et al., 2016; Rabinowitz and Kimball, 2007; Tian et al., 2017)","plainTextFormattedCitation":"(Olson et al., 2016; Rabinowitz and Kimball, 2007; Tian et al., 2017)","previouslyFormattedCitation":"(Olson et al., 2016; Rabinowitz and Kimball, 2007; Tian et al., 2017)"},"properties":{"noteIndex":0},"schema":"https://github.com/citation-style-language/schema/raw/master/csl-citation.json"}</w:instrText>
      </w:r>
      <w:r w:rsidR="00944E23">
        <w:rPr>
          <w:rStyle w:val="FootnoteReference"/>
        </w:rPr>
        <w:fldChar w:fldCharType="separate"/>
      </w:r>
      <w:r w:rsidR="00944E23" w:rsidRPr="00944E23">
        <w:rPr>
          <w:bCs/>
          <w:noProof/>
        </w:rPr>
        <w:t>(Olson et al., 2016; Rabinowitz and Kimball, 2007; Tian et al., 2017)</w:t>
      </w:r>
      <w:r w:rsidR="00944E23">
        <w:rPr>
          <w:rStyle w:val="FootnoteReference"/>
        </w:rPr>
        <w:fldChar w:fldCharType="end"/>
      </w:r>
      <w:r w:rsidR="00944E23">
        <w:t>, and once for extracellular metabolites (</w:t>
      </w:r>
      <w:r w:rsidR="00944E23" w:rsidRPr="00944E23">
        <w:rPr>
          <w:highlight w:val="yellow"/>
        </w:rPr>
        <w:t xml:space="preserve">supplemental table </w:t>
      </w:r>
      <w:commentRangeStart w:id="0"/>
      <w:r w:rsidR="00944E23" w:rsidRPr="00944E23">
        <w:rPr>
          <w:highlight w:val="yellow"/>
        </w:rPr>
        <w:t>BBB</w:t>
      </w:r>
      <w:commentRangeEnd w:id="0"/>
      <w:r w:rsidR="00944E23">
        <w:rPr>
          <w:rStyle w:val="CommentReference"/>
        </w:rPr>
        <w:commentReference w:id="0"/>
      </w:r>
      <w:r w:rsidR="00944E23">
        <w:t>).</w:t>
      </w:r>
    </w:p>
    <w:p w14:paraId="42CD6167" w14:textId="77777777" w:rsidR="000F6A00" w:rsidRDefault="00A416F9" w:rsidP="00A416F9">
      <w:r>
        <w:t>The raw data was re-processed with El-Maven 0.5.0 and quantified using external standards (</w:t>
      </w:r>
      <w:commentRangeStart w:id="1"/>
      <w:r w:rsidRPr="00A416F9">
        <w:rPr>
          <w:highlight w:val="yellow"/>
        </w:rPr>
        <w:t>supplemental figure AAA</w:t>
      </w:r>
      <w:commentRangeEnd w:id="1"/>
      <w:r>
        <w:rPr>
          <w:rStyle w:val="CommentReference"/>
        </w:rPr>
        <w:commentReference w:id="1"/>
      </w:r>
      <w:r>
        <w:t>). Since the response was not linear over the full range of the standards (0.1 µM to 100 µM), quantification was performed by piecewise linear interpolation</w:t>
      </w:r>
      <w:r w:rsidR="00E95330">
        <w:t xml:space="preserve"> (</w:t>
      </w:r>
      <w:r w:rsidR="00E95330" w:rsidRPr="00E95330">
        <w:rPr>
          <w:highlight w:val="yellow"/>
        </w:rPr>
        <w:t>supplemental figure DDD</w:t>
      </w:r>
      <w:r w:rsidR="00E95330">
        <w:t>)</w:t>
      </w:r>
      <w:r>
        <w:t>.</w:t>
      </w:r>
      <w:r w:rsidR="00101A1E">
        <w:t xml:space="preserve"> </w:t>
      </w:r>
    </w:p>
    <w:p w14:paraId="1867F6CB" w14:textId="3E3DA852" w:rsidR="000F6A00" w:rsidRDefault="000F6A00" w:rsidP="00A416F9">
      <w:commentRangeStart w:id="2"/>
      <w:r>
        <w:t xml:space="preserve">Based on 4 measurements of our standard curves, our quantification error for </w:t>
      </w:r>
      <w:commentRangeEnd w:id="2"/>
      <w:r>
        <w:rPr>
          <w:rStyle w:val="CommentReference"/>
        </w:rPr>
        <w:commentReference w:id="2"/>
      </w:r>
    </w:p>
    <w:p w14:paraId="607E7EB7" w14:textId="5C1E7B2B" w:rsidR="00644933" w:rsidRDefault="00644933" w:rsidP="00A416F9">
      <w:r>
        <w:t>One significant change that we observed from the absolute quantification is that the energy charge (ATP or GTP</w:t>
      </w:r>
      <w:r w:rsidR="00E95330">
        <w:t xml:space="preserve">, calculated using </w:t>
      </w:r>
      <w:r w:rsidR="0080133D">
        <w:t>E</w:t>
      </w:r>
      <w:r w:rsidR="00E95330">
        <w:t>quation 1</w:t>
      </w:r>
      <w:r>
        <w:t xml:space="preserve">) values which had previously been calculated to be around 0.9, were actually much </w:t>
      </w:r>
      <w:r w:rsidR="002D5636">
        <w:t>lower, in the range of 0 to 0.15</w:t>
      </w:r>
      <w:r w:rsidR="0080133D">
        <w:t xml:space="preserve">, which is much lower than expected </w:t>
      </w:r>
      <w:r w:rsidR="0080133D">
        <w:fldChar w:fldCharType="begin" w:fldLock="1"/>
      </w:r>
      <w:r w:rsidR="00EB444B">
        <w:instrText>ADDIN CSL_CITATION {"citationItems":[{"id":"ITEM-1","itemData":{"DOI":"10.1021/ac070470c","ISBN":"0003-2700","author":[{"dropping-particle":"","family":"Rabinowitz","given":"Joshua D","non-dropping-particle":"","parse-names":false,"suffix":""},{"dropping-particle":"","family":"Kimball","given":"Elizabeth","non-dropping-particle":"","parse-names":false,"suffix":""}],"container-title":"Analytical Chemistry","id":"ITEM-1","issue":"16","issued":{"date-parts":[["2007"]]},"note":"doi: 10.1021/ac070470c","page":"6167-6173","publisher":"American Chemical Society","title":"Acidic Acetonitrile for Cellular Metabolome Extraction from Escherichia coli","type":"article-journal","volume":"79"},"uris":["http://www.mendeley.com/documents/?uuid=91843d77-7a5e-44a0-a198-caa2b629d98e"]}],"mendeley":{"formattedCitation":"(Rabinowitz and Kimball, 2007)","plainTextFormattedCitation":"(Rabinowitz and Kimball, 2007)","previouslyFormattedCitation":"(Rabinowitz and Kimball, 2007)"},"properties":{"noteIndex":0},"schema":"https://github.com/citation-style-language/schema/raw/master/csl-citation.json"}</w:instrText>
      </w:r>
      <w:r w:rsidR="0080133D">
        <w:fldChar w:fldCharType="separate"/>
      </w:r>
      <w:r w:rsidR="0080133D" w:rsidRPr="0080133D">
        <w:rPr>
          <w:noProof/>
        </w:rPr>
        <w:t>(Rabinowitz and Kimball, 2007)</w:t>
      </w:r>
      <w:r w:rsidR="0080133D">
        <w:fldChar w:fldCharType="end"/>
      </w:r>
      <w:r w:rsidR="0080133D">
        <w:t>, and were excluded from analysis.</w:t>
      </w:r>
    </w:p>
    <w:p w14:paraId="2CFD3ADA" w14:textId="0FF7309E" w:rsidR="00644933" w:rsidRDefault="002752FC" w:rsidP="00A416F9">
      <w:pPr>
        <w:rPr>
          <w:rFonts w:eastAsiaTheme="minorEastAsia"/>
        </w:rPr>
      </w:pPr>
      <m:oMath>
        <m:f>
          <m:fPr>
            <m:ctrlPr>
              <w:rPr>
                <w:rFonts w:ascii="Cambria Math" w:hAnsi="Cambria Math"/>
                <w:i/>
              </w:rPr>
            </m:ctrlPr>
          </m:fPr>
          <m:num>
            <m:r>
              <w:rPr>
                <w:rFonts w:ascii="Cambria Math" w:hAnsi="Cambria Math"/>
              </w:rPr>
              <m:t xml:space="preserve">nTP+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nDP</m:t>
            </m:r>
          </m:num>
          <m:den>
            <m:r>
              <w:rPr>
                <w:rFonts w:ascii="Cambria Math" w:hAnsi="Cambria Math"/>
              </w:rPr>
              <m:t>nTP+nDP+nMP</m:t>
            </m:r>
          </m:den>
        </m:f>
      </m:oMath>
      <w:r w:rsidR="00E95330">
        <w:rPr>
          <w:rFonts w:eastAsiaTheme="minorEastAsia"/>
        </w:rPr>
        <w:t xml:space="preserve"> </w:t>
      </w:r>
      <w:r w:rsidR="00E95330">
        <w:rPr>
          <w:rFonts w:eastAsiaTheme="minorEastAsia"/>
        </w:rPr>
        <w:tab/>
        <w:t>(Equation 1)</w:t>
      </w:r>
    </w:p>
    <w:p w14:paraId="1910D8BF" w14:textId="1B62B3AD" w:rsidR="0080133D" w:rsidRDefault="0080133D" w:rsidP="00A416F9">
      <w:r>
        <w:t xml:space="preserve">In addition, NADH was not observed for the no ethanol control cultures. Since NADH and NAD+ form a cofactor pair, both metabolites were excluded from analysis. </w:t>
      </w:r>
    </w:p>
    <w:p w14:paraId="36E32AD1" w14:textId="5AB7D3AC" w:rsidR="001A483D" w:rsidRDefault="001A483D" w:rsidP="00A416F9">
      <w:r>
        <w:t xml:space="preserve">Since metabolites are typically diluted during the quenching and extraction process, to determine the </w:t>
      </w:r>
      <w:r w:rsidRPr="001A483D">
        <w:rPr>
          <w:i/>
        </w:rPr>
        <w:t>intracellular</w:t>
      </w:r>
      <w:r>
        <w:t xml:space="preserve"> concentration of metabolites, the measured concentration was </w:t>
      </w:r>
      <w:r w:rsidR="00E95330">
        <w:t>adjusted using Equation 2</w:t>
      </w:r>
      <w:r w:rsidR="00F171EB">
        <w:t>.</w:t>
      </w:r>
    </w:p>
    <w:p w14:paraId="7B31F641" w14:textId="0FA32548" w:rsidR="001A483D" w:rsidRDefault="00E95330" w:rsidP="00A416F9">
      <w:pPr>
        <w:rPr>
          <w:rFonts w:eastAsiaTheme="minorEastAsia"/>
        </w:rPr>
      </w:pPr>
      <m:oMath>
        <m:r>
          <w:rPr>
            <w:rFonts w:ascii="Cambria Math" w:hAnsi="Cambria Math"/>
          </w:rPr>
          <m:t>concentration ×</m:t>
        </m:r>
        <m:f>
          <m:fPr>
            <m:ctrlPr>
              <w:rPr>
                <w:rFonts w:ascii="Cambria Math" w:hAnsi="Cambria Math"/>
                <w:i/>
              </w:rPr>
            </m:ctrlPr>
          </m:fPr>
          <m:num>
            <m:r>
              <w:rPr>
                <w:rFonts w:ascii="Cambria Math" w:hAnsi="Cambria Math"/>
              </w:rPr>
              <m:t>1500 ul extraction solvent volume</m:t>
            </m:r>
          </m:num>
          <m:den>
            <m:r>
              <w:rPr>
                <w:rFonts w:ascii="Cambria Math" w:hAnsi="Cambria Math"/>
              </w:rPr>
              <m:t xml:space="preserve">intracellular volume </m:t>
            </m:r>
            <m:d>
              <m:dPr>
                <m:ctrlPr>
                  <w:rPr>
                    <w:rFonts w:ascii="Cambria Math" w:hAnsi="Cambria Math"/>
                    <w:i/>
                  </w:rPr>
                </m:ctrlPr>
              </m:dPr>
              <m:e>
                <m:r>
                  <w:rPr>
                    <w:rFonts w:ascii="Cambria Math" w:hAnsi="Cambria Math"/>
                  </w:rPr>
                  <m:t>ul</m:t>
                </m:r>
              </m:e>
            </m:d>
          </m:den>
        </m:f>
        <m:r>
          <w:rPr>
            <w:rFonts w:ascii="Cambria Math" w:hAnsi="Cambria Math"/>
          </w:rPr>
          <m:t xml:space="preserve"> × </m:t>
        </m:r>
        <m:f>
          <m:fPr>
            <m:ctrlPr>
              <w:rPr>
                <w:rFonts w:ascii="Cambria Math" w:hAnsi="Cambria Math"/>
                <w:i/>
              </w:rPr>
            </m:ctrlPr>
          </m:fPr>
          <m:num>
            <m:r>
              <w:rPr>
                <w:rFonts w:ascii="Cambria Math" w:hAnsi="Cambria Math"/>
              </w:rPr>
              <m:t>100 ul resuspension volume</m:t>
            </m:r>
          </m:num>
          <m:den>
            <m:r>
              <w:rPr>
                <w:rFonts w:ascii="Cambria Math" w:hAnsi="Cambria Math"/>
              </w:rPr>
              <m:t>300 ul extraction solvent</m:t>
            </m:r>
          </m:den>
        </m:f>
        <m:r>
          <w:rPr>
            <w:rFonts w:ascii="Cambria Math" w:hAnsi="Cambria Math"/>
          </w:rPr>
          <m:t>=intracellular concentration</m:t>
        </m:r>
      </m:oMath>
      <w:r>
        <w:rPr>
          <w:rFonts w:eastAsiaTheme="minorEastAsia"/>
        </w:rPr>
        <w:t xml:space="preserve"> </w:t>
      </w:r>
      <w:r>
        <w:rPr>
          <w:rFonts w:eastAsiaTheme="minorEastAsia"/>
        </w:rPr>
        <w:tab/>
        <w:t>(Equation 2)</w:t>
      </w:r>
    </w:p>
    <w:p w14:paraId="7298D1C7" w14:textId="0C436144" w:rsidR="00A416F9" w:rsidRDefault="00F171EB" w:rsidP="00A416F9">
      <w:r>
        <w:t>The</w:t>
      </w:r>
      <w:r w:rsidR="001A483D">
        <w:t xml:space="preserve"> intracellular volume is assumed to be 3.9 µL for 1 ml of a culture at an OD</w:t>
      </w:r>
      <w:r w:rsidR="001A483D" w:rsidRPr="001A483D">
        <w:rPr>
          <w:vertAlign w:val="subscript"/>
        </w:rPr>
        <w:t>600</w:t>
      </w:r>
      <w:r w:rsidR="001A483D">
        <w:t xml:space="preserve"> density of 1 </w:t>
      </w:r>
      <w:r w:rsidR="007375F6">
        <w:fldChar w:fldCharType="begin" w:fldLock="1"/>
      </w:r>
      <w:r w:rsidR="0080133D">
        <w:instrText>ADDIN CSL_CITATION {"citationItems":[{"id":"ITEM-1","itemData":{"DOI":"10.1371/journal.pone.0023126","ISBN":"1932-6203 (Electronic)\\n1932-6203 (Linking)","ISSN":"19326203","PMID":"21829590","abstract":"Systems biology modeling typically requires quantitative experimental data such as intracellular concentrations or copy numbers per cell. In order to convert population-averaging omics measurement data to intracellular concentrations or cellular copy numbers, the total cell volume and number of cells in a sample need to be known. Unfortunately, even for the often studied model bacterium Escherichia coli this information is hardly available and furthermore, certain measures (e.g. cell volume) are also dependent on the growth condition. In this work, we have determined these basic data for E. coli cells when grown in 22 different conditions so that respective data conversions can be done correctly. First, we determine growth-rate dependent cell volumes. Second, we show that in a 1 ml E. coli sample at an optical density (600 nm) of 1 the total cell volume is around 3.6 µl for all conditions tested. Third, we demonstrate that the cell number in a sample can be determined on the basis of the sample's optical density and the cells' growth rate. The data presented will allow for conversion of E. coli measurement data normalized to optical density into volumetric cellular concentrations and copy numbers per cell - two important parameters for systems biology model development.","author":[{"dropping-particle":"","family":"Volkmer","given":"Benjamin","non-dropping-particle":"","parse-names":false,"suffix":""},{"dropping-particle":"","family":"Heinemann","given":"Matthias","non-dropping-particle":"","parse-names":false,"suffix":""}],"container-title":"PLoS ONE","id":"ITEM-1","issue":"7","issued":{"date-parts":[["2011"]]},"page":"1-6","title":"Condition-Dependent cell volume and concentration of Escherichia coli to facilitate data conversion for systems biology modeling","type":"article-journal","volume":"6"},"uris":["http://www.mendeley.com/documents/?uuid=11f8d2de-8254-498e-8688-8b1a4457dab1"]}],"mendeley":{"formattedCitation":"(Volkmer and Heinemann, 2011)","plainTextFormattedCitation":"(Volkmer and Heinemann, 2011)","previouslyFormattedCitation":"(Volkmer and Heinemann, 2011)"},"properties":{"noteIndex":0},"schema":"https://github.com/citation-style-language/schema/raw/master/csl-citation.json"}</w:instrText>
      </w:r>
      <w:r w:rsidR="007375F6">
        <w:fldChar w:fldCharType="separate"/>
      </w:r>
      <w:r w:rsidR="007375F6" w:rsidRPr="007375F6">
        <w:rPr>
          <w:noProof/>
        </w:rPr>
        <w:t>(Volkmer and Heinemann, 2011)</w:t>
      </w:r>
      <w:r w:rsidR="007375F6">
        <w:fldChar w:fldCharType="end"/>
      </w:r>
      <w:r>
        <w:t>. The concentration factor was calculated separately for each extraction, based on the measured OD600 and sample volume. The target cell density (OD</w:t>
      </w:r>
      <w:r w:rsidRPr="00F171EB">
        <w:rPr>
          <w:vertAlign w:val="subscript"/>
        </w:rPr>
        <w:t>600</w:t>
      </w:r>
      <w:r>
        <w:t xml:space="preserve"> x ml) was </w:t>
      </w:r>
      <w:proofErr w:type="gramStart"/>
      <w:r>
        <w:t>2.0, but</w:t>
      </w:r>
      <w:proofErr w:type="gramEnd"/>
      <w:r>
        <w:t xml:space="preserve"> varied from 1.6 to 2.1 (</w:t>
      </w:r>
      <w:commentRangeStart w:id="3"/>
      <w:r>
        <w:t>supplemental table CCC</w:t>
      </w:r>
      <w:commentRangeEnd w:id="3"/>
      <w:r>
        <w:rPr>
          <w:rStyle w:val="CommentReference"/>
        </w:rPr>
        <w:commentReference w:id="3"/>
      </w:r>
      <w:r>
        <w:t>).</w:t>
      </w:r>
    </w:p>
    <w:p w14:paraId="59104637" w14:textId="7C9E3B5F" w:rsidR="00546EA4" w:rsidRDefault="00546EA4" w:rsidP="00A416F9">
      <w:r>
        <w:t xml:space="preserve">For ethanol, the intracellular concentration was assumed to be the same as the extracellular concentration, since the </w:t>
      </w:r>
      <w:commentRangeStart w:id="4"/>
      <w:r>
        <w:t>cytoplasmic membrane is not thought to be a barrier to ethanol diffusion</w:t>
      </w:r>
      <w:commentRangeEnd w:id="4"/>
      <w:r>
        <w:rPr>
          <w:rStyle w:val="CommentReference"/>
        </w:rPr>
        <w:commentReference w:id="4"/>
      </w:r>
      <w:r>
        <w:t>.</w:t>
      </w:r>
    </w:p>
    <w:p w14:paraId="02FEB9AB" w14:textId="1E7AC2B0" w:rsidR="00BD302D" w:rsidRDefault="00BD302D" w:rsidP="00DD22C2">
      <w:pPr>
        <w:pStyle w:val="Heading2"/>
      </w:pPr>
      <w:r>
        <w:t xml:space="preserve">Thermodynamic model </w:t>
      </w:r>
      <w:r w:rsidR="00DD22C2">
        <w:t>constraints</w:t>
      </w:r>
    </w:p>
    <w:p w14:paraId="35494D44" w14:textId="16DA3B7E" w:rsidR="00016BB9" w:rsidRDefault="00DD22C2" w:rsidP="00DD22C2">
      <w:r>
        <w:t xml:space="preserve">For performing the max-min driving-force (MDF) analysis, maximum and minimum metabolite concentration </w:t>
      </w:r>
      <w:proofErr w:type="gramStart"/>
      <w:r>
        <w:t>have to</w:t>
      </w:r>
      <w:proofErr w:type="gramEnd"/>
      <w:r>
        <w:t xml:space="preserve"> be established for non-measured metabolites. Noor et al. </w:t>
      </w:r>
      <w:r w:rsidR="00EB444B">
        <w:rPr>
          <w:rStyle w:val="FootnoteReference"/>
        </w:rPr>
        <w:fldChar w:fldCharType="begin" w:fldLock="1"/>
      </w:r>
      <w:r w:rsidR="00EB444B">
        <w:instrText>ADDIN CSL_CITATION {"citationItems":[{"id":"ITEM-1","itemData":{"DOI":"10.1371/journal.pcbi.1003483","ISBN":"1553-7358 (Electronic)\\r1553-734X (Linking)","ISSN":"15537358","PMID":"24586134","abstract":"In metabolism research, thermodynamics is usually used to determine the directionality of a reaction or the feasibility of a pathway. However, the relationship between thermodynamic potentials and fluxes is not limited to questions of directionality: thermodynamics also affects the kinetics of reactions through the flux-force relationship, which states that the logarithm of the ratio between the forward and reverse fluxes is directly proportional to the change in Gibbs energy due to a reaction (ΔrG'). Accordingly, if an enzyme catalyzes a reaction with a ΔrG' of -5.7 kJ/mol then the forward flux will be roughly ten times the reverse flux. As ΔrG' approaches equilibrium (ΔrG' = 0 kJ/mol), exponentially more enzyme counterproductively catalyzes the reverse reaction, reducing the net rate at which the reaction proceeds. Thus, the enzyme level required to achieve a given flux increases dramatically near equilibrium. Here, we develop a framework for quantifying the degree to which pathways suffer these thermodynamic limitations on flux. For each pathway, we calculate a single thermodynamically-derived metric (the Max-min Driving Force, MDF), which enables objective ranking of pathways by the degree to which their flux is constrained by low thermodynamic driving force. Our framework accounts for the effect of pH, ionic strength and metabolite concentration ranges and allows us to quantify how alterations to the pathway structure affect the pathway's thermodynamics. Applying this methodology to pathways of central metabolism sheds light on some of their features, including metabolic bypasses (e.g., fermentation pathways bypassing substrate-level phosphorylation), substrate channeling (e.g., of oxaloacetate from malate dehydrogenase to citrate synthase), and use of alternative cofactors (e.g., quinone as an electron acceptor instead of NAD). The methods presented here place another arrow in metabolic engineers' quiver, providing a simple means of evaluating the thermodynamic and kinetic quality of different pathway chemistries that produce the same molecules.","author":[{"dropping-particle":"","family":"Noor","given":"Elad","non-dropping-particle":"","parse-names":false,"suffix":""},{"dropping-particle":"","family":"Bar-Even","given":"Arren","non-dropping-particle":"","parse-names":false,"suffix":""},{"dropping-particle":"","family":"Flamholz","given":"Avi","non-dropping-particle":"","parse-names":false,"suffix":""},{"dropping-particle":"","family":"Reznik","given":"Ed","non-dropping-particle":"","parse-names":false,"suffix":""},{"dropping-particle":"","family":"Liebermeister","given":"Wolfram","non-dropping-particle":"","parse-names":false,"suffix":""},{"dropping-particle":"","family":"Milo","given":"Ron","non-dropping-particle":"","parse-names":false,"suffix":""}],"container-title":"PLoS Computational Biology","id":"ITEM-1","issue":"2","issued":{"date-parts":[["2014"]]},"title":"Pathway Thermodynamics Highlights Kinetic Obstacles in Central Metabolism","type":"article-journal","volume":"10"},"uris":["http://www.mendeley.com/documents/?uuid=32b9dd0e-7a58-4fc5-ad12-f1512545536c"]}],"mendeley":{"formattedCitation":"(Noor et al., 2014)","plainTextFormattedCitation":"(Noor et al., 2014)","previouslyFormattedCitation":"(Noor et al., 2014)"},"properties":{"noteIndex":0},"schema":"https://github.com/citation-style-language/schema/raw/master/csl-citation.json"}</w:instrText>
      </w:r>
      <w:r w:rsidR="00EB444B">
        <w:rPr>
          <w:rStyle w:val="FootnoteReference"/>
        </w:rPr>
        <w:fldChar w:fldCharType="separate"/>
      </w:r>
      <w:r w:rsidR="00EB444B" w:rsidRPr="00EB444B">
        <w:rPr>
          <w:noProof/>
        </w:rPr>
        <w:t>(Noor et al., 2014)</w:t>
      </w:r>
      <w:r w:rsidR="00EB444B">
        <w:rPr>
          <w:rStyle w:val="FootnoteReference"/>
        </w:rPr>
        <w:fldChar w:fldCharType="end"/>
      </w:r>
      <w:r w:rsidR="00EB444B">
        <w:t xml:space="preserve"> </w:t>
      </w:r>
      <w:r>
        <w:t xml:space="preserve">proposed a range of 1 µM to 10 mM, based on </w:t>
      </w:r>
      <w:r w:rsidR="00EB444B">
        <w:t xml:space="preserve">largely on the work of Bennet et al. </w:t>
      </w:r>
      <w:r w:rsidR="00EB444B">
        <w:fldChar w:fldCharType="begin" w:fldLock="1"/>
      </w:r>
      <w:r w:rsidR="00643C56">
        <w:instrText>ADDIN CSL_CITATION {"citationItems":[{"id":"ITEM-1","itemData":{"DOI":"10.1038/nchembio.186","ISBN":"1552-4469","ISSN":"15524469","PMID":"19561621","abstract":"Absolute metabolite concentrations are critical to a quantitative understanding of cellular metabolism, as concentrations impact both the free energies and rates of metabolic reactions. Here we use LC-MS/MS to quantify more than 100 metabolite concentrations in aerobic, exponentially growing Escherichia coli with glucose, glycerol or acetate as the carbon source. The total observed intracellular metabolite pool was approximately 300 mM. A small number of metabolites dominate the metabolome on a molar basis, with glutamate being the most abundant. Metabolite concentration exceeds K(m) for most substrate-enzyme pairs. An exception is lower glycolysis, where concentrations of intermediates are near the K(m) of their consuming enzymes and all reactions are near equilibrium. This may facilitate efficient flux reversibility given thermodynamic and osmotic constraints. The data and analyses presented here highlight the ability to identify organizing metabolic principles from systems-level absolute metabolite concentration data.","author":[{"dropping-particle":"","family":"Bennett","given":"Bryson D","non-dropping-particle":"","parse-names":false,"suffix":""},{"dropping-particle":"","family":"Kimball","given":"Elizabeth H","non-dropping-particle":"","parse-names":false,"suffix":""},{"dropping-particle":"","family":"Gao","given":"Melissa","non-dropping-particle":"","parse-names":false,"suffix":""},{"dropping-particle":"","family":"Osterhout","given":"Robin","non-dropping-particle":"","parse-names":false,"suffix":""},{"dropping-particle":"","family":"Dien","given":"Stephen J.","non-dropping-particle":"Van","parse-names":false,"suffix":""},{"dropping-particle":"","family":"Rabinowitz","given":"Joshua D","non-dropping-particle":"","parse-names":false,"suffix":""}],"container-title":"Nature Chemical Biology","id":"ITEM-1","issue":"8","issued":{"date-parts":[["2009"]]},"page":"593-599","title":"Absolute metabolite concentrations and implied enzyme active site occupancy in Escherichia coli","type":"article-journal","volume":"5"},"uris":["http://www.mendeley.com/documents/?uuid=22166a34-8f3f-41b8-90c3-3ef84696a824"]}],"mendeley":{"formattedCitation":"(Bennett et al., 2009)","plainTextFormattedCitation":"(Bennett et al., 2009)","previouslyFormattedCitation":"(Bennett et al., 2009)"},"properties":{"noteIndex":0},"schema":"https://github.com/citation-style-language/schema/raw/master/csl-citation.json"}</w:instrText>
      </w:r>
      <w:r w:rsidR="00EB444B">
        <w:fldChar w:fldCharType="separate"/>
      </w:r>
      <w:r w:rsidR="00EB444B" w:rsidRPr="00EB444B">
        <w:rPr>
          <w:noProof/>
        </w:rPr>
        <w:t>(Bennett et al., 2009)</w:t>
      </w:r>
      <w:r w:rsidR="00EB444B">
        <w:fldChar w:fldCharType="end"/>
      </w:r>
      <w:r w:rsidR="00EB444B">
        <w:t>.</w:t>
      </w:r>
      <w:r w:rsidR="00210757">
        <w:t xml:space="preserve"> </w:t>
      </w:r>
      <w:r w:rsidR="0008182E">
        <w:t xml:space="preserve">Based on our measurements, we decided to keep the lower </w:t>
      </w:r>
      <w:r w:rsidR="00647E3D">
        <w:t>def</w:t>
      </w:r>
      <w:r w:rsidR="002D2D6A">
        <w:t xml:space="preserve">ault concentration at 1 </w:t>
      </w:r>
      <w:proofErr w:type="gramStart"/>
      <w:r w:rsidR="002D2D6A">
        <w:t>µM, but</w:t>
      </w:r>
      <w:proofErr w:type="gramEnd"/>
      <w:r w:rsidR="002D2D6A">
        <w:t xml:space="preserve"> raise the upper default concentration from 10 mM to 20 mM.</w:t>
      </w:r>
      <w:r w:rsidR="00016BB9">
        <w:t xml:space="preserve"> </w:t>
      </w:r>
    </w:p>
    <w:p w14:paraId="668B95CE" w14:textId="5D2A27E4" w:rsidR="00DD22C2" w:rsidRDefault="00016BB9" w:rsidP="00DD22C2">
      <w:r>
        <w:lastRenderedPageBreak/>
        <w:t xml:space="preserve">Although Noor et al. fixed the ratios of several cofactor pairs, we have relaxed these constraints, since the values have not been experimentally determined for </w:t>
      </w:r>
      <w:r w:rsidRPr="00016BB9">
        <w:rPr>
          <w:i/>
        </w:rPr>
        <w:t>C. thermocellum</w:t>
      </w:r>
      <w:r>
        <w:t xml:space="preserve">. Several cofactors were excluded from analysis due to measurement problems (see Metabolite quantification section). To avoid biasing the results by including only a few measured cofactors, we opted to ignore measured values for all cofactors (ATP, ADP, AMP, GTP, GDP, NAD+. NADH, NADP+ and NADPH). Concentration ranges for cofactors were set to allow ratios between 1:100 and 100:1 for the pairs (ATP/ADP, ATP/AMP, GTP/GDP, NADH/NAD+, NADPH/NADP+, </w:t>
      </w:r>
      <w:proofErr w:type="spellStart"/>
      <w:r>
        <w:t>Fd</w:t>
      </w:r>
      <w:proofErr w:type="spellEnd"/>
      <w:r>
        <w:t>(red)/</w:t>
      </w:r>
      <w:proofErr w:type="spellStart"/>
      <w:r>
        <w:t>Fd</w:t>
      </w:r>
      <w:proofErr w:type="spellEnd"/>
      <w:r>
        <w:t xml:space="preserve">(ox)). Default bounds for each metabolite is described in </w:t>
      </w:r>
      <w:commentRangeStart w:id="5"/>
      <w:r w:rsidRPr="00B414E7">
        <w:rPr>
          <w:highlight w:val="yellow"/>
        </w:rPr>
        <w:t>Supplementary table EEE</w:t>
      </w:r>
      <w:commentRangeEnd w:id="5"/>
      <w:r>
        <w:rPr>
          <w:rStyle w:val="CommentReference"/>
        </w:rPr>
        <w:commentReference w:id="5"/>
      </w:r>
      <w:r>
        <w:t>.</w:t>
      </w:r>
    </w:p>
    <w:p w14:paraId="51201063" w14:textId="56218772" w:rsidR="00EB444B" w:rsidRDefault="00EB444B" w:rsidP="00DD22C2"/>
    <w:p w14:paraId="5F560651" w14:textId="77777777" w:rsidR="00EB444B" w:rsidRPr="00DD22C2" w:rsidRDefault="00EB444B" w:rsidP="00DD22C2"/>
    <w:p w14:paraId="588F3840" w14:textId="77A023B8" w:rsidR="00942062" w:rsidRDefault="001002B7" w:rsidP="001002B7">
      <w:pPr>
        <w:pStyle w:val="Heading2"/>
      </w:pPr>
      <w:r>
        <w:t>Stoichiometric model</w:t>
      </w:r>
    </w:p>
    <w:p w14:paraId="6963847C" w14:textId="42794DC5" w:rsidR="001002B7" w:rsidRDefault="001002B7" w:rsidP="001002B7">
      <w:commentRangeStart w:id="6"/>
      <w:r>
        <w:t xml:space="preserve">Based on XXX. </w:t>
      </w:r>
      <w:r w:rsidR="005E680C">
        <w:t>Previous stoichiometric models of C. thermocellum have ignored cofactor balance. To reintroduce some of that complexity back into our model, we…</w:t>
      </w:r>
      <w:commentRangeEnd w:id="6"/>
      <w:r w:rsidR="005E680C">
        <w:rPr>
          <w:rStyle w:val="CommentReference"/>
        </w:rPr>
        <w:commentReference w:id="6"/>
      </w:r>
    </w:p>
    <w:p w14:paraId="42A9643F" w14:textId="77778B04" w:rsidR="001D72A0" w:rsidRDefault="001D72A0" w:rsidP="001002B7"/>
    <w:p w14:paraId="401D1941" w14:textId="6909ADD5" w:rsidR="001D72A0" w:rsidRDefault="001D72A0" w:rsidP="001D72A0">
      <w:pPr>
        <w:pStyle w:val="Heading2"/>
      </w:pPr>
      <w:r>
        <w:t>EFM generation</w:t>
      </w:r>
    </w:p>
    <w:p w14:paraId="335EAACF" w14:textId="466C74B3" w:rsidR="001D72A0" w:rsidRDefault="001D72A0" w:rsidP="001D72A0">
      <w:commentRangeStart w:id="7"/>
      <w:r>
        <w:t>Constraints for EFM generation:</w:t>
      </w:r>
      <w:commentRangeEnd w:id="7"/>
      <w:r>
        <w:rPr>
          <w:rStyle w:val="CommentReference"/>
        </w:rPr>
        <w:commentReference w:id="7"/>
      </w:r>
    </w:p>
    <w:p w14:paraId="49C5CDB8" w14:textId="042F1433" w:rsidR="001D72A0" w:rsidRDefault="001D72A0" w:rsidP="001D72A0">
      <w:pPr>
        <w:pStyle w:val="ListParagraph"/>
        <w:numPr>
          <w:ilvl w:val="0"/>
          <w:numId w:val="2"/>
        </w:numPr>
      </w:pPr>
      <w:r>
        <w:t>1 cellobiose is consumed and 4 ethanol are produced</w:t>
      </w:r>
    </w:p>
    <w:p w14:paraId="1D269A6F" w14:textId="4D184FA9" w:rsidR="001D72A0" w:rsidRDefault="001D72A0" w:rsidP="001D72A0">
      <w:pPr>
        <w:pStyle w:val="ListParagraph"/>
        <w:numPr>
          <w:ilvl w:val="0"/>
          <w:numId w:val="2"/>
        </w:numPr>
      </w:pPr>
      <w:r>
        <w:t>All reactions are in the forward direction except NDK reaction and H2O exchange reaction</w:t>
      </w:r>
    </w:p>
    <w:p w14:paraId="38B4D3A5" w14:textId="0066BB7C" w:rsidR="001D72A0" w:rsidRPr="001D72A0" w:rsidRDefault="001D72A0" w:rsidP="001D72A0">
      <w:pPr>
        <w:pStyle w:val="ListParagraph"/>
        <w:numPr>
          <w:ilvl w:val="0"/>
          <w:numId w:val="2"/>
        </w:numPr>
      </w:pPr>
      <w:r>
        <w:t>Net ATP production is the sum of ATPase1 and ATPase2. 1 ATP is subtracted from this number to account for cellobiose transport.</w:t>
      </w:r>
    </w:p>
    <w:p w14:paraId="539A4B18" w14:textId="4D191525" w:rsidR="00942062" w:rsidRPr="00A416F9" w:rsidRDefault="00942062" w:rsidP="00942062">
      <w:pPr>
        <w:pStyle w:val="Heading1"/>
      </w:pPr>
      <w:r>
        <w:t>Results and discussion</w:t>
      </w:r>
    </w:p>
    <w:p w14:paraId="5CB3DD9C" w14:textId="560F5D54" w:rsidR="00A416F9" w:rsidRDefault="00A416F9" w:rsidP="00942062">
      <w:pPr>
        <w:pStyle w:val="Heading2"/>
      </w:pPr>
      <w:r>
        <w:t>Description of metabolite dataset</w:t>
      </w:r>
    </w:p>
    <w:p w14:paraId="55EF4EBC" w14:textId="3496D86E" w:rsidR="0072129E" w:rsidRDefault="00A416F9">
      <w:r>
        <w:t xml:space="preserve">Dataset 2 from Tian et al. 2017 </w:t>
      </w:r>
      <w:r w:rsidR="00944E23">
        <w:rPr>
          <w:rStyle w:val="FootnoteReference"/>
        </w:rPr>
        <w:fldChar w:fldCharType="begin" w:fldLock="1"/>
      </w:r>
      <w:r w:rsidR="007375F6">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ethanol","type":"article-journal","volume":"10"},"uris":["http://www.mendeley.com/documents/?uuid=2b7ce93c-349f-4c80-86b1-440e8de35809"]}],"mendeley":{"formattedCitation":"(Tian et al., 2017)","plainTextFormattedCitation":"(Tian et al., 2017)","previouslyFormattedCitation":"(Tian et al., 2017)"},"properties":{"noteIndex":0},"schema":"https://github.com/citation-style-language/schema/raw/master/csl-citation.json"}</w:instrText>
      </w:r>
      <w:r w:rsidR="00944E23">
        <w:rPr>
          <w:rStyle w:val="FootnoteReference"/>
        </w:rPr>
        <w:fldChar w:fldCharType="separate"/>
      </w:r>
      <w:r w:rsidR="00944E23" w:rsidRPr="00944E23">
        <w:rPr>
          <w:noProof/>
        </w:rPr>
        <w:t>(Tian et al., 2017)</w:t>
      </w:r>
      <w:r w:rsidR="00944E23">
        <w:rPr>
          <w:rStyle w:val="FootnoteReference"/>
        </w:rPr>
        <w:fldChar w:fldCharType="end"/>
      </w:r>
      <w:r>
        <w:t xml:space="preserve"> was used. </w:t>
      </w:r>
      <w:r w:rsidR="00942062">
        <w:t xml:space="preserve">This dataset represents intracellular metabolites collected from WT </w:t>
      </w:r>
      <w:r w:rsidR="00942062" w:rsidRPr="00942062">
        <w:rPr>
          <w:i/>
        </w:rPr>
        <w:t>C. thermocellum</w:t>
      </w:r>
      <w:r w:rsidR="00942062">
        <w:t xml:space="preserve"> growing with and without the presence of added ethanol.</w:t>
      </w:r>
      <w:r w:rsidR="00D62BA3">
        <w:t xml:space="preserve"> </w:t>
      </w:r>
      <w:r w:rsidR="00016BB9">
        <w:t xml:space="preserve">The maximum concentration of added ethanol is 40 g/L, which is thought to be a minimum titer for commercial viability </w:t>
      </w:r>
      <w:r w:rsidR="00016BB9">
        <w:fldChar w:fldCharType="begin" w:fldLock="1"/>
      </w:r>
      <w:r w:rsidR="00643C56">
        <w:instrText>ADDIN CSL_CITATION {"citationItems":[{"id":"ITEM-1","itemData":{"DOI":"10.1007/s00253-003-1444-y","ISBN":"0175-7598","author":[{"dropping-particle":"","family":"Dien","given":"B S","non-dropping-particle":"","parse-names":false,"suffix":""},{"dropping-particle":"","family":"Cotta","given":"M A","non-dropping-particle":"","parse-names":false,"suffix":""},{"dropping-particle":"","family":"Jeffries","given":"T W","non-dropping-particle":"","parse-names":false,"suffix":""}],"container-title":"Applied Microbiology and Biotechnology","id":"ITEM-1","issue":"3","issued":{"date-parts":[["2003"]]},"page":"258-266","publisher":"Springer Berlin / Heidelberg","title":"Bacteria engineered for fuel ethanol production: current status","type":"article-journal","volume":"63"},"uris":["http://www.mendeley.com/documents/?uuid=dbcc1453-f1c3-421b-9cbb-c2bbd97d7497"]}],"mendeley":{"formattedCitation":"(Dien et al., 2003)","plainTextFormattedCitation":"(Dien et al., 2003)","previouslyFormattedCitation":"(Dien et al., 2003)"},"properties":{"noteIndex":0},"schema":"https://github.com/citation-style-language/schema/raw/master/csl-citation.json"}</w:instrText>
      </w:r>
      <w:r w:rsidR="00016BB9">
        <w:fldChar w:fldCharType="separate"/>
      </w:r>
      <w:r w:rsidR="00016BB9" w:rsidRPr="00016BB9">
        <w:rPr>
          <w:noProof/>
        </w:rPr>
        <w:t>(Dien et al., 2003)</w:t>
      </w:r>
      <w:r w:rsidR="00016BB9">
        <w:fldChar w:fldCharType="end"/>
      </w:r>
      <w:r w:rsidR="00016BB9">
        <w:t>.</w:t>
      </w:r>
    </w:p>
    <w:p w14:paraId="601CB8D3" w14:textId="75127AB1" w:rsidR="00A922A0" w:rsidRDefault="00E233D8" w:rsidP="00E233D8">
      <w:pPr>
        <w:pStyle w:val="Heading2"/>
      </w:pPr>
      <w:r>
        <w:t xml:space="preserve">Thermodynamic </w:t>
      </w:r>
      <w:r w:rsidR="00AA2200">
        <w:t>consistency</w:t>
      </w:r>
      <w:r>
        <w:t xml:space="preserve"> of dataset</w:t>
      </w:r>
    </w:p>
    <w:p w14:paraId="2BF45115" w14:textId="4AB974A1" w:rsidR="00AA2200" w:rsidRDefault="00AA2200" w:rsidP="00AA2200">
      <w:r>
        <w:t>Based on measurements of extracellular metabolites (</w:t>
      </w:r>
      <w:r w:rsidRPr="00AA2200">
        <w:rPr>
          <w:highlight w:val="yellow"/>
        </w:rPr>
        <w:t>Supplementary table FFF</w:t>
      </w:r>
      <w:r>
        <w:t xml:space="preserve">) we know that cellobiose was converted to ethanol during all 3 timepoints for the no-ethanol control, which implies that all reactions must have a positive MDF. For the samples with added ethanol, we cannot directly measure the ethanol flux, since the added ethanol is much larger than the produced </w:t>
      </w:r>
      <w:proofErr w:type="gramStart"/>
      <w:r w:rsidR="00001813">
        <w:t>ethanol, but</w:t>
      </w:r>
      <w:proofErr w:type="gramEnd"/>
      <w:r>
        <w:t xml:space="preserve"> based on the consumption of cellobiose and the presence of other fermentation products (formate and acetate), we suspect that there was flux from cellobiose to ethanol at the first two timepoints (and thus MDF should be positive). For the 3</w:t>
      </w:r>
      <w:r w:rsidRPr="00AA2200">
        <w:rPr>
          <w:vertAlign w:val="superscript"/>
        </w:rPr>
        <w:t>rd</w:t>
      </w:r>
      <w:r>
        <w:t xml:space="preserve"> timepoint, flux was close to zero. The </w:t>
      </w:r>
      <w:r w:rsidR="00001813">
        <w:t>expected MDF values are summarized in Table GGG.</w:t>
      </w:r>
    </w:p>
    <w:p w14:paraId="4BF6A9CD" w14:textId="23D42181" w:rsidR="00001813" w:rsidRPr="00001813" w:rsidRDefault="00001813" w:rsidP="00AA2200">
      <w:pPr>
        <w:rPr>
          <w:b/>
        </w:rPr>
      </w:pPr>
      <w:commentRangeStart w:id="8"/>
      <w:r w:rsidRPr="00001813">
        <w:rPr>
          <w:b/>
        </w:rPr>
        <w:t>Table GGG. Expected MDF values for ethanol addition experiment</w:t>
      </w:r>
      <w:commentRangeEnd w:id="8"/>
      <w:r w:rsidR="00F503AE">
        <w:rPr>
          <w:rStyle w:val="CommentReference"/>
        </w:rPr>
        <w:commentReference w:id="8"/>
      </w:r>
    </w:p>
    <w:tbl>
      <w:tblPr>
        <w:tblStyle w:val="TableGrid"/>
        <w:tblW w:w="0" w:type="auto"/>
        <w:tblLook w:val="04A0" w:firstRow="1" w:lastRow="0" w:firstColumn="1" w:lastColumn="0" w:noHBand="0" w:noVBand="1"/>
      </w:tblPr>
      <w:tblGrid>
        <w:gridCol w:w="1165"/>
        <w:gridCol w:w="1710"/>
        <w:gridCol w:w="1530"/>
      </w:tblGrid>
      <w:tr w:rsidR="00001813" w14:paraId="558AE2BE" w14:textId="77777777" w:rsidTr="00001813">
        <w:tc>
          <w:tcPr>
            <w:tcW w:w="1165" w:type="dxa"/>
          </w:tcPr>
          <w:p w14:paraId="643D321D" w14:textId="0A79884D" w:rsidR="00001813" w:rsidRDefault="00001813" w:rsidP="00AA2200">
            <w:r>
              <w:t>Timepoint</w:t>
            </w:r>
          </w:p>
        </w:tc>
        <w:tc>
          <w:tcPr>
            <w:tcW w:w="1710" w:type="dxa"/>
          </w:tcPr>
          <w:p w14:paraId="1AB86C7D" w14:textId="6AAF1DA1" w:rsidR="00001813" w:rsidRDefault="00001813" w:rsidP="00001813">
            <w:pPr>
              <w:jc w:val="center"/>
            </w:pPr>
            <w:r>
              <w:t>Added ethanol</w:t>
            </w:r>
          </w:p>
        </w:tc>
        <w:tc>
          <w:tcPr>
            <w:tcW w:w="1530" w:type="dxa"/>
          </w:tcPr>
          <w:p w14:paraId="3026A4BE" w14:textId="1B5B337F" w:rsidR="00001813" w:rsidRDefault="00001813" w:rsidP="00001813">
            <w:pPr>
              <w:jc w:val="center"/>
            </w:pPr>
            <w:r>
              <w:t>Control</w:t>
            </w:r>
          </w:p>
        </w:tc>
      </w:tr>
      <w:tr w:rsidR="00001813" w14:paraId="6F2F6EE7" w14:textId="77777777" w:rsidTr="00001813">
        <w:tc>
          <w:tcPr>
            <w:tcW w:w="1165" w:type="dxa"/>
          </w:tcPr>
          <w:p w14:paraId="4C296512" w14:textId="622A92A0" w:rsidR="00001813" w:rsidRDefault="00001813" w:rsidP="00AA2200">
            <w:r>
              <w:lastRenderedPageBreak/>
              <w:t>T0</w:t>
            </w:r>
          </w:p>
        </w:tc>
        <w:tc>
          <w:tcPr>
            <w:tcW w:w="1710" w:type="dxa"/>
          </w:tcPr>
          <w:p w14:paraId="6B173968" w14:textId="11EC9275" w:rsidR="00001813" w:rsidRDefault="00001813" w:rsidP="00001813">
            <w:pPr>
              <w:tabs>
                <w:tab w:val="center" w:pos="747"/>
              </w:tabs>
              <w:jc w:val="center"/>
            </w:pPr>
            <w:r>
              <w:t>+</w:t>
            </w:r>
          </w:p>
        </w:tc>
        <w:tc>
          <w:tcPr>
            <w:tcW w:w="1530" w:type="dxa"/>
          </w:tcPr>
          <w:p w14:paraId="75022AC3" w14:textId="3BBB5BB6" w:rsidR="00001813" w:rsidRDefault="00001813" w:rsidP="00001813">
            <w:pPr>
              <w:jc w:val="center"/>
            </w:pPr>
            <w:r>
              <w:t>+</w:t>
            </w:r>
          </w:p>
        </w:tc>
      </w:tr>
      <w:tr w:rsidR="00001813" w14:paraId="2F439FFF" w14:textId="77777777" w:rsidTr="00001813">
        <w:tc>
          <w:tcPr>
            <w:tcW w:w="1165" w:type="dxa"/>
          </w:tcPr>
          <w:p w14:paraId="09BE7BB3" w14:textId="605CE468" w:rsidR="00001813" w:rsidRDefault="00001813" w:rsidP="00AA2200">
            <w:r>
              <w:t>T1</w:t>
            </w:r>
          </w:p>
        </w:tc>
        <w:tc>
          <w:tcPr>
            <w:tcW w:w="1710" w:type="dxa"/>
          </w:tcPr>
          <w:p w14:paraId="6B9C252B" w14:textId="5B99B0CC" w:rsidR="00001813" w:rsidRDefault="00001813" w:rsidP="00001813">
            <w:pPr>
              <w:jc w:val="center"/>
            </w:pPr>
            <w:r>
              <w:t>+</w:t>
            </w:r>
          </w:p>
        </w:tc>
        <w:tc>
          <w:tcPr>
            <w:tcW w:w="1530" w:type="dxa"/>
          </w:tcPr>
          <w:p w14:paraId="604AC3BA" w14:textId="1DBA1A5A" w:rsidR="00001813" w:rsidRDefault="00001813" w:rsidP="00001813">
            <w:pPr>
              <w:jc w:val="center"/>
            </w:pPr>
            <w:r>
              <w:t>+</w:t>
            </w:r>
          </w:p>
        </w:tc>
      </w:tr>
      <w:tr w:rsidR="00001813" w14:paraId="61E6702B" w14:textId="77777777" w:rsidTr="00001813">
        <w:tc>
          <w:tcPr>
            <w:tcW w:w="1165" w:type="dxa"/>
          </w:tcPr>
          <w:p w14:paraId="505DC2EA" w14:textId="087D822F" w:rsidR="00001813" w:rsidRDefault="00001813" w:rsidP="00AA2200">
            <w:r>
              <w:t>T2</w:t>
            </w:r>
          </w:p>
        </w:tc>
        <w:tc>
          <w:tcPr>
            <w:tcW w:w="1710" w:type="dxa"/>
          </w:tcPr>
          <w:p w14:paraId="380B7D93" w14:textId="7CAB27AA" w:rsidR="00001813" w:rsidRDefault="00E60044" w:rsidP="00001813">
            <w:pPr>
              <w:jc w:val="center"/>
            </w:pPr>
            <w:r>
              <w:rPr>
                <w:rFonts w:cstheme="minorHAnsi"/>
              </w:rPr>
              <w:t>≤</w:t>
            </w:r>
            <w:r w:rsidR="005C04DB">
              <w:rPr>
                <w:rFonts w:cstheme="minorHAnsi"/>
              </w:rPr>
              <w:t xml:space="preserve"> </w:t>
            </w:r>
            <w:r w:rsidR="00001813">
              <w:t>0</w:t>
            </w:r>
          </w:p>
        </w:tc>
        <w:tc>
          <w:tcPr>
            <w:tcW w:w="1530" w:type="dxa"/>
          </w:tcPr>
          <w:p w14:paraId="2BDD3FD4" w14:textId="0791C23E" w:rsidR="00001813" w:rsidRDefault="00001813" w:rsidP="00001813">
            <w:pPr>
              <w:jc w:val="center"/>
            </w:pPr>
            <w:r>
              <w:t>+</w:t>
            </w:r>
          </w:p>
        </w:tc>
      </w:tr>
    </w:tbl>
    <w:p w14:paraId="4C07A5A5" w14:textId="76E45A6B" w:rsidR="00AA2200" w:rsidRDefault="00AA2200" w:rsidP="00AA2200"/>
    <w:p w14:paraId="316DAD97" w14:textId="5CFC9C4B" w:rsidR="00001813" w:rsidRDefault="00101A1E" w:rsidP="00AA2200">
      <w:r>
        <w:t xml:space="preserve">We attempted to fit </w:t>
      </w:r>
      <w:proofErr w:type="gramStart"/>
      <w:r>
        <w:t>all of</w:t>
      </w:r>
      <w:proofErr w:type="gramEnd"/>
      <w:r>
        <w:t xml:space="preserve"> the measured metabolite concentrations (excluding cofactors) to our thermodynamic model. For each measured metabolite, we </w:t>
      </w:r>
      <w:r w:rsidR="000F6A00">
        <w:t>included an uncertainty factor of 2</w:t>
      </w:r>
      <w:r w:rsidR="00082930">
        <w:t xml:space="preserve"> (see materials and methods for description). This </w:t>
      </w:r>
      <w:r>
        <w:t xml:space="preserve">resulted in negative MDF values for both the added ethanol and control cultures at all timepoints, indicating that the </w:t>
      </w:r>
      <w:r w:rsidR="00082930">
        <w:t>dataset is not thermodynamically consistent. To identify which metabolites were causing the inconsistency, we tested them one-by-one (Table HHH).</w:t>
      </w:r>
    </w:p>
    <w:p w14:paraId="071CF57C" w14:textId="37F1BDD2" w:rsidR="00082930" w:rsidRPr="00082930" w:rsidRDefault="00082930" w:rsidP="00AA2200">
      <w:pPr>
        <w:rPr>
          <w:b/>
        </w:rPr>
      </w:pPr>
      <w:r w:rsidRPr="00082930">
        <w:rPr>
          <w:b/>
        </w:rPr>
        <w:t>Table HHH. MDF values for each metabolite tested one-by-one from each fermentation condition.</w:t>
      </w:r>
    </w:p>
    <w:tbl>
      <w:tblPr>
        <w:tblW w:w="7920" w:type="dxa"/>
        <w:tblLook w:val="04A0" w:firstRow="1" w:lastRow="0" w:firstColumn="1" w:lastColumn="0" w:noHBand="0" w:noVBand="1"/>
      </w:tblPr>
      <w:tblGrid>
        <w:gridCol w:w="960"/>
        <w:gridCol w:w="960"/>
        <w:gridCol w:w="500"/>
        <w:gridCol w:w="500"/>
        <w:gridCol w:w="500"/>
        <w:gridCol w:w="500"/>
        <w:gridCol w:w="500"/>
        <w:gridCol w:w="500"/>
        <w:gridCol w:w="500"/>
        <w:gridCol w:w="500"/>
        <w:gridCol w:w="500"/>
        <w:gridCol w:w="500"/>
        <w:gridCol w:w="500"/>
        <w:gridCol w:w="500"/>
      </w:tblGrid>
      <w:tr w:rsidR="00082930" w:rsidRPr="00082930" w14:paraId="54C1710F" w14:textId="77777777" w:rsidTr="00082930">
        <w:trPr>
          <w:trHeight w:val="288"/>
        </w:trPr>
        <w:tc>
          <w:tcPr>
            <w:tcW w:w="960" w:type="dxa"/>
            <w:tcBorders>
              <w:top w:val="nil"/>
              <w:left w:val="nil"/>
              <w:bottom w:val="nil"/>
              <w:right w:val="nil"/>
            </w:tcBorders>
            <w:shd w:val="clear" w:color="auto" w:fill="auto"/>
            <w:noWrap/>
            <w:vAlign w:val="bottom"/>
            <w:hideMark/>
          </w:tcPr>
          <w:p w14:paraId="3AED6515"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04B979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ID</w:t>
            </w:r>
          </w:p>
        </w:tc>
        <w:tc>
          <w:tcPr>
            <w:tcW w:w="500" w:type="dxa"/>
            <w:tcBorders>
              <w:top w:val="single" w:sz="4" w:space="0" w:color="auto"/>
              <w:left w:val="nil"/>
              <w:bottom w:val="single" w:sz="4" w:space="0" w:color="auto"/>
              <w:right w:val="single" w:sz="4" w:space="0" w:color="auto"/>
            </w:tcBorders>
            <w:shd w:val="clear" w:color="auto" w:fill="auto"/>
            <w:noWrap/>
            <w:hideMark/>
          </w:tcPr>
          <w:p w14:paraId="2F036834"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1</w:t>
            </w:r>
          </w:p>
        </w:tc>
        <w:tc>
          <w:tcPr>
            <w:tcW w:w="500" w:type="dxa"/>
            <w:tcBorders>
              <w:top w:val="single" w:sz="4" w:space="0" w:color="auto"/>
              <w:left w:val="nil"/>
              <w:bottom w:val="single" w:sz="4" w:space="0" w:color="auto"/>
              <w:right w:val="single" w:sz="4" w:space="0" w:color="auto"/>
            </w:tcBorders>
            <w:shd w:val="clear" w:color="auto" w:fill="auto"/>
            <w:noWrap/>
            <w:hideMark/>
          </w:tcPr>
          <w:p w14:paraId="30C15F65"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2</w:t>
            </w:r>
          </w:p>
        </w:tc>
        <w:tc>
          <w:tcPr>
            <w:tcW w:w="500" w:type="dxa"/>
            <w:tcBorders>
              <w:top w:val="single" w:sz="4" w:space="0" w:color="auto"/>
              <w:left w:val="nil"/>
              <w:bottom w:val="single" w:sz="4" w:space="0" w:color="auto"/>
              <w:right w:val="single" w:sz="4" w:space="0" w:color="auto"/>
            </w:tcBorders>
            <w:shd w:val="clear" w:color="auto" w:fill="auto"/>
            <w:noWrap/>
            <w:hideMark/>
          </w:tcPr>
          <w:p w14:paraId="05756AA1"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3</w:t>
            </w:r>
          </w:p>
        </w:tc>
        <w:tc>
          <w:tcPr>
            <w:tcW w:w="500" w:type="dxa"/>
            <w:tcBorders>
              <w:top w:val="single" w:sz="4" w:space="0" w:color="auto"/>
              <w:left w:val="nil"/>
              <w:bottom w:val="single" w:sz="4" w:space="0" w:color="auto"/>
              <w:right w:val="single" w:sz="4" w:space="0" w:color="auto"/>
            </w:tcBorders>
            <w:shd w:val="clear" w:color="auto" w:fill="auto"/>
            <w:noWrap/>
            <w:hideMark/>
          </w:tcPr>
          <w:p w14:paraId="04885A2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4</w:t>
            </w:r>
          </w:p>
        </w:tc>
        <w:tc>
          <w:tcPr>
            <w:tcW w:w="500" w:type="dxa"/>
            <w:tcBorders>
              <w:top w:val="single" w:sz="4" w:space="0" w:color="auto"/>
              <w:left w:val="nil"/>
              <w:bottom w:val="single" w:sz="4" w:space="0" w:color="auto"/>
              <w:right w:val="single" w:sz="4" w:space="0" w:color="auto"/>
            </w:tcBorders>
            <w:shd w:val="clear" w:color="auto" w:fill="auto"/>
            <w:noWrap/>
            <w:hideMark/>
          </w:tcPr>
          <w:p w14:paraId="7DF7AF2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5</w:t>
            </w:r>
          </w:p>
        </w:tc>
        <w:tc>
          <w:tcPr>
            <w:tcW w:w="500" w:type="dxa"/>
            <w:tcBorders>
              <w:top w:val="single" w:sz="4" w:space="0" w:color="auto"/>
              <w:left w:val="nil"/>
              <w:bottom w:val="single" w:sz="4" w:space="0" w:color="auto"/>
              <w:right w:val="single" w:sz="4" w:space="0" w:color="auto"/>
            </w:tcBorders>
            <w:shd w:val="clear" w:color="auto" w:fill="auto"/>
            <w:noWrap/>
            <w:hideMark/>
          </w:tcPr>
          <w:p w14:paraId="220790B0"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6</w:t>
            </w:r>
          </w:p>
        </w:tc>
        <w:tc>
          <w:tcPr>
            <w:tcW w:w="500" w:type="dxa"/>
            <w:tcBorders>
              <w:top w:val="single" w:sz="4" w:space="0" w:color="auto"/>
              <w:left w:val="nil"/>
              <w:bottom w:val="single" w:sz="4" w:space="0" w:color="auto"/>
              <w:right w:val="single" w:sz="4" w:space="0" w:color="auto"/>
            </w:tcBorders>
            <w:shd w:val="clear" w:color="auto" w:fill="auto"/>
            <w:noWrap/>
            <w:hideMark/>
          </w:tcPr>
          <w:p w14:paraId="17466CD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7</w:t>
            </w:r>
          </w:p>
        </w:tc>
        <w:tc>
          <w:tcPr>
            <w:tcW w:w="500" w:type="dxa"/>
            <w:tcBorders>
              <w:top w:val="single" w:sz="4" w:space="0" w:color="auto"/>
              <w:left w:val="nil"/>
              <w:bottom w:val="single" w:sz="4" w:space="0" w:color="auto"/>
              <w:right w:val="single" w:sz="4" w:space="0" w:color="auto"/>
            </w:tcBorders>
            <w:shd w:val="clear" w:color="auto" w:fill="auto"/>
            <w:noWrap/>
            <w:hideMark/>
          </w:tcPr>
          <w:p w14:paraId="03CADAE3"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8</w:t>
            </w:r>
          </w:p>
        </w:tc>
        <w:tc>
          <w:tcPr>
            <w:tcW w:w="500" w:type="dxa"/>
            <w:tcBorders>
              <w:top w:val="single" w:sz="4" w:space="0" w:color="auto"/>
              <w:left w:val="nil"/>
              <w:bottom w:val="single" w:sz="4" w:space="0" w:color="auto"/>
              <w:right w:val="single" w:sz="4" w:space="0" w:color="auto"/>
            </w:tcBorders>
            <w:shd w:val="clear" w:color="auto" w:fill="auto"/>
            <w:noWrap/>
            <w:hideMark/>
          </w:tcPr>
          <w:p w14:paraId="183BFB54"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9</w:t>
            </w:r>
          </w:p>
        </w:tc>
        <w:tc>
          <w:tcPr>
            <w:tcW w:w="500" w:type="dxa"/>
            <w:tcBorders>
              <w:top w:val="single" w:sz="4" w:space="0" w:color="auto"/>
              <w:left w:val="nil"/>
              <w:bottom w:val="single" w:sz="4" w:space="0" w:color="auto"/>
              <w:right w:val="single" w:sz="4" w:space="0" w:color="auto"/>
            </w:tcBorders>
            <w:shd w:val="clear" w:color="auto" w:fill="auto"/>
            <w:noWrap/>
            <w:hideMark/>
          </w:tcPr>
          <w:p w14:paraId="5025763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10</w:t>
            </w:r>
          </w:p>
        </w:tc>
        <w:tc>
          <w:tcPr>
            <w:tcW w:w="500" w:type="dxa"/>
            <w:tcBorders>
              <w:top w:val="single" w:sz="4" w:space="0" w:color="auto"/>
              <w:left w:val="nil"/>
              <w:bottom w:val="single" w:sz="4" w:space="0" w:color="auto"/>
              <w:right w:val="single" w:sz="4" w:space="0" w:color="auto"/>
            </w:tcBorders>
            <w:shd w:val="clear" w:color="auto" w:fill="auto"/>
            <w:noWrap/>
            <w:hideMark/>
          </w:tcPr>
          <w:p w14:paraId="48351EB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11</w:t>
            </w:r>
          </w:p>
        </w:tc>
        <w:tc>
          <w:tcPr>
            <w:tcW w:w="500" w:type="dxa"/>
            <w:tcBorders>
              <w:top w:val="single" w:sz="4" w:space="0" w:color="auto"/>
              <w:left w:val="nil"/>
              <w:bottom w:val="single" w:sz="4" w:space="0" w:color="auto"/>
              <w:right w:val="single" w:sz="4" w:space="0" w:color="auto"/>
            </w:tcBorders>
            <w:shd w:val="clear" w:color="auto" w:fill="auto"/>
            <w:noWrap/>
            <w:hideMark/>
          </w:tcPr>
          <w:p w14:paraId="38E8C45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12</w:t>
            </w:r>
          </w:p>
        </w:tc>
      </w:tr>
      <w:tr w:rsidR="00082930" w:rsidRPr="00082930" w14:paraId="17195BEB" w14:textId="77777777" w:rsidTr="00082930">
        <w:trPr>
          <w:trHeight w:val="1284"/>
        </w:trPr>
        <w:tc>
          <w:tcPr>
            <w:tcW w:w="960" w:type="dxa"/>
            <w:tcBorders>
              <w:top w:val="nil"/>
              <w:left w:val="nil"/>
              <w:bottom w:val="nil"/>
              <w:right w:val="nil"/>
            </w:tcBorders>
            <w:shd w:val="clear" w:color="auto" w:fill="auto"/>
            <w:noWrap/>
            <w:textDirection w:val="btLr"/>
            <w:vAlign w:val="bottom"/>
            <w:hideMark/>
          </w:tcPr>
          <w:p w14:paraId="1C1B276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
        </w:tc>
        <w:tc>
          <w:tcPr>
            <w:tcW w:w="960" w:type="dxa"/>
            <w:tcBorders>
              <w:top w:val="nil"/>
              <w:left w:val="single" w:sz="4" w:space="0" w:color="auto"/>
              <w:bottom w:val="single" w:sz="4" w:space="0" w:color="auto"/>
              <w:right w:val="single" w:sz="4" w:space="0" w:color="auto"/>
            </w:tcBorders>
            <w:shd w:val="clear" w:color="auto" w:fill="auto"/>
            <w:noWrap/>
            <w:textDirection w:val="btLr"/>
            <w:hideMark/>
          </w:tcPr>
          <w:p w14:paraId="58C3D49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graphName</w:t>
            </w:r>
            <w:proofErr w:type="spellEnd"/>
          </w:p>
        </w:tc>
        <w:tc>
          <w:tcPr>
            <w:tcW w:w="500" w:type="dxa"/>
            <w:tcBorders>
              <w:top w:val="nil"/>
              <w:left w:val="nil"/>
              <w:bottom w:val="single" w:sz="4" w:space="0" w:color="auto"/>
              <w:right w:val="single" w:sz="4" w:space="0" w:color="auto"/>
            </w:tcBorders>
            <w:shd w:val="clear" w:color="auto" w:fill="auto"/>
            <w:noWrap/>
            <w:textDirection w:val="btLr"/>
            <w:hideMark/>
          </w:tcPr>
          <w:p w14:paraId="6BC07355"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A1_1 et=5.0</w:t>
            </w:r>
          </w:p>
        </w:tc>
        <w:tc>
          <w:tcPr>
            <w:tcW w:w="500" w:type="dxa"/>
            <w:tcBorders>
              <w:top w:val="nil"/>
              <w:left w:val="nil"/>
              <w:bottom w:val="single" w:sz="4" w:space="0" w:color="auto"/>
              <w:right w:val="single" w:sz="4" w:space="0" w:color="auto"/>
            </w:tcBorders>
            <w:shd w:val="clear" w:color="auto" w:fill="auto"/>
            <w:noWrap/>
            <w:textDirection w:val="btLr"/>
            <w:hideMark/>
          </w:tcPr>
          <w:p w14:paraId="51157E1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A1_2 et=5.0</w:t>
            </w:r>
          </w:p>
        </w:tc>
        <w:tc>
          <w:tcPr>
            <w:tcW w:w="500" w:type="dxa"/>
            <w:tcBorders>
              <w:top w:val="nil"/>
              <w:left w:val="nil"/>
              <w:bottom w:val="single" w:sz="4" w:space="0" w:color="auto"/>
              <w:right w:val="single" w:sz="4" w:space="0" w:color="auto"/>
            </w:tcBorders>
            <w:shd w:val="clear" w:color="auto" w:fill="auto"/>
            <w:noWrap/>
            <w:textDirection w:val="btLr"/>
            <w:hideMark/>
          </w:tcPr>
          <w:p w14:paraId="4092F5B9"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A2_1 et=20.0</w:t>
            </w:r>
          </w:p>
        </w:tc>
        <w:tc>
          <w:tcPr>
            <w:tcW w:w="500" w:type="dxa"/>
            <w:tcBorders>
              <w:top w:val="nil"/>
              <w:left w:val="nil"/>
              <w:bottom w:val="single" w:sz="4" w:space="0" w:color="auto"/>
              <w:right w:val="single" w:sz="4" w:space="0" w:color="auto"/>
            </w:tcBorders>
            <w:shd w:val="clear" w:color="auto" w:fill="auto"/>
            <w:noWrap/>
            <w:textDirection w:val="btLr"/>
            <w:hideMark/>
          </w:tcPr>
          <w:p w14:paraId="60E98AF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A2_2 et=20.0</w:t>
            </w:r>
          </w:p>
        </w:tc>
        <w:tc>
          <w:tcPr>
            <w:tcW w:w="500" w:type="dxa"/>
            <w:tcBorders>
              <w:top w:val="nil"/>
              <w:left w:val="nil"/>
              <w:bottom w:val="single" w:sz="4" w:space="0" w:color="auto"/>
              <w:right w:val="single" w:sz="4" w:space="0" w:color="auto"/>
            </w:tcBorders>
            <w:shd w:val="clear" w:color="auto" w:fill="auto"/>
            <w:noWrap/>
            <w:textDirection w:val="btLr"/>
            <w:hideMark/>
          </w:tcPr>
          <w:p w14:paraId="7A8591A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A3_1 et=40.0</w:t>
            </w:r>
          </w:p>
        </w:tc>
        <w:tc>
          <w:tcPr>
            <w:tcW w:w="500" w:type="dxa"/>
            <w:tcBorders>
              <w:top w:val="nil"/>
              <w:left w:val="nil"/>
              <w:bottom w:val="single" w:sz="4" w:space="0" w:color="auto"/>
              <w:right w:val="single" w:sz="4" w:space="0" w:color="auto"/>
            </w:tcBorders>
            <w:shd w:val="clear" w:color="auto" w:fill="auto"/>
            <w:noWrap/>
            <w:textDirection w:val="btLr"/>
            <w:hideMark/>
          </w:tcPr>
          <w:p w14:paraId="7132998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A3_2 et=40.0</w:t>
            </w:r>
          </w:p>
        </w:tc>
        <w:tc>
          <w:tcPr>
            <w:tcW w:w="500" w:type="dxa"/>
            <w:tcBorders>
              <w:top w:val="nil"/>
              <w:left w:val="nil"/>
              <w:bottom w:val="single" w:sz="4" w:space="0" w:color="auto"/>
              <w:right w:val="single" w:sz="4" w:space="0" w:color="auto"/>
            </w:tcBorders>
            <w:shd w:val="clear" w:color="auto" w:fill="auto"/>
            <w:noWrap/>
            <w:textDirection w:val="btLr"/>
            <w:hideMark/>
          </w:tcPr>
          <w:p w14:paraId="3D38974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B1_1 et=0.2</w:t>
            </w:r>
          </w:p>
        </w:tc>
        <w:tc>
          <w:tcPr>
            <w:tcW w:w="500" w:type="dxa"/>
            <w:tcBorders>
              <w:top w:val="nil"/>
              <w:left w:val="nil"/>
              <w:bottom w:val="single" w:sz="4" w:space="0" w:color="auto"/>
              <w:right w:val="single" w:sz="4" w:space="0" w:color="auto"/>
            </w:tcBorders>
            <w:shd w:val="clear" w:color="auto" w:fill="auto"/>
            <w:noWrap/>
            <w:textDirection w:val="btLr"/>
            <w:hideMark/>
          </w:tcPr>
          <w:p w14:paraId="3F1134EC"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B1_2 et=0.2</w:t>
            </w:r>
          </w:p>
        </w:tc>
        <w:tc>
          <w:tcPr>
            <w:tcW w:w="500" w:type="dxa"/>
            <w:tcBorders>
              <w:top w:val="nil"/>
              <w:left w:val="nil"/>
              <w:bottom w:val="single" w:sz="4" w:space="0" w:color="auto"/>
              <w:right w:val="single" w:sz="4" w:space="0" w:color="auto"/>
            </w:tcBorders>
            <w:shd w:val="clear" w:color="auto" w:fill="auto"/>
            <w:noWrap/>
            <w:textDirection w:val="btLr"/>
            <w:hideMark/>
          </w:tcPr>
          <w:p w14:paraId="1228144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B2_1 et=0.47</w:t>
            </w:r>
          </w:p>
        </w:tc>
        <w:tc>
          <w:tcPr>
            <w:tcW w:w="500" w:type="dxa"/>
            <w:tcBorders>
              <w:top w:val="nil"/>
              <w:left w:val="nil"/>
              <w:bottom w:val="single" w:sz="4" w:space="0" w:color="auto"/>
              <w:right w:val="single" w:sz="4" w:space="0" w:color="auto"/>
            </w:tcBorders>
            <w:shd w:val="clear" w:color="auto" w:fill="auto"/>
            <w:noWrap/>
            <w:textDirection w:val="btLr"/>
            <w:hideMark/>
          </w:tcPr>
          <w:p w14:paraId="269FD49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B2_2 et=0.47</w:t>
            </w:r>
          </w:p>
        </w:tc>
        <w:tc>
          <w:tcPr>
            <w:tcW w:w="500" w:type="dxa"/>
            <w:tcBorders>
              <w:top w:val="nil"/>
              <w:left w:val="nil"/>
              <w:bottom w:val="single" w:sz="4" w:space="0" w:color="auto"/>
              <w:right w:val="single" w:sz="4" w:space="0" w:color="auto"/>
            </w:tcBorders>
            <w:shd w:val="clear" w:color="auto" w:fill="auto"/>
            <w:noWrap/>
            <w:textDirection w:val="btLr"/>
            <w:hideMark/>
          </w:tcPr>
          <w:p w14:paraId="5CAC9AE5"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B3_1 et=0.58</w:t>
            </w:r>
          </w:p>
        </w:tc>
        <w:tc>
          <w:tcPr>
            <w:tcW w:w="500" w:type="dxa"/>
            <w:tcBorders>
              <w:top w:val="nil"/>
              <w:left w:val="nil"/>
              <w:bottom w:val="single" w:sz="4" w:space="0" w:color="auto"/>
              <w:right w:val="single" w:sz="4" w:space="0" w:color="auto"/>
            </w:tcBorders>
            <w:shd w:val="clear" w:color="auto" w:fill="auto"/>
            <w:noWrap/>
            <w:textDirection w:val="btLr"/>
            <w:hideMark/>
          </w:tcPr>
          <w:p w14:paraId="64BF39C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B3_2 et=0.58</w:t>
            </w:r>
          </w:p>
        </w:tc>
      </w:tr>
      <w:tr w:rsidR="00082930" w:rsidRPr="00082930" w14:paraId="00011479" w14:textId="77777777" w:rsidTr="00082930">
        <w:trPr>
          <w:trHeight w:val="288"/>
        </w:trPr>
        <w:tc>
          <w:tcPr>
            <w:tcW w:w="960" w:type="dxa"/>
            <w:tcBorders>
              <w:top w:val="nil"/>
              <w:left w:val="nil"/>
              <w:bottom w:val="nil"/>
              <w:right w:val="nil"/>
            </w:tcBorders>
            <w:shd w:val="clear" w:color="auto" w:fill="auto"/>
            <w:noWrap/>
            <w:vAlign w:val="bottom"/>
            <w:hideMark/>
          </w:tcPr>
          <w:p w14:paraId="42E8162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
        </w:tc>
        <w:tc>
          <w:tcPr>
            <w:tcW w:w="960" w:type="dxa"/>
            <w:tcBorders>
              <w:top w:val="nil"/>
              <w:left w:val="nil"/>
              <w:bottom w:val="nil"/>
              <w:right w:val="nil"/>
            </w:tcBorders>
            <w:shd w:val="clear" w:color="auto" w:fill="auto"/>
            <w:noWrap/>
            <w:vAlign w:val="bottom"/>
            <w:hideMark/>
          </w:tcPr>
          <w:p w14:paraId="5CA75A9E"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1B4C47ED"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870117C"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E5B9956"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7B166988"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25DB78D3"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6FB6F836"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95D2D58"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66A18160"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CED3C1B"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1427B7CB"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2C2B45F"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128E813F" w14:textId="77777777" w:rsidR="00082930" w:rsidRPr="00082930" w:rsidRDefault="00082930" w:rsidP="00082930">
            <w:pPr>
              <w:spacing w:after="0" w:line="240" w:lineRule="auto"/>
              <w:rPr>
                <w:rFonts w:ascii="Times New Roman" w:eastAsia="Times New Roman" w:hAnsi="Times New Roman" w:cs="Times New Roman"/>
                <w:sz w:val="18"/>
                <w:szCs w:val="18"/>
              </w:rPr>
            </w:pPr>
          </w:p>
        </w:tc>
      </w:tr>
      <w:tr w:rsidR="00082930" w:rsidRPr="00082930" w14:paraId="4940588A" w14:textId="77777777" w:rsidTr="0008293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47B1D7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C00010</w:t>
            </w:r>
          </w:p>
        </w:tc>
        <w:tc>
          <w:tcPr>
            <w:tcW w:w="960" w:type="dxa"/>
            <w:tcBorders>
              <w:top w:val="single" w:sz="4" w:space="0" w:color="auto"/>
              <w:left w:val="nil"/>
              <w:bottom w:val="single" w:sz="4" w:space="0" w:color="auto"/>
              <w:right w:val="single" w:sz="4" w:space="0" w:color="auto"/>
            </w:tcBorders>
            <w:shd w:val="clear" w:color="auto" w:fill="auto"/>
            <w:noWrap/>
            <w:hideMark/>
          </w:tcPr>
          <w:p w14:paraId="4226C204"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coa</w:t>
            </w:r>
            <w:proofErr w:type="spellEnd"/>
          </w:p>
        </w:tc>
        <w:tc>
          <w:tcPr>
            <w:tcW w:w="500" w:type="dxa"/>
            <w:tcBorders>
              <w:top w:val="nil"/>
              <w:left w:val="nil"/>
              <w:bottom w:val="nil"/>
              <w:right w:val="nil"/>
            </w:tcBorders>
            <w:shd w:val="clear" w:color="000000" w:fill="63BE7B"/>
            <w:noWrap/>
            <w:vAlign w:val="bottom"/>
            <w:hideMark/>
          </w:tcPr>
          <w:p w14:paraId="63EDDBF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2.3</w:t>
            </w:r>
          </w:p>
        </w:tc>
        <w:tc>
          <w:tcPr>
            <w:tcW w:w="500" w:type="dxa"/>
            <w:tcBorders>
              <w:top w:val="nil"/>
              <w:left w:val="nil"/>
              <w:bottom w:val="nil"/>
              <w:right w:val="nil"/>
            </w:tcBorders>
            <w:shd w:val="clear" w:color="000000" w:fill="63BE7B"/>
            <w:noWrap/>
            <w:vAlign w:val="bottom"/>
            <w:hideMark/>
          </w:tcPr>
          <w:p w14:paraId="371D25C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2.2</w:t>
            </w:r>
          </w:p>
        </w:tc>
        <w:tc>
          <w:tcPr>
            <w:tcW w:w="500" w:type="dxa"/>
            <w:tcBorders>
              <w:top w:val="nil"/>
              <w:left w:val="nil"/>
              <w:bottom w:val="nil"/>
              <w:right w:val="nil"/>
            </w:tcBorders>
            <w:shd w:val="clear" w:color="000000" w:fill="63BE7B"/>
            <w:noWrap/>
            <w:vAlign w:val="bottom"/>
            <w:hideMark/>
          </w:tcPr>
          <w:p w14:paraId="743FAF0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2.4</w:t>
            </w:r>
          </w:p>
        </w:tc>
        <w:tc>
          <w:tcPr>
            <w:tcW w:w="500" w:type="dxa"/>
            <w:tcBorders>
              <w:top w:val="nil"/>
              <w:left w:val="nil"/>
              <w:bottom w:val="nil"/>
              <w:right w:val="nil"/>
            </w:tcBorders>
            <w:shd w:val="clear" w:color="000000" w:fill="63BE7B"/>
            <w:noWrap/>
            <w:vAlign w:val="bottom"/>
            <w:hideMark/>
          </w:tcPr>
          <w:p w14:paraId="4A2A173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2.5</w:t>
            </w:r>
          </w:p>
        </w:tc>
        <w:tc>
          <w:tcPr>
            <w:tcW w:w="500" w:type="dxa"/>
            <w:tcBorders>
              <w:top w:val="nil"/>
              <w:left w:val="nil"/>
              <w:bottom w:val="nil"/>
              <w:right w:val="nil"/>
            </w:tcBorders>
            <w:shd w:val="clear" w:color="000000" w:fill="63BE7B"/>
            <w:noWrap/>
            <w:vAlign w:val="bottom"/>
            <w:hideMark/>
          </w:tcPr>
          <w:p w14:paraId="4BC9DFC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2.5</w:t>
            </w:r>
          </w:p>
        </w:tc>
        <w:tc>
          <w:tcPr>
            <w:tcW w:w="500" w:type="dxa"/>
            <w:tcBorders>
              <w:top w:val="nil"/>
              <w:left w:val="nil"/>
              <w:bottom w:val="nil"/>
              <w:right w:val="nil"/>
            </w:tcBorders>
            <w:shd w:val="clear" w:color="000000" w:fill="63BE7B"/>
            <w:noWrap/>
            <w:vAlign w:val="bottom"/>
            <w:hideMark/>
          </w:tcPr>
          <w:p w14:paraId="1A9A37E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2.5</w:t>
            </w:r>
          </w:p>
        </w:tc>
        <w:tc>
          <w:tcPr>
            <w:tcW w:w="500" w:type="dxa"/>
            <w:tcBorders>
              <w:top w:val="nil"/>
              <w:left w:val="nil"/>
              <w:bottom w:val="nil"/>
              <w:right w:val="nil"/>
            </w:tcBorders>
            <w:shd w:val="clear" w:color="000000" w:fill="63BE7B"/>
            <w:noWrap/>
            <w:vAlign w:val="bottom"/>
            <w:hideMark/>
          </w:tcPr>
          <w:p w14:paraId="29602AC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2.2</w:t>
            </w:r>
          </w:p>
        </w:tc>
        <w:tc>
          <w:tcPr>
            <w:tcW w:w="500" w:type="dxa"/>
            <w:tcBorders>
              <w:top w:val="nil"/>
              <w:left w:val="nil"/>
              <w:bottom w:val="nil"/>
              <w:right w:val="nil"/>
            </w:tcBorders>
            <w:shd w:val="clear" w:color="000000" w:fill="63BE7B"/>
            <w:noWrap/>
            <w:vAlign w:val="bottom"/>
            <w:hideMark/>
          </w:tcPr>
          <w:p w14:paraId="6956108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2.2</w:t>
            </w:r>
          </w:p>
        </w:tc>
        <w:tc>
          <w:tcPr>
            <w:tcW w:w="500" w:type="dxa"/>
            <w:tcBorders>
              <w:top w:val="nil"/>
              <w:left w:val="nil"/>
              <w:bottom w:val="nil"/>
              <w:right w:val="nil"/>
            </w:tcBorders>
            <w:shd w:val="clear" w:color="000000" w:fill="63BE7B"/>
            <w:noWrap/>
            <w:vAlign w:val="bottom"/>
            <w:hideMark/>
          </w:tcPr>
          <w:p w14:paraId="25C4C4A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2.4</w:t>
            </w:r>
          </w:p>
        </w:tc>
        <w:tc>
          <w:tcPr>
            <w:tcW w:w="500" w:type="dxa"/>
            <w:tcBorders>
              <w:top w:val="nil"/>
              <w:left w:val="nil"/>
              <w:bottom w:val="nil"/>
              <w:right w:val="nil"/>
            </w:tcBorders>
            <w:shd w:val="clear" w:color="000000" w:fill="63BE7B"/>
            <w:noWrap/>
            <w:vAlign w:val="bottom"/>
            <w:hideMark/>
          </w:tcPr>
          <w:p w14:paraId="08B97B6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2.4</w:t>
            </w:r>
          </w:p>
        </w:tc>
        <w:tc>
          <w:tcPr>
            <w:tcW w:w="500" w:type="dxa"/>
            <w:tcBorders>
              <w:top w:val="nil"/>
              <w:left w:val="nil"/>
              <w:bottom w:val="nil"/>
              <w:right w:val="nil"/>
            </w:tcBorders>
            <w:shd w:val="clear" w:color="000000" w:fill="63BE7B"/>
            <w:noWrap/>
            <w:vAlign w:val="bottom"/>
            <w:hideMark/>
          </w:tcPr>
          <w:p w14:paraId="4EBF3F5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2.2</w:t>
            </w:r>
          </w:p>
        </w:tc>
        <w:tc>
          <w:tcPr>
            <w:tcW w:w="500" w:type="dxa"/>
            <w:tcBorders>
              <w:top w:val="nil"/>
              <w:left w:val="nil"/>
              <w:bottom w:val="nil"/>
              <w:right w:val="nil"/>
            </w:tcBorders>
            <w:shd w:val="clear" w:color="000000" w:fill="63BE7B"/>
            <w:noWrap/>
            <w:vAlign w:val="bottom"/>
            <w:hideMark/>
          </w:tcPr>
          <w:p w14:paraId="19ED8CD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61577E83"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491707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C00469</w:t>
            </w:r>
          </w:p>
        </w:tc>
        <w:tc>
          <w:tcPr>
            <w:tcW w:w="960" w:type="dxa"/>
            <w:tcBorders>
              <w:top w:val="nil"/>
              <w:left w:val="nil"/>
              <w:bottom w:val="single" w:sz="4" w:space="0" w:color="auto"/>
              <w:right w:val="single" w:sz="4" w:space="0" w:color="auto"/>
            </w:tcBorders>
            <w:shd w:val="clear" w:color="auto" w:fill="auto"/>
            <w:noWrap/>
            <w:hideMark/>
          </w:tcPr>
          <w:p w14:paraId="1A943FE7"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etoh</w:t>
            </w:r>
            <w:proofErr w:type="spellEnd"/>
          </w:p>
        </w:tc>
        <w:tc>
          <w:tcPr>
            <w:tcW w:w="500" w:type="dxa"/>
            <w:tcBorders>
              <w:top w:val="nil"/>
              <w:left w:val="nil"/>
              <w:bottom w:val="nil"/>
              <w:right w:val="nil"/>
            </w:tcBorders>
            <w:shd w:val="clear" w:color="000000" w:fill="63BE7B"/>
            <w:noWrap/>
            <w:vAlign w:val="bottom"/>
            <w:hideMark/>
          </w:tcPr>
          <w:p w14:paraId="44643D0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2.7</w:t>
            </w:r>
          </w:p>
        </w:tc>
        <w:tc>
          <w:tcPr>
            <w:tcW w:w="500" w:type="dxa"/>
            <w:tcBorders>
              <w:top w:val="nil"/>
              <w:left w:val="nil"/>
              <w:bottom w:val="nil"/>
              <w:right w:val="nil"/>
            </w:tcBorders>
            <w:shd w:val="clear" w:color="000000" w:fill="63BE7B"/>
            <w:noWrap/>
            <w:vAlign w:val="bottom"/>
            <w:hideMark/>
          </w:tcPr>
          <w:p w14:paraId="5485697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2.7</w:t>
            </w:r>
          </w:p>
        </w:tc>
        <w:tc>
          <w:tcPr>
            <w:tcW w:w="500" w:type="dxa"/>
            <w:tcBorders>
              <w:top w:val="nil"/>
              <w:left w:val="nil"/>
              <w:bottom w:val="nil"/>
              <w:right w:val="nil"/>
            </w:tcBorders>
            <w:shd w:val="clear" w:color="000000" w:fill="63BE7B"/>
            <w:noWrap/>
            <w:vAlign w:val="bottom"/>
            <w:hideMark/>
          </w:tcPr>
          <w:p w14:paraId="1D2CD29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2.3</w:t>
            </w:r>
          </w:p>
        </w:tc>
        <w:tc>
          <w:tcPr>
            <w:tcW w:w="500" w:type="dxa"/>
            <w:tcBorders>
              <w:top w:val="nil"/>
              <w:left w:val="nil"/>
              <w:bottom w:val="nil"/>
              <w:right w:val="nil"/>
            </w:tcBorders>
            <w:shd w:val="clear" w:color="000000" w:fill="63BE7B"/>
            <w:noWrap/>
            <w:vAlign w:val="bottom"/>
            <w:hideMark/>
          </w:tcPr>
          <w:p w14:paraId="5B9830E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2.3</w:t>
            </w:r>
          </w:p>
        </w:tc>
        <w:tc>
          <w:tcPr>
            <w:tcW w:w="500" w:type="dxa"/>
            <w:tcBorders>
              <w:top w:val="nil"/>
              <w:left w:val="nil"/>
              <w:bottom w:val="nil"/>
              <w:right w:val="nil"/>
            </w:tcBorders>
            <w:shd w:val="clear" w:color="000000" w:fill="63BE7B"/>
            <w:noWrap/>
            <w:vAlign w:val="bottom"/>
            <w:hideMark/>
          </w:tcPr>
          <w:p w14:paraId="7898779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C30B0C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2F987F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3.5</w:t>
            </w:r>
          </w:p>
        </w:tc>
        <w:tc>
          <w:tcPr>
            <w:tcW w:w="500" w:type="dxa"/>
            <w:tcBorders>
              <w:top w:val="nil"/>
              <w:left w:val="nil"/>
              <w:bottom w:val="nil"/>
              <w:right w:val="nil"/>
            </w:tcBorders>
            <w:shd w:val="clear" w:color="000000" w:fill="63BE7B"/>
            <w:noWrap/>
            <w:vAlign w:val="bottom"/>
            <w:hideMark/>
          </w:tcPr>
          <w:p w14:paraId="79E132B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3.5</w:t>
            </w:r>
          </w:p>
        </w:tc>
        <w:tc>
          <w:tcPr>
            <w:tcW w:w="500" w:type="dxa"/>
            <w:tcBorders>
              <w:top w:val="nil"/>
              <w:left w:val="nil"/>
              <w:bottom w:val="nil"/>
              <w:right w:val="nil"/>
            </w:tcBorders>
            <w:shd w:val="clear" w:color="000000" w:fill="63BE7B"/>
            <w:noWrap/>
            <w:vAlign w:val="bottom"/>
            <w:hideMark/>
          </w:tcPr>
          <w:p w14:paraId="4F63949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3.4</w:t>
            </w:r>
          </w:p>
        </w:tc>
        <w:tc>
          <w:tcPr>
            <w:tcW w:w="500" w:type="dxa"/>
            <w:tcBorders>
              <w:top w:val="nil"/>
              <w:left w:val="nil"/>
              <w:bottom w:val="nil"/>
              <w:right w:val="nil"/>
            </w:tcBorders>
            <w:shd w:val="clear" w:color="000000" w:fill="63BE7B"/>
            <w:noWrap/>
            <w:vAlign w:val="bottom"/>
            <w:hideMark/>
          </w:tcPr>
          <w:p w14:paraId="3A480CF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3.4</w:t>
            </w:r>
          </w:p>
        </w:tc>
        <w:tc>
          <w:tcPr>
            <w:tcW w:w="500" w:type="dxa"/>
            <w:tcBorders>
              <w:top w:val="nil"/>
              <w:left w:val="nil"/>
              <w:bottom w:val="nil"/>
              <w:right w:val="nil"/>
            </w:tcBorders>
            <w:shd w:val="clear" w:color="000000" w:fill="63BE7B"/>
            <w:noWrap/>
            <w:vAlign w:val="bottom"/>
            <w:hideMark/>
          </w:tcPr>
          <w:p w14:paraId="79255A3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3.4</w:t>
            </w:r>
          </w:p>
        </w:tc>
        <w:tc>
          <w:tcPr>
            <w:tcW w:w="500" w:type="dxa"/>
            <w:tcBorders>
              <w:top w:val="nil"/>
              <w:left w:val="nil"/>
              <w:bottom w:val="nil"/>
              <w:right w:val="nil"/>
            </w:tcBorders>
            <w:shd w:val="clear" w:color="000000" w:fill="63BE7B"/>
            <w:noWrap/>
            <w:vAlign w:val="bottom"/>
            <w:hideMark/>
          </w:tcPr>
          <w:p w14:paraId="2902893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3.4</w:t>
            </w:r>
          </w:p>
        </w:tc>
      </w:tr>
      <w:tr w:rsidR="00082930" w:rsidRPr="00082930" w14:paraId="5E5BA003"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49D5ED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C00197</w:t>
            </w:r>
          </w:p>
        </w:tc>
        <w:tc>
          <w:tcPr>
            <w:tcW w:w="960" w:type="dxa"/>
            <w:tcBorders>
              <w:top w:val="nil"/>
              <w:left w:val="nil"/>
              <w:bottom w:val="single" w:sz="4" w:space="0" w:color="auto"/>
              <w:right w:val="single" w:sz="4" w:space="0" w:color="auto"/>
            </w:tcBorders>
            <w:shd w:val="clear" w:color="auto" w:fill="auto"/>
            <w:noWrap/>
            <w:hideMark/>
          </w:tcPr>
          <w:p w14:paraId="544D97C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3pg</w:t>
            </w:r>
          </w:p>
        </w:tc>
        <w:tc>
          <w:tcPr>
            <w:tcW w:w="500" w:type="dxa"/>
            <w:tcBorders>
              <w:top w:val="nil"/>
              <w:left w:val="nil"/>
              <w:bottom w:val="nil"/>
              <w:right w:val="nil"/>
            </w:tcBorders>
            <w:shd w:val="clear" w:color="000000" w:fill="63BE7B"/>
            <w:noWrap/>
            <w:vAlign w:val="bottom"/>
            <w:hideMark/>
          </w:tcPr>
          <w:p w14:paraId="3FC5B15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E31724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9FB056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E0B564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3F9A00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A7E371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715417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57CEAE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44BE7F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F0E14D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A4170F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B9781C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52C5DE1C"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C168DA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C00024</w:t>
            </w:r>
          </w:p>
        </w:tc>
        <w:tc>
          <w:tcPr>
            <w:tcW w:w="960" w:type="dxa"/>
            <w:tcBorders>
              <w:top w:val="nil"/>
              <w:left w:val="nil"/>
              <w:bottom w:val="single" w:sz="4" w:space="0" w:color="auto"/>
              <w:right w:val="single" w:sz="4" w:space="0" w:color="auto"/>
            </w:tcBorders>
            <w:shd w:val="clear" w:color="auto" w:fill="auto"/>
            <w:noWrap/>
            <w:hideMark/>
          </w:tcPr>
          <w:p w14:paraId="0845DF9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accoa</w:t>
            </w:r>
            <w:proofErr w:type="spellEnd"/>
          </w:p>
        </w:tc>
        <w:tc>
          <w:tcPr>
            <w:tcW w:w="500" w:type="dxa"/>
            <w:tcBorders>
              <w:top w:val="nil"/>
              <w:left w:val="nil"/>
              <w:bottom w:val="nil"/>
              <w:right w:val="nil"/>
            </w:tcBorders>
            <w:shd w:val="clear" w:color="000000" w:fill="A9D380"/>
            <w:noWrap/>
            <w:vAlign w:val="bottom"/>
            <w:hideMark/>
          </w:tcPr>
          <w:p w14:paraId="7BA08C0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0.6</w:t>
            </w:r>
          </w:p>
        </w:tc>
        <w:tc>
          <w:tcPr>
            <w:tcW w:w="500" w:type="dxa"/>
            <w:tcBorders>
              <w:top w:val="nil"/>
              <w:left w:val="nil"/>
              <w:bottom w:val="nil"/>
              <w:right w:val="nil"/>
            </w:tcBorders>
            <w:shd w:val="clear" w:color="000000" w:fill="D5DF82"/>
            <w:noWrap/>
            <w:vAlign w:val="bottom"/>
            <w:hideMark/>
          </w:tcPr>
          <w:p w14:paraId="592914B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0.3</w:t>
            </w:r>
          </w:p>
        </w:tc>
        <w:tc>
          <w:tcPr>
            <w:tcW w:w="500" w:type="dxa"/>
            <w:tcBorders>
              <w:top w:val="nil"/>
              <w:left w:val="nil"/>
              <w:bottom w:val="nil"/>
              <w:right w:val="nil"/>
            </w:tcBorders>
            <w:shd w:val="clear" w:color="000000" w:fill="F8696B"/>
            <w:noWrap/>
            <w:vAlign w:val="bottom"/>
            <w:hideMark/>
          </w:tcPr>
          <w:p w14:paraId="180D0D4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-1.1</w:t>
            </w:r>
          </w:p>
        </w:tc>
        <w:tc>
          <w:tcPr>
            <w:tcW w:w="500" w:type="dxa"/>
            <w:tcBorders>
              <w:top w:val="nil"/>
              <w:left w:val="nil"/>
              <w:bottom w:val="nil"/>
              <w:right w:val="nil"/>
            </w:tcBorders>
            <w:shd w:val="clear" w:color="000000" w:fill="63BE7B"/>
            <w:noWrap/>
            <w:vAlign w:val="bottom"/>
            <w:hideMark/>
          </w:tcPr>
          <w:p w14:paraId="47C3DB6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F8696B"/>
            <w:noWrap/>
            <w:vAlign w:val="bottom"/>
            <w:hideMark/>
          </w:tcPr>
          <w:p w14:paraId="3FC4BA2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-1.2</w:t>
            </w:r>
          </w:p>
        </w:tc>
        <w:tc>
          <w:tcPr>
            <w:tcW w:w="500" w:type="dxa"/>
            <w:tcBorders>
              <w:top w:val="nil"/>
              <w:left w:val="nil"/>
              <w:bottom w:val="nil"/>
              <w:right w:val="nil"/>
            </w:tcBorders>
            <w:shd w:val="clear" w:color="000000" w:fill="F8696B"/>
            <w:noWrap/>
            <w:vAlign w:val="bottom"/>
            <w:hideMark/>
          </w:tcPr>
          <w:p w14:paraId="7925A1A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-1.2</w:t>
            </w:r>
          </w:p>
        </w:tc>
        <w:tc>
          <w:tcPr>
            <w:tcW w:w="500" w:type="dxa"/>
            <w:tcBorders>
              <w:top w:val="nil"/>
              <w:left w:val="nil"/>
              <w:bottom w:val="nil"/>
              <w:right w:val="nil"/>
            </w:tcBorders>
            <w:shd w:val="clear" w:color="000000" w:fill="FBB078"/>
            <w:noWrap/>
            <w:vAlign w:val="bottom"/>
            <w:hideMark/>
          </w:tcPr>
          <w:p w14:paraId="33B6CAA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-0.5</w:t>
            </w:r>
          </w:p>
        </w:tc>
        <w:tc>
          <w:tcPr>
            <w:tcW w:w="500" w:type="dxa"/>
            <w:tcBorders>
              <w:top w:val="nil"/>
              <w:left w:val="nil"/>
              <w:bottom w:val="nil"/>
              <w:right w:val="nil"/>
            </w:tcBorders>
            <w:shd w:val="clear" w:color="000000" w:fill="FDCB7D"/>
            <w:noWrap/>
            <w:vAlign w:val="bottom"/>
            <w:hideMark/>
          </w:tcPr>
          <w:p w14:paraId="0689137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-0.2</w:t>
            </w:r>
          </w:p>
        </w:tc>
        <w:tc>
          <w:tcPr>
            <w:tcW w:w="500" w:type="dxa"/>
            <w:tcBorders>
              <w:top w:val="nil"/>
              <w:left w:val="nil"/>
              <w:bottom w:val="nil"/>
              <w:right w:val="nil"/>
            </w:tcBorders>
            <w:shd w:val="clear" w:color="000000" w:fill="F98770"/>
            <w:noWrap/>
            <w:vAlign w:val="bottom"/>
            <w:hideMark/>
          </w:tcPr>
          <w:p w14:paraId="53BC181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-0.8</w:t>
            </w:r>
          </w:p>
        </w:tc>
        <w:tc>
          <w:tcPr>
            <w:tcW w:w="500" w:type="dxa"/>
            <w:tcBorders>
              <w:top w:val="nil"/>
              <w:left w:val="nil"/>
              <w:bottom w:val="nil"/>
              <w:right w:val="nil"/>
            </w:tcBorders>
            <w:shd w:val="clear" w:color="000000" w:fill="F8696B"/>
            <w:noWrap/>
            <w:vAlign w:val="bottom"/>
            <w:hideMark/>
          </w:tcPr>
          <w:p w14:paraId="71F5FB9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-1.2</w:t>
            </w:r>
          </w:p>
        </w:tc>
        <w:tc>
          <w:tcPr>
            <w:tcW w:w="500" w:type="dxa"/>
            <w:tcBorders>
              <w:top w:val="nil"/>
              <w:left w:val="nil"/>
              <w:bottom w:val="nil"/>
              <w:right w:val="nil"/>
            </w:tcBorders>
            <w:shd w:val="clear" w:color="000000" w:fill="FEDE81"/>
            <w:noWrap/>
            <w:vAlign w:val="bottom"/>
            <w:hideMark/>
          </w:tcPr>
          <w:p w14:paraId="04C258C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-0.1</w:t>
            </w:r>
          </w:p>
        </w:tc>
        <w:tc>
          <w:tcPr>
            <w:tcW w:w="500" w:type="dxa"/>
            <w:tcBorders>
              <w:top w:val="nil"/>
              <w:left w:val="nil"/>
              <w:bottom w:val="nil"/>
              <w:right w:val="nil"/>
            </w:tcBorders>
            <w:shd w:val="clear" w:color="000000" w:fill="F4E884"/>
            <w:noWrap/>
            <w:vAlign w:val="bottom"/>
            <w:hideMark/>
          </w:tcPr>
          <w:p w14:paraId="2ED5951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0.1</w:t>
            </w:r>
          </w:p>
        </w:tc>
      </w:tr>
      <w:tr w:rsidR="00082930" w:rsidRPr="00082930" w14:paraId="77F3B68B"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BE6C5F2"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C00111</w:t>
            </w:r>
          </w:p>
        </w:tc>
        <w:tc>
          <w:tcPr>
            <w:tcW w:w="960" w:type="dxa"/>
            <w:tcBorders>
              <w:top w:val="nil"/>
              <w:left w:val="nil"/>
              <w:bottom w:val="single" w:sz="4" w:space="0" w:color="auto"/>
              <w:right w:val="single" w:sz="4" w:space="0" w:color="auto"/>
            </w:tcBorders>
            <w:shd w:val="clear" w:color="auto" w:fill="auto"/>
            <w:noWrap/>
            <w:hideMark/>
          </w:tcPr>
          <w:p w14:paraId="2F448C5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dhap</w:t>
            </w:r>
            <w:proofErr w:type="spellEnd"/>
          </w:p>
        </w:tc>
        <w:tc>
          <w:tcPr>
            <w:tcW w:w="500" w:type="dxa"/>
            <w:tcBorders>
              <w:top w:val="nil"/>
              <w:left w:val="nil"/>
              <w:bottom w:val="nil"/>
              <w:right w:val="nil"/>
            </w:tcBorders>
            <w:shd w:val="clear" w:color="000000" w:fill="F8696B"/>
            <w:noWrap/>
            <w:vAlign w:val="bottom"/>
            <w:hideMark/>
          </w:tcPr>
          <w:p w14:paraId="73C98F2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-5.5</w:t>
            </w:r>
          </w:p>
        </w:tc>
        <w:tc>
          <w:tcPr>
            <w:tcW w:w="500" w:type="dxa"/>
            <w:tcBorders>
              <w:top w:val="nil"/>
              <w:left w:val="nil"/>
              <w:bottom w:val="nil"/>
              <w:right w:val="nil"/>
            </w:tcBorders>
            <w:shd w:val="clear" w:color="000000" w:fill="F8696B"/>
            <w:noWrap/>
            <w:vAlign w:val="bottom"/>
            <w:hideMark/>
          </w:tcPr>
          <w:p w14:paraId="1685639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-4.7</w:t>
            </w:r>
          </w:p>
        </w:tc>
        <w:tc>
          <w:tcPr>
            <w:tcW w:w="500" w:type="dxa"/>
            <w:tcBorders>
              <w:top w:val="nil"/>
              <w:left w:val="nil"/>
              <w:bottom w:val="nil"/>
              <w:right w:val="nil"/>
            </w:tcBorders>
            <w:shd w:val="clear" w:color="000000" w:fill="F8696B"/>
            <w:noWrap/>
            <w:vAlign w:val="bottom"/>
            <w:hideMark/>
          </w:tcPr>
          <w:p w14:paraId="164AA07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-2.3</w:t>
            </w:r>
          </w:p>
        </w:tc>
        <w:tc>
          <w:tcPr>
            <w:tcW w:w="500" w:type="dxa"/>
            <w:tcBorders>
              <w:top w:val="nil"/>
              <w:left w:val="nil"/>
              <w:bottom w:val="nil"/>
              <w:right w:val="nil"/>
            </w:tcBorders>
            <w:shd w:val="clear" w:color="000000" w:fill="F8696B"/>
            <w:noWrap/>
            <w:vAlign w:val="bottom"/>
            <w:hideMark/>
          </w:tcPr>
          <w:p w14:paraId="47FA3AA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-2.0</w:t>
            </w:r>
          </w:p>
        </w:tc>
        <w:tc>
          <w:tcPr>
            <w:tcW w:w="500" w:type="dxa"/>
            <w:tcBorders>
              <w:top w:val="nil"/>
              <w:left w:val="nil"/>
              <w:bottom w:val="nil"/>
              <w:right w:val="nil"/>
            </w:tcBorders>
            <w:shd w:val="clear" w:color="000000" w:fill="F8696B"/>
            <w:noWrap/>
            <w:vAlign w:val="bottom"/>
            <w:hideMark/>
          </w:tcPr>
          <w:p w14:paraId="65A8576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-2.0</w:t>
            </w:r>
          </w:p>
        </w:tc>
        <w:tc>
          <w:tcPr>
            <w:tcW w:w="500" w:type="dxa"/>
            <w:tcBorders>
              <w:top w:val="nil"/>
              <w:left w:val="nil"/>
              <w:bottom w:val="nil"/>
              <w:right w:val="nil"/>
            </w:tcBorders>
            <w:shd w:val="clear" w:color="000000" w:fill="F8696B"/>
            <w:noWrap/>
            <w:vAlign w:val="bottom"/>
            <w:hideMark/>
          </w:tcPr>
          <w:p w14:paraId="062E029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-1.7</w:t>
            </w:r>
          </w:p>
        </w:tc>
        <w:tc>
          <w:tcPr>
            <w:tcW w:w="500" w:type="dxa"/>
            <w:tcBorders>
              <w:top w:val="nil"/>
              <w:left w:val="nil"/>
              <w:bottom w:val="nil"/>
              <w:right w:val="nil"/>
            </w:tcBorders>
            <w:shd w:val="clear" w:color="000000" w:fill="F8696B"/>
            <w:noWrap/>
            <w:vAlign w:val="bottom"/>
            <w:hideMark/>
          </w:tcPr>
          <w:p w14:paraId="2E26B54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-4.8</w:t>
            </w:r>
          </w:p>
        </w:tc>
        <w:tc>
          <w:tcPr>
            <w:tcW w:w="500" w:type="dxa"/>
            <w:tcBorders>
              <w:top w:val="nil"/>
              <w:left w:val="nil"/>
              <w:bottom w:val="nil"/>
              <w:right w:val="nil"/>
            </w:tcBorders>
            <w:shd w:val="clear" w:color="000000" w:fill="F8696B"/>
            <w:noWrap/>
            <w:vAlign w:val="bottom"/>
            <w:hideMark/>
          </w:tcPr>
          <w:p w14:paraId="1E05046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-4.3</w:t>
            </w:r>
          </w:p>
        </w:tc>
        <w:tc>
          <w:tcPr>
            <w:tcW w:w="500" w:type="dxa"/>
            <w:tcBorders>
              <w:top w:val="nil"/>
              <w:left w:val="nil"/>
              <w:bottom w:val="nil"/>
              <w:right w:val="nil"/>
            </w:tcBorders>
            <w:shd w:val="clear" w:color="000000" w:fill="F8696B"/>
            <w:noWrap/>
            <w:vAlign w:val="bottom"/>
            <w:hideMark/>
          </w:tcPr>
          <w:p w14:paraId="4187230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-4.6</w:t>
            </w:r>
          </w:p>
        </w:tc>
        <w:tc>
          <w:tcPr>
            <w:tcW w:w="500" w:type="dxa"/>
            <w:tcBorders>
              <w:top w:val="nil"/>
              <w:left w:val="nil"/>
              <w:bottom w:val="nil"/>
              <w:right w:val="nil"/>
            </w:tcBorders>
            <w:shd w:val="clear" w:color="000000" w:fill="F8696B"/>
            <w:noWrap/>
            <w:vAlign w:val="bottom"/>
            <w:hideMark/>
          </w:tcPr>
          <w:p w14:paraId="7856EF0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-5.8</w:t>
            </w:r>
          </w:p>
        </w:tc>
        <w:tc>
          <w:tcPr>
            <w:tcW w:w="500" w:type="dxa"/>
            <w:tcBorders>
              <w:top w:val="nil"/>
              <w:left w:val="nil"/>
              <w:bottom w:val="nil"/>
              <w:right w:val="nil"/>
            </w:tcBorders>
            <w:shd w:val="clear" w:color="000000" w:fill="F8696B"/>
            <w:noWrap/>
            <w:vAlign w:val="bottom"/>
            <w:hideMark/>
          </w:tcPr>
          <w:p w14:paraId="3A1C973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-3.6</w:t>
            </w:r>
          </w:p>
        </w:tc>
        <w:tc>
          <w:tcPr>
            <w:tcW w:w="500" w:type="dxa"/>
            <w:tcBorders>
              <w:top w:val="nil"/>
              <w:left w:val="nil"/>
              <w:bottom w:val="nil"/>
              <w:right w:val="nil"/>
            </w:tcBorders>
            <w:shd w:val="clear" w:color="000000" w:fill="F8696B"/>
            <w:noWrap/>
            <w:vAlign w:val="bottom"/>
            <w:hideMark/>
          </w:tcPr>
          <w:p w14:paraId="75E1F15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-5.2</w:t>
            </w:r>
          </w:p>
        </w:tc>
      </w:tr>
      <w:tr w:rsidR="00082930" w:rsidRPr="00082930" w14:paraId="0B0386CF"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BAEF81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C00085</w:t>
            </w:r>
          </w:p>
        </w:tc>
        <w:tc>
          <w:tcPr>
            <w:tcW w:w="960" w:type="dxa"/>
            <w:tcBorders>
              <w:top w:val="nil"/>
              <w:left w:val="nil"/>
              <w:bottom w:val="single" w:sz="4" w:space="0" w:color="auto"/>
              <w:right w:val="single" w:sz="4" w:space="0" w:color="auto"/>
            </w:tcBorders>
            <w:shd w:val="clear" w:color="auto" w:fill="auto"/>
            <w:noWrap/>
            <w:hideMark/>
          </w:tcPr>
          <w:p w14:paraId="6270857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f6p</w:t>
            </w:r>
          </w:p>
        </w:tc>
        <w:tc>
          <w:tcPr>
            <w:tcW w:w="500" w:type="dxa"/>
            <w:tcBorders>
              <w:top w:val="nil"/>
              <w:left w:val="nil"/>
              <w:bottom w:val="nil"/>
              <w:right w:val="nil"/>
            </w:tcBorders>
            <w:shd w:val="clear" w:color="000000" w:fill="63BE7B"/>
            <w:noWrap/>
            <w:vAlign w:val="bottom"/>
            <w:hideMark/>
          </w:tcPr>
          <w:p w14:paraId="11BCEA6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c>
          <w:tcPr>
            <w:tcW w:w="500" w:type="dxa"/>
            <w:tcBorders>
              <w:top w:val="nil"/>
              <w:left w:val="nil"/>
              <w:bottom w:val="nil"/>
              <w:right w:val="nil"/>
            </w:tcBorders>
            <w:shd w:val="clear" w:color="000000" w:fill="63BE7B"/>
            <w:noWrap/>
            <w:vAlign w:val="bottom"/>
            <w:hideMark/>
          </w:tcPr>
          <w:p w14:paraId="1779C99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c>
          <w:tcPr>
            <w:tcW w:w="500" w:type="dxa"/>
            <w:tcBorders>
              <w:top w:val="nil"/>
              <w:left w:val="nil"/>
              <w:bottom w:val="nil"/>
              <w:right w:val="nil"/>
            </w:tcBorders>
            <w:shd w:val="clear" w:color="000000" w:fill="63BE7B"/>
            <w:noWrap/>
            <w:vAlign w:val="bottom"/>
            <w:hideMark/>
          </w:tcPr>
          <w:p w14:paraId="36375A9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049BC15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665579C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82CB5B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2.0</w:t>
            </w:r>
          </w:p>
        </w:tc>
        <w:tc>
          <w:tcPr>
            <w:tcW w:w="500" w:type="dxa"/>
            <w:tcBorders>
              <w:top w:val="nil"/>
              <w:left w:val="nil"/>
              <w:bottom w:val="nil"/>
              <w:right w:val="nil"/>
            </w:tcBorders>
            <w:shd w:val="clear" w:color="000000" w:fill="63BE7B"/>
            <w:noWrap/>
            <w:vAlign w:val="bottom"/>
            <w:hideMark/>
          </w:tcPr>
          <w:p w14:paraId="6643BD5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4FC4861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4159942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2496381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31F1ED7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c>
          <w:tcPr>
            <w:tcW w:w="500" w:type="dxa"/>
            <w:tcBorders>
              <w:top w:val="nil"/>
              <w:left w:val="nil"/>
              <w:bottom w:val="nil"/>
              <w:right w:val="nil"/>
            </w:tcBorders>
            <w:shd w:val="clear" w:color="000000" w:fill="63BE7B"/>
            <w:noWrap/>
            <w:vAlign w:val="bottom"/>
            <w:hideMark/>
          </w:tcPr>
          <w:p w14:paraId="292EFF4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1.1</w:t>
            </w:r>
          </w:p>
        </w:tc>
      </w:tr>
      <w:tr w:rsidR="00082930" w:rsidRPr="00082930" w14:paraId="5BEAD20D"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157620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C00354</w:t>
            </w:r>
          </w:p>
        </w:tc>
        <w:tc>
          <w:tcPr>
            <w:tcW w:w="960" w:type="dxa"/>
            <w:tcBorders>
              <w:top w:val="nil"/>
              <w:left w:val="nil"/>
              <w:bottom w:val="single" w:sz="4" w:space="0" w:color="auto"/>
              <w:right w:val="single" w:sz="4" w:space="0" w:color="auto"/>
            </w:tcBorders>
            <w:shd w:val="clear" w:color="auto" w:fill="auto"/>
            <w:noWrap/>
            <w:hideMark/>
          </w:tcPr>
          <w:p w14:paraId="3058948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fdp</w:t>
            </w:r>
            <w:proofErr w:type="spellEnd"/>
          </w:p>
        </w:tc>
        <w:tc>
          <w:tcPr>
            <w:tcW w:w="500" w:type="dxa"/>
            <w:tcBorders>
              <w:top w:val="nil"/>
              <w:left w:val="nil"/>
              <w:bottom w:val="nil"/>
              <w:right w:val="nil"/>
            </w:tcBorders>
            <w:shd w:val="clear" w:color="000000" w:fill="F8696B"/>
            <w:noWrap/>
            <w:vAlign w:val="bottom"/>
            <w:hideMark/>
          </w:tcPr>
          <w:p w14:paraId="51473E7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F8696B"/>
            <w:noWrap/>
            <w:vAlign w:val="bottom"/>
            <w:hideMark/>
          </w:tcPr>
          <w:p w14:paraId="3534F86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-1.2</w:t>
            </w:r>
          </w:p>
        </w:tc>
        <w:tc>
          <w:tcPr>
            <w:tcW w:w="500" w:type="dxa"/>
            <w:tcBorders>
              <w:top w:val="nil"/>
              <w:left w:val="nil"/>
              <w:bottom w:val="nil"/>
              <w:right w:val="nil"/>
            </w:tcBorders>
            <w:shd w:val="clear" w:color="000000" w:fill="FCC37C"/>
            <w:noWrap/>
            <w:vAlign w:val="bottom"/>
            <w:hideMark/>
          </w:tcPr>
          <w:p w14:paraId="4C2A940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-0.3</w:t>
            </w:r>
          </w:p>
        </w:tc>
        <w:tc>
          <w:tcPr>
            <w:tcW w:w="500" w:type="dxa"/>
            <w:tcBorders>
              <w:top w:val="nil"/>
              <w:left w:val="nil"/>
              <w:bottom w:val="nil"/>
              <w:right w:val="nil"/>
            </w:tcBorders>
            <w:shd w:val="clear" w:color="000000" w:fill="FCB87A"/>
            <w:noWrap/>
            <w:vAlign w:val="bottom"/>
            <w:hideMark/>
          </w:tcPr>
          <w:p w14:paraId="187EDAF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-0.4</w:t>
            </w:r>
          </w:p>
        </w:tc>
        <w:tc>
          <w:tcPr>
            <w:tcW w:w="500" w:type="dxa"/>
            <w:tcBorders>
              <w:top w:val="nil"/>
              <w:left w:val="nil"/>
              <w:bottom w:val="nil"/>
              <w:right w:val="nil"/>
            </w:tcBorders>
            <w:shd w:val="clear" w:color="000000" w:fill="FDC67D"/>
            <w:noWrap/>
            <w:vAlign w:val="bottom"/>
            <w:hideMark/>
          </w:tcPr>
          <w:p w14:paraId="55A3159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-0.3</w:t>
            </w:r>
          </w:p>
        </w:tc>
        <w:tc>
          <w:tcPr>
            <w:tcW w:w="500" w:type="dxa"/>
            <w:tcBorders>
              <w:top w:val="nil"/>
              <w:left w:val="nil"/>
              <w:bottom w:val="nil"/>
              <w:right w:val="nil"/>
            </w:tcBorders>
            <w:shd w:val="clear" w:color="000000" w:fill="FEE883"/>
            <w:noWrap/>
            <w:vAlign w:val="bottom"/>
            <w:hideMark/>
          </w:tcPr>
          <w:p w14:paraId="6C7F1B5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0.0</w:t>
            </w:r>
          </w:p>
        </w:tc>
        <w:tc>
          <w:tcPr>
            <w:tcW w:w="500" w:type="dxa"/>
            <w:tcBorders>
              <w:top w:val="nil"/>
              <w:left w:val="nil"/>
              <w:bottom w:val="nil"/>
              <w:right w:val="nil"/>
            </w:tcBorders>
            <w:shd w:val="clear" w:color="000000" w:fill="F8766D"/>
            <w:noWrap/>
            <w:vAlign w:val="bottom"/>
            <w:hideMark/>
          </w:tcPr>
          <w:p w14:paraId="6349A7C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-0.9</w:t>
            </w:r>
          </w:p>
        </w:tc>
        <w:tc>
          <w:tcPr>
            <w:tcW w:w="500" w:type="dxa"/>
            <w:tcBorders>
              <w:top w:val="nil"/>
              <w:left w:val="nil"/>
              <w:bottom w:val="nil"/>
              <w:right w:val="nil"/>
            </w:tcBorders>
            <w:shd w:val="clear" w:color="000000" w:fill="F9806F"/>
            <w:noWrap/>
            <w:vAlign w:val="bottom"/>
            <w:hideMark/>
          </w:tcPr>
          <w:p w14:paraId="1BB5A9C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-0.8</w:t>
            </w:r>
          </w:p>
        </w:tc>
        <w:tc>
          <w:tcPr>
            <w:tcW w:w="500" w:type="dxa"/>
            <w:tcBorders>
              <w:top w:val="nil"/>
              <w:left w:val="nil"/>
              <w:bottom w:val="nil"/>
              <w:right w:val="nil"/>
            </w:tcBorders>
            <w:shd w:val="clear" w:color="000000" w:fill="F8696B"/>
            <w:noWrap/>
            <w:vAlign w:val="bottom"/>
            <w:hideMark/>
          </w:tcPr>
          <w:p w14:paraId="233DF04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-1.1</w:t>
            </w:r>
          </w:p>
        </w:tc>
        <w:tc>
          <w:tcPr>
            <w:tcW w:w="500" w:type="dxa"/>
            <w:tcBorders>
              <w:top w:val="nil"/>
              <w:left w:val="nil"/>
              <w:bottom w:val="nil"/>
              <w:right w:val="nil"/>
            </w:tcBorders>
            <w:shd w:val="clear" w:color="000000" w:fill="F8696B"/>
            <w:noWrap/>
            <w:vAlign w:val="bottom"/>
            <w:hideMark/>
          </w:tcPr>
          <w:p w14:paraId="1A37E99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-1.0</w:t>
            </w:r>
          </w:p>
        </w:tc>
        <w:tc>
          <w:tcPr>
            <w:tcW w:w="500" w:type="dxa"/>
            <w:tcBorders>
              <w:top w:val="nil"/>
              <w:left w:val="nil"/>
              <w:bottom w:val="nil"/>
              <w:right w:val="nil"/>
            </w:tcBorders>
            <w:shd w:val="clear" w:color="000000" w:fill="F86B6B"/>
            <w:noWrap/>
            <w:vAlign w:val="bottom"/>
            <w:hideMark/>
          </w:tcPr>
          <w:p w14:paraId="6E088A0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-1.0</w:t>
            </w:r>
          </w:p>
        </w:tc>
        <w:tc>
          <w:tcPr>
            <w:tcW w:w="500" w:type="dxa"/>
            <w:tcBorders>
              <w:top w:val="nil"/>
              <w:left w:val="nil"/>
              <w:bottom w:val="nil"/>
              <w:right w:val="nil"/>
            </w:tcBorders>
            <w:shd w:val="clear" w:color="000000" w:fill="F87B6E"/>
            <w:noWrap/>
            <w:vAlign w:val="bottom"/>
            <w:hideMark/>
          </w:tcPr>
          <w:p w14:paraId="58A5639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-0.9</w:t>
            </w:r>
          </w:p>
        </w:tc>
      </w:tr>
      <w:tr w:rsidR="00082930" w:rsidRPr="00082930" w14:paraId="1F63854A"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A89250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C00092</w:t>
            </w:r>
          </w:p>
        </w:tc>
        <w:tc>
          <w:tcPr>
            <w:tcW w:w="960" w:type="dxa"/>
            <w:tcBorders>
              <w:top w:val="nil"/>
              <w:left w:val="nil"/>
              <w:bottom w:val="single" w:sz="4" w:space="0" w:color="auto"/>
              <w:right w:val="single" w:sz="4" w:space="0" w:color="auto"/>
            </w:tcBorders>
            <w:shd w:val="clear" w:color="auto" w:fill="auto"/>
            <w:noWrap/>
            <w:hideMark/>
          </w:tcPr>
          <w:p w14:paraId="5A5E2B0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g6p</w:t>
            </w:r>
          </w:p>
        </w:tc>
        <w:tc>
          <w:tcPr>
            <w:tcW w:w="500" w:type="dxa"/>
            <w:tcBorders>
              <w:top w:val="nil"/>
              <w:left w:val="nil"/>
              <w:bottom w:val="nil"/>
              <w:right w:val="nil"/>
            </w:tcBorders>
            <w:shd w:val="clear" w:color="000000" w:fill="63BE7B"/>
            <w:noWrap/>
            <w:vAlign w:val="bottom"/>
            <w:hideMark/>
          </w:tcPr>
          <w:p w14:paraId="69A568D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09B3A38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1.4</w:t>
            </w:r>
          </w:p>
        </w:tc>
        <w:tc>
          <w:tcPr>
            <w:tcW w:w="500" w:type="dxa"/>
            <w:tcBorders>
              <w:top w:val="nil"/>
              <w:left w:val="nil"/>
              <w:bottom w:val="nil"/>
              <w:right w:val="nil"/>
            </w:tcBorders>
            <w:shd w:val="clear" w:color="000000" w:fill="63BE7B"/>
            <w:noWrap/>
            <w:vAlign w:val="bottom"/>
            <w:hideMark/>
          </w:tcPr>
          <w:p w14:paraId="4B96087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55D0094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29001A1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03F6D56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1.6</w:t>
            </w:r>
          </w:p>
        </w:tc>
        <w:tc>
          <w:tcPr>
            <w:tcW w:w="500" w:type="dxa"/>
            <w:tcBorders>
              <w:top w:val="nil"/>
              <w:left w:val="nil"/>
              <w:bottom w:val="nil"/>
              <w:right w:val="nil"/>
            </w:tcBorders>
            <w:shd w:val="clear" w:color="000000" w:fill="63BE7B"/>
            <w:noWrap/>
            <w:vAlign w:val="bottom"/>
            <w:hideMark/>
          </w:tcPr>
          <w:p w14:paraId="2F64B3F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455900B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027E561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1.6</w:t>
            </w:r>
          </w:p>
        </w:tc>
        <w:tc>
          <w:tcPr>
            <w:tcW w:w="500" w:type="dxa"/>
            <w:tcBorders>
              <w:top w:val="nil"/>
              <w:left w:val="nil"/>
              <w:bottom w:val="nil"/>
              <w:right w:val="nil"/>
            </w:tcBorders>
            <w:shd w:val="clear" w:color="000000" w:fill="63BE7B"/>
            <w:noWrap/>
            <w:vAlign w:val="bottom"/>
            <w:hideMark/>
          </w:tcPr>
          <w:p w14:paraId="43B9546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37E78EB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1.7</w:t>
            </w:r>
          </w:p>
        </w:tc>
        <w:tc>
          <w:tcPr>
            <w:tcW w:w="500" w:type="dxa"/>
            <w:tcBorders>
              <w:top w:val="nil"/>
              <w:left w:val="nil"/>
              <w:bottom w:val="nil"/>
              <w:right w:val="nil"/>
            </w:tcBorders>
            <w:shd w:val="clear" w:color="000000" w:fill="63BE7B"/>
            <w:noWrap/>
            <w:vAlign w:val="bottom"/>
            <w:hideMark/>
          </w:tcPr>
          <w:p w14:paraId="495A11A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r>
      <w:tr w:rsidR="00082930" w:rsidRPr="00082930" w14:paraId="2E8B4735"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7FD3103"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C00103</w:t>
            </w:r>
          </w:p>
        </w:tc>
        <w:tc>
          <w:tcPr>
            <w:tcW w:w="960" w:type="dxa"/>
            <w:tcBorders>
              <w:top w:val="nil"/>
              <w:left w:val="nil"/>
              <w:bottom w:val="single" w:sz="4" w:space="0" w:color="auto"/>
              <w:right w:val="single" w:sz="4" w:space="0" w:color="auto"/>
            </w:tcBorders>
            <w:shd w:val="clear" w:color="auto" w:fill="auto"/>
            <w:noWrap/>
            <w:hideMark/>
          </w:tcPr>
          <w:p w14:paraId="574E24B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g1p</w:t>
            </w:r>
          </w:p>
        </w:tc>
        <w:tc>
          <w:tcPr>
            <w:tcW w:w="500" w:type="dxa"/>
            <w:tcBorders>
              <w:top w:val="nil"/>
              <w:left w:val="nil"/>
              <w:bottom w:val="nil"/>
              <w:right w:val="nil"/>
            </w:tcBorders>
            <w:shd w:val="clear" w:color="000000" w:fill="63BE7B"/>
            <w:noWrap/>
            <w:vAlign w:val="bottom"/>
            <w:hideMark/>
          </w:tcPr>
          <w:p w14:paraId="6BE37E8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1.6</w:t>
            </w:r>
          </w:p>
        </w:tc>
        <w:tc>
          <w:tcPr>
            <w:tcW w:w="500" w:type="dxa"/>
            <w:tcBorders>
              <w:top w:val="nil"/>
              <w:left w:val="nil"/>
              <w:bottom w:val="nil"/>
              <w:right w:val="nil"/>
            </w:tcBorders>
            <w:shd w:val="clear" w:color="000000" w:fill="63BE7B"/>
            <w:noWrap/>
            <w:vAlign w:val="bottom"/>
            <w:hideMark/>
          </w:tcPr>
          <w:p w14:paraId="11792F0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c>
          <w:tcPr>
            <w:tcW w:w="500" w:type="dxa"/>
            <w:tcBorders>
              <w:top w:val="nil"/>
              <w:left w:val="nil"/>
              <w:bottom w:val="nil"/>
              <w:right w:val="nil"/>
            </w:tcBorders>
            <w:shd w:val="clear" w:color="000000" w:fill="63BE7B"/>
            <w:noWrap/>
            <w:vAlign w:val="bottom"/>
            <w:hideMark/>
          </w:tcPr>
          <w:p w14:paraId="710CCA8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2C2410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144CAC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72356F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1CADC3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0E6F68E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6318128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2.0</w:t>
            </w:r>
          </w:p>
        </w:tc>
        <w:tc>
          <w:tcPr>
            <w:tcW w:w="500" w:type="dxa"/>
            <w:tcBorders>
              <w:top w:val="nil"/>
              <w:left w:val="nil"/>
              <w:bottom w:val="nil"/>
              <w:right w:val="nil"/>
            </w:tcBorders>
            <w:shd w:val="clear" w:color="000000" w:fill="63BE7B"/>
            <w:noWrap/>
            <w:vAlign w:val="bottom"/>
            <w:hideMark/>
          </w:tcPr>
          <w:p w14:paraId="2D8A954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88D003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44ECFE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0504A0AD"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037981E"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C00031</w:t>
            </w:r>
          </w:p>
        </w:tc>
        <w:tc>
          <w:tcPr>
            <w:tcW w:w="960" w:type="dxa"/>
            <w:tcBorders>
              <w:top w:val="nil"/>
              <w:left w:val="nil"/>
              <w:bottom w:val="single" w:sz="4" w:space="0" w:color="auto"/>
              <w:right w:val="single" w:sz="4" w:space="0" w:color="auto"/>
            </w:tcBorders>
            <w:shd w:val="clear" w:color="auto" w:fill="auto"/>
            <w:noWrap/>
            <w:hideMark/>
          </w:tcPr>
          <w:p w14:paraId="5FD384E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glc</w:t>
            </w:r>
            <w:proofErr w:type="spellEnd"/>
            <w:r w:rsidRPr="00082930">
              <w:rPr>
                <w:rFonts w:ascii="Calibri" w:eastAsia="Times New Roman" w:hAnsi="Calibri" w:cs="Calibri"/>
                <w:b/>
                <w:bCs/>
                <w:color w:val="000000"/>
                <w:sz w:val="18"/>
                <w:szCs w:val="18"/>
              </w:rPr>
              <w:t>-d</w:t>
            </w:r>
          </w:p>
        </w:tc>
        <w:tc>
          <w:tcPr>
            <w:tcW w:w="500" w:type="dxa"/>
            <w:tcBorders>
              <w:top w:val="nil"/>
              <w:left w:val="nil"/>
              <w:bottom w:val="nil"/>
              <w:right w:val="nil"/>
            </w:tcBorders>
            <w:shd w:val="clear" w:color="000000" w:fill="63BE7B"/>
            <w:noWrap/>
            <w:vAlign w:val="bottom"/>
            <w:hideMark/>
          </w:tcPr>
          <w:p w14:paraId="509E48C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35A5F8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D10374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22497B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0DC74C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478224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FC8A60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F976F3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F9305D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654206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46B458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257953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256E9CC6"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D94AEB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C00074</w:t>
            </w:r>
          </w:p>
        </w:tc>
        <w:tc>
          <w:tcPr>
            <w:tcW w:w="960" w:type="dxa"/>
            <w:tcBorders>
              <w:top w:val="nil"/>
              <w:left w:val="nil"/>
              <w:bottom w:val="single" w:sz="4" w:space="0" w:color="auto"/>
              <w:right w:val="single" w:sz="4" w:space="0" w:color="auto"/>
            </w:tcBorders>
            <w:shd w:val="clear" w:color="auto" w:fill="auto"/>
            <w:noWrap/>
            <w:hideMark/>
          </w:tcPr>
          <w:p w14:paraId="6BFF8037"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pep</w:t>
            </w:r>
          </w:p>
        </w:tc>
        <w:tc>
          <w:tcPr>
            <w:tcW w:w="500" w:type="dxa"/>
            <w:tcBorders>
              <w:top w:val="nil"/>
              <w:left w:val="nil"/>
              <w:bottom w:val="nil"/>
              <w:right w:val="nil"/>
            </w:tcBorders>
            <w:shd w:val="clear" w:color="000000" w:fill="63BE7B"/>
            <w:noWrap/>
            <w:vAlign w:val="bottom"/>
            <w:hideMark/>
          </w:tcPr>
          <w:p w14:paraId="43E6A0B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1B135B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666C37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F665E9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548937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C4D9F5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8E6DF2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C0AC33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3EFE0B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48D584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D80565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F7C0F9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0CCFDB06"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F812303"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C00022</w:t>
            </w:r>
          </w:p>
        </w:tc>
        <w:tc>
          <w:tcPr>
            <w:tcW w:w="960" w:type="dxa"/>
            <w:tcBorders>
              <w:top w:val="nil"/>
              <w:left w:val="nil"/>
              <w:bottom w:val="single" w:sz="4" w:space="0" w:color="auto"/>
              <w:right w:val="single" w:sz="4" w:space="0" w:color="auto"/>
            </w:tcBorders>
            <w:shd w:val="clear" w:color="auto" w:fill="auto"/>
            <w:noWrap/>
            <w:hideMark/>
          </w:tcPr>
          <w:p w14:paraId="3828DDB7"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pyr</w:t>
            </w:r>
            <w:proofErr w:type="spellEnd"/>
          </w:p>
        </w:tc>
        <w:tc>
          <w:tcPr>
            <w:tcW w:w="500" w:type="dxa"/>
            <w:tcBorders>
              <w:top w:val="nil"/>
              <w:left w:val="nil"/>
              <w:bottom w:val="nil"/>
              <w:right w:val="nil"/>
            </w:tcBorders>
            <w:shd w:val="clear" w:color="000000" w:fill="63BE7B"/>
            <w:noWrap/>
            <w:vAlign w:val="bottom"/>
            <w:hideMark/>
          </w:tcPr>
          <w:p w14:paraId="12CE951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A3A648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D2E77D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AB837D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842160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A54FBB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949732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1D3405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058F52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FC2541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D21665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5605CA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5A4EA4C6"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D1232F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C00149</w:t>
            </w:r>
          </w:p>
        </w:tc>
        <w:tc>
          <w:tcPr>
            <w:tcW w:w="960" w:type="dxa"/>
            <w:tcBorders>
              <w:top w:val="nil"/>
              <w:left w:val="nil"/>
              <w:bottom w:val="single" w:sz="4" w:space="0" w:color="auto"/>
              <w:right w:val="single" w:sz="4" w:space="0" w:color="auto"/>
            </w:tcBorders>
            <w:shd w:val="clear" w:color="auto" w:fill="auto"/>
            <w:noWrap/>
            <w:hideMark/>
          </w:tcPr>
          <w:p w14:paraId="5E3B34D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mal-l</w:t>
            </w:r>
          </w:p>
        </w:tc>
        <w:tc>
          <w:tcPr>
            <w:tcW w:w="500" w:type="dxa"/>
            <w:tcBorders>
              <w:top w:val="nil"/>
              <w:left w:val="nil"/>
              <w:bottom w:val="nil"/>
              <w:right w:val="nil"/>
            </w:tcBorders>
            <w:shd w:val="clear" w:color="000000" w:fill="63BE7B"/>
            <w:noWrap/>
            <w:vAlign w:val="bottom"/>
            <w:hideMark/>
          </w:tcPr>
          <w:p w14:paraId="206795B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0E682D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63730C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E57099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C1915F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96C92A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542D60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01A923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667BAC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475D8C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80A651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1D52DE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bl>
    <w:p w14:paraId="7BB833BE" w14:textId="6204D0C9" w:rsidR="00082930" w:rsidRDefault="00082930" w:rsidP="00AA2200"/>
    <w:p w14:paraId="6DCAA0FC" w14:textId="7159115A" w:rsidR="00082930" w:rsidRDefault="00082930" w:rsidP="00AA2200">
      <w:r>
        <w:t xml:space="preserve">From this, we can see that </w:t>
      </w:r>
      <w:r w:rsidR="005201E3">
        <w:t xml:space="preserve">there are potential problems with 3 metabolites: </w:t>
      </w:r>
      <w:commentRangeStart w:id="9"/>
      <w:r w:rsidR="005201E3">
        <w:t>acetyl-coA (</w:t>
      </w:r>
      <w:proofErr w:type="spellStart"/>
      <w:r w:rsidR="005201E3">
        <w:t>accoa</w:t>
      </w:r>
      <w:proofErr w:type="spellEnd"/>
      <w:r w:rsidR="005201E3">
        <w:t>)</w:t>
      </w:r>
      <w:commentRangeEnd w:id="9"/>
      <w:r w:rsidR="00F9270E">
        <w:rPr>
          <w:rStyle w:val="CommentReference"/>
        </w:rPr>
        <w:commentReference w:id="9"/>
      </w:r>
      <w:r w:rsidR="005201E3">
        <w:t>, dihydroxyacetonephosphate (</w:t>
      </w:r>
      <w:proofErr w:type="spellStart"/>
      <w:r w:rsidR="005201E3">
        <w:t>dhap</w:t>
      </w:r>
      <w:proofErr w:type="spellEnd"/>
      <w:r w:rsidR="005201E3">
        <w:t>), and fructose-1,6-bisphosphate (</w:t>
      </w:r>
      <w:proofErr w:type="spellStart"/>
      <w:r w:rsidR="005201E3">
        <w:t>fdp</w:t>
      </w:r>
      <w:proofErr w:type="spellEnd"/>
      <w:r w:rsidR="005201E3">
        <w:t>)</w:t>
      </w:r>
      <w:r w:rsidR="00BB0466">
        <w:t>.</w:t>
      </w:r>
    </w:p>
    <w:p w14:paraId="00FBA794" w14:textId="5158923C" w:rsidR="00F9270E" w:rsidRDefault="00F9270E" w:rsidP="00AA2200"/>
    <w:p w14:paraId="4DEEEDDA" w14:textId="3EEC5629" w:rsidR="00F9270E" w:rsidRDefault="00F9270E" w:rsidP="00F9270E">
      <w:pPr>
        <w:pStyle w:val="Heading2"/>
      </w:pPr>
      <w:r>
        <w:t>FDP and DHAP levels</w:t>
      </w:r>
    </w:p>
    <w:p w14:paraId="7BDEE28D" w14:textId="4D5B8086" w:rsidR="00A76E46" w:rsidRDefault="00F9270E" w:rsidP="00F9270E">
      <w:r>
        <w:t>FDP and DHAP are the two metabolites that caus</w:t>
      </w:r>
      <w:r w:rsidR="00510DE6">
        <w:t>e</w:t>
      </w:r>
      <w:r>
        <w:t xml:space="preserve"> the biggest problems with thermodynamic consistency of the </w:t>
      </w:r>
      <w:r w:rsidRPr="00F9270E">
        <w:rPr>
          <w:i/>
        </w:rPr>
        <w:t>C. thermocellum</w:t>
      </w:r>
      <w:r>
        <w:t xml:space="preserve"> metabolic pathway.</w:t>
      </w:r>
      <w:r w:rsidR="00643C56">
        <w:t xml:space="preserve"> The set of reactions that allow for substrate-level phosphorylation</w:t>
      </w:r>
      <w:r w:rsidR="00C920DB">
        <w:t xml:space="preserve"> (SLP)</w:t>
      </w:r>
      <w:r w:rsidR="00643C56">
        <w:t xml:space="preserve"> in EMP glycolysis (FBA, TPI, GAPDH and PGK) are known to be a thermodynamic bottleneck </w:t>
      </w:r>
      <w:r w:rsidR="001F5051">
        <w:fldChar w:fldCharType="begin" w:fldLock="1"/>
      </w:r>
      <w:r w:rsidR="005C04DB">
        <w:instrText>ADDIN CSL_CITATION {"citationItems":[{"id":"ITEM-1","itemData":{"DOI":"10.1016/B978-0-12-666260-3.X5000-6","ISBN":"9780126662603","author":[{"dropping-particle":"","family":"Stephanopoulos","given":"Gregory N.","non-dropping-particle":"","parse-names":false,"suffix":""},{"dropping-particle":"","family":"Aristidou","given":"Aristos A.","non-dropping-particle":"","parse-names":false,"suffix":""},{"dropping-particle":"","family":"Nielsen","given":"Jens","non-dropping-particle":"","parse-names":false,"suffix":""}],"id":"ITEM-1","issued":{"date-parts":[["1998"]]},"publisher":"Elsevier","publisher-place":"San Diego","title":"Metabolic Engineering, Principles and Methodologies","type":"book"},"uris":["http://www.mendeley.com/documents/?uuid=b00f1ebd-aa09-4ae9-8c99-152d8c081201"]},{"id":"ITEM-2","itemData":{"DOI":"10.1371/journal.pcbi.1003483","ISBN":"1553-7358 (Electronic)\\r1553-734X (Linking)","ISSN":"15537358","PMID":"24586134","abstract":"In metabolism research, thermodynamics is usually used to determine the directionality of a reaction or the feasibility of a pathway. However, the relationship between thermodynamic potentials and fluxes is not limited to questions of directionality: thermodynamics also affects the kinetics of reactions through the flux-force relationship, which states that the logarithm of the ratio between the forward and reverse fluxes is directly proportional to the change in Gibbs energy due to a reaction (ΔrG'). Accordingly, if an enzyme catalyzes a reaction with a ΔrG' of -5.7 kJ/mol then the forward flux will be roughly ten times the reverse flux. As ΔrG' approaches equilibrium (ΔrG' = 0 kJ/mol), exponentially more enzyme counterproductively catalyzes the reverse reaction, reducing the net rate at which the reaction proceeds. Thus, the enzyme level required to achieve a given flux increases dramatically near equilibrium. Here, we develop a framework for quantifying the degree to which pathways suffer these thermodynamic limitations on flux. For each pathway, we calculate a single thermodynamically-derived metric (the Max-min Driving Force, MDF), which enables objective ranking of pathways by the degree to which their flux is constrained by low thermodynamic driving force. Our framework accounts for the effect of pH, ionic strength and metabolite concentration ranges and allows us to quantify how alterations to the pathway structure affect the pathway's thermodynamics. Applying this methodology to pathways of central metabolism sheds light on some of their features, including metabolic bypasses (e.g., fermentation pathways bypassing substrate-level phosphorylation), substrate channeling (e.g., of oxaloacetate from malate dehydrogenase to citrate synthase), and use of alternative cofactors (e.g., quinone as an electron acceptor instead of NAD). The methods presented here place another arrow in metabolic engineers' quiver, providing a simple means of evaluating the thermodynamic and kinetic quality of different pathway chemistries that produce the same molecules.","author":[{"dropping-particle":"","family":"Noor","given":"Elad","non-dropping-particle":"","parse-names":false,"suffix":""},{"dropping-particle":"","family":"Bar-Even","given":"Arren","non-dropping-particle":"","parse-names":false,"suffix":""},{"dropping-particle":"","family":"Flamholz","given":"Avi","non-dropping-particle":"","parse-names":false,"suffix":""},{"dropping-particle":"","family":"Reznik","given":"Ed","non-dropping-particle":"","parse-names":false,"suffix":""},{"dropping-particle":"","family":"Liebermeister","given":"Wolfram","non-dropping-particle":"","parse-names":false,"suffix":""},{"dropping-particle":"","family":"Milo","given":"Ron","non-dropping-particle":"","parse-names":false,"suffix":""}],"container-title":"PLoS Computational Biology","id":"ITEM-2","issue":"2","issued":{"date-parts":[["2014"]]},"title":"Pathway Thermodynamics Highlights Kinetic Obstacles in Central Metabolism","type":"article-journal","volume":"10"},"uris":["http://www.mendeley.com/documents/?uuid=32b9dd0e-7a58-4fc5-ad12-f1512545536c"]}],"mendeley":{"formattedCitation":"(Noor et al., 2014; Stephanopoulos et al., 1998)","plainTextFormattedCitation":"(Noor et al., 2014; Stephanopoulos et al., 1998)","previouslyFormattedCitation":"(Noor et al., 2014; Stephanopoulos et al., 1998)"},"properties":{"noteIndex":0},"schema":"https://github.com/citation-style-language/schema/raw/master/csl-citation.json"}</w:instrText>
      </w:r>
      <w:r w:rsidR="001F5051">
        <w:fldChar w:fldCharType="separate"/>
      </w:r>
      <w:r w:rsidR="001F5051" w:rsidRPr="001F5051">
        <w:rPr>
          <w:noProof/>
        </w:rPr>
        <w:t>(Noor et al., 2014; Stephanopoulos et al., 1998)</w:t>
      </w:r>
      <w:r w:rsidR="001F5051">
        <w:fldChar w:fldCharType="end"/>
      </w:r>
      <w:r w:rsidR="00643C56">
        <w:t>.</w:t>
      </w:r>
      <w:r w:rsidR="001F5051">
        <w:t xml:space="preserve"> In </w:t>
      </w:r>
      <w:r w:rsidR="001F5051" w:rsidRPr="001F5051">
        <w:rPr>
          <w:i/>
        </w:rPr>
        <w:t>E. coli</w:t>
      </w:r>
      <w:r w:rsidR="001F5051">
        <w:t xml:space="preserve">, this pathway is feasible due to the high (&gt;10 mM) intracellular concentration of FDP </w:t>
      </w:r>
      <w:r w:rsidR="001F5051">
        <w:rPr>
          <w:rStyle w:val="FootnoteReference"/>
        </w:rPr>
        <w:fldChar w:fldCharType="begin" w:fldLock="1"/>
      </w:r>
      <w:r w:rsidR="001F5051">
        <w:instrText>ADDIN CSL_CITATION {"citationItems":[{"id":"ITEM-1","itemData":{"DOI":"10.1038/nchembio.186","ISBN":"1552-4469","ISSN":"15524469","PMID":"19561621","abstract":"Absolute metabolite concentrations are critical to a quantitative understanding of cellular metabolism, as concentrations impact both the free energies and rates of metabolic reactions. Here we use LC-MS/MS to quantify more than 100 metabolite concentrations in aerobic, exponentially growing Escherichia coli with glucose, glycerol or acetate as the carbon source. The total observed intracellular metabolite pool was approximately 300 mM. A small number of metabolites dominate the metabolome on a molar basis, with glutamate being the most abundant. Metabolite concentration exceeds K(m) for most substrate-enzyme pairs. An exception is lower glycolysis, where concentrations of intermediates are near the K(m) of their consuming enzymes and all reactions are near equilibrium. This may facilitate efficient flux reversibility given thermodynamic and osmotic constraints. The data and analyses presented here highlight the ability to identify organizing metabolic principles from systems-level absolute metabolite concentration data.","author":[{"dropping-particle":"","family":"Bennett","given":"Bryson D","non-dropping-particle":"","parse-names":false,"suffix":""},{"dropping-particle":"","family":"Kimball","given":"Elizabeth H","non-dropping-particle":"","parse-names":false,"suffix":""},{"dropping-particle":"","family":"Gao","given":"Melissa","non-dropping-particle":"","parse-names":false,"suffix":""},{"dropping-particle":"","family":"Osterhout","given":"Robin","non-dropping-particle":"","parse-names":false,"suffix":""},{"dropping-particle":"","family":"Dien","given":"Stephen J.","non-dropping-particle":"Van","parse-names":false,"suffix":""},{"dropping-particle":"","family":"Rabinowitz","given":"Joshua D","non-dropping-particle":"","parse-names":false,"suffix":""}],"container-title":"Nature Chemical Biology","id":"ITEM-1","issue":"8","issued":{"date-parts":[["2009"]]},"page":"593-599","title":"Absolute metabolite concentrations and implied enzyme active site occupancy in Escherichia coli","type":"article-journal","volume":"5"},"uris":["http://www.mendeley.com/documents/?uuid=22166a34-8f3f-41b8-90c3-3ef84696a824"]}],"mendeley":{"formattedCitation":"(Bennett et al., 2009)","plainTextFormattedCitation":"(Bennett et al., 2009)","previouslyFormattedCitation":"(Bennett et al., 2009)"},"properties":{"noteIndex":0},"schema":"https://github.com/citation-style-language/schema/raw/master/csl-citation.json"}</w:instrText>
      </w:r>
      <w:r w:rsidR="001F5051">
        <w:rPr>
          <w:rStyle w:val="FootnoteReference"/>
        </w:rPr>
        <w:fldChar w:fldCharType="separate"/>
      </w:r>
      <w:r w:rsidR="001F5051" w:rsidRPr="00643C56">
        <w:rPr>
          <w:noProof/>
        </w:rPr>
        <w:t>(Bennett et al., 2009)</w:t>
      </w:r>
      <w:r w:rsidR="001F5051">
        <w:rPr>
          <w:rStyle w:val="FootnoteReference"/>
        </w:rPr>
        <w:fldChar w:fldCharType="end"/>
      </w:r>
      <w:r w:rsidR="001F5051">
        <w:t xml:space="preserve">, however in </w:t>
      </w:r>
      <w:r w:rsidR="001F5051" w:rsidRPr="001F5051">
        <w:rPr>
          <w:i/>
        </w:rPr>
        <w:t>C. thermocellum</w:t>
      </w:r>
      <w:r w:rsidR="001F5051">
        <w:t xml:space="preserve">, the intracellular concentration of FDP is 2-3 orders of magnitude lower (10-100 µM). </w:t>
      </w:r>
      <w:r w:rsidR="00ED5A18">
        <w:t xml:space="preserve">At </w:t>
      </w:r>
      <w:r w:rsidR="00ED5A18">
        <w:lastRenderedPageBreak/>
        <w:t xml:space="preserve">10 µM, none of the datasets from the ethanol addition experiment are thermodynamically feasible. At 100 µM, </w:t>
      </w:r>
      <w:r w:rsidR="005C04DB">
        <w:t xml:space="preserve">however, 11 of 12 datasets are consistent with the MDF predictions from </w:t>
      </w:r>
      <w:r w:rsidR="005C04DB" w:rsidRPr="00B9400C">
        <w:rPr>
          <w:highlight w:val="yellow"/>
        </w:rPr>
        <w:t>Table GGG</w:t>
      </w:r>
      <w:r w:rsidR="005C04DB">
        <w:t xml:space="preserve">, suggesting that glycolysis may be able to function in </w:t>
      </w:r>
      <w:r w:rsidR="005C04DB" w:rsidRPr="00B9400C">
        <w:rPr>
          <w:i/>
        </w:rPr>
        <w:t>C. thermocellum</w:t>
      </w:r>
      <w:r w:rsidR="005C04DB">
        <w:t xml:space="preserve"> despite much lower levels of intracellular FDP than are commonly observed</w:t>
      </w:r>
      <w:r w:rsidR="00A76E46">
        <w:t xml:space="preserve"> in model organisms</w:t>
      </w:r>
      <w:r w:rsidR="005C04DB">
        <w:t>.</w:t>
      </w:r>
      <w:r w:rsidR="00A76E46">
        <w:t xml:space="preserve"> </w:t>
      </w:r>
    </w:p>
    <w:p w14:paraId="6BA12CE2" w14:textId="06E76936" w:rsidR="0025781C" w:rsidRDefault="00A76E46" w:rsidP="005A29FC">
      <w:r>
        <w:t xml:space="preserve">In these bottleneck reactions (FBA, TPI, GAPDH and PGK), there are several cofactor ratios that contribute to the thermodynamic feasibility: NAD/NADH and ATP/ADP. In the Noor et al. analysis </w:t>
      </w:r>
      <w:r>
        <w:fldChar w:fldCharType="begin" w:fldLock="1"/>
      </w:r>
      <w:r w:rsidR="005D3F06">
        <w:instrText>ADDIN CSL_CITATION {"citationItems":[{"id":"ITEM-1","itemData":{"DOI":"10.1371/journal.pcbi.1003483","ISBN":"1553-7358 (Electronic)\\r1553-734X (Linking)","ISSN":"15537358","PMID":"24586134","abstract":"In metabolism research, thermodynamics is usually used to determine the directionality of a reaction or the feasibility of a pathway. However, the relationship between thermodynamic potentials and fluxes is not limited to questions of directionality: thermodynamics also affects the kinetics of reactions through the flux-force relationship, which states that the logarithm of the ratio between the forward and reverse fluxes is directly proportional to the change in Gibbs energy due to a reaction (ΔrG'). Accordingly, if an enzyme catalyzes a reaction with a ΔrG' of -5.7 kJ/mol then the forward flux will be roughly ten times the reverse flux. As ΔrG' approaches equilibrium (ΔrG' = 0 kJ/mol), exponentially more enzyme counterproductively catalyzes the reverse reaction, reducing the net rate at which the reaction proceeds. Thus, the enzyme level required to achieve a given flux increases dramatically near equilibrium. Here, we develop a framework for quantifying the degree to which pathways suffer these thermodynamic limitations on flux. For each pathway, we calculate a single thermodynamically-derived metric (the Max-min Driving Force, MDF), which enables objective ranking of pathways by the degree to which their flux is constrained by low thermodynamic driving force. Our framework accounts for the effect of pH, ionic strength and metabolite concentration ranges and allows us to quantify how alterations to the pathway structure affect the pathway's thermodynamics. Applying this methodology to pathways of central metabolism sheds light on some of their features, including metabolic bypasses (e.g., fermentation pathways bypassing substrate-level phosphorylation), substrate channeling (e.g., of oxaloacetate from malate dehydrogenase to citrate synthase), and use of alternative cofactors (e.g., quinone as an electron acceptor instead of NAD). The methods presented here place another arrow in metabolic engineers' quiver, providing a simple means of evaluating the thermodynamic and kinetic quality of different pathway chemistries that produce the same molecules.","author":[{"dropping-particle":"","family":"Noor","given":"Elad","non-dropping-particle":"","parse-names":false,"suffix":""},{"dropping-particle":"","family":"Bar-Even","given":"Arren","non-dropping-particle":"","parse-names":false,"suffix":""},{"dropping-particle":"","family":"Flamholz","given":"Avi","non-dropping-particle":"","parse-names":false,"suffix":""},{"dropping-particle":"","family":"Reznik","given":"Ed","non-dropping-particle":"","parse-names":false,"suffix":""},{"dropping-particle":"","family":"Liebermeister","given":"Wolfram","non-dropping-particle":"","parse-names":false,"suffix":""},{"dropping-particle":"","family":"Milo","given":"Ron","non-dropping-particle":"","parse-names":false,"suffix":""}],"container-title":"PLoS Computational Biology","id":"ITEM-1","issue":"2","issued":{"date-parts":[["2014"]]},"title":"Pathway Thermodynamics Highlights Kinetic Obstacles in Central Metabolism","type":"article-journal","volume":"10"},"uris":["http://www.mendeley.com/documents/?uuid=32b9dd0e-7a58-4fc5-ad12-f1512545536c"]}],"mendeley":{"formattedCitation":"(Noor et al., 2014)","plainTextFormattedCitation":"(Noor et al., 2014)","previouslyFormattedCitation":"(Noor et al., 2014)"},"properties":{"noteIndex":0},"schema":"https://github.com/citation-style-language/schema/raw/master/csl-citation.json"}</w:instrText>
      </w:r>
      <w:r>
        <w:fldChar w:fldCharType="separate"/>
      </w:r>
      <w:r w:rsidRPr="00A76E46">
        <w:rPr>
          <w:noProof/>
        </w:rPr>
        <w:t>(Noor et al., 2014)</w:t>
      </w:r>
      <w:r>
        <w:fldChar w:fldCharType="end"/>
      </w:r>
      <w:r>
        <w:t xml:space="preserve">, both of these ratios were fixed at a value of 10. In our analysis, we have provided additional degrees of freedom by allowing these cofactor ratios to vary over a </w:t>
      </w:r>
      <w:r w:rsidR="00046532">
        <w:t xml:space="preserve">wide range (100 to 0.01 for the NAD/NADH ratio and 200 to 10 for the ATP/ADP ratio). For the </w:t>
      </w:r>
      <w:r w:rsidR="00046532" w:rsidRPr="00046532">
        <w:rPr>
          <w:i/>
        </w:rPr>
        <w:t>C. thermocellum</w:t>
      </w:r>
      <w:r w:rsidR="00046532">
        <w:t xml:space="preserve"> datasets that are thermodynamically feasible</w:t>
      </w:r>
      <w:r w:rsidR="005A29FC">
        <w:t xml:space="preserve"> with FDP at 100 </w:t>
      </w:r>
      <w:proofErr w:type="spellStart"/>
      <w:proofErr w:type="gramStart"/>
      <w:r w:rsidR="005A29FC">
        <w:t>uM</w:t>
      </w:r>
      <w:proofErr w:type="spellEnd"/>
      <w:proofErr w:type="gramEnd"/>
      <w:r w:rsidR="00046532">
        <w:t xml:space="preserve">, the </w:t>
      </w:r>
      <w:commentRangeStart w:id="10"/>
      <w:r w:rsidR="00046532">
        <w:t xml:space="preserve">NAD/NADH ratio is typically close to the upper end of the range (i.e. 100) </w:t>
      </w:r>
      <w:commentRangeEnd w:id="10"/>
      <w:r w:rsidR="0025781C">
        <w:rPr>
          <w:rStyle w:val="CommentReference"/>
        </w:rPr>
        <w:commentReference w:id="10"/>
      </w:r>
      <w:r w:rsidR="00046532">
        <w:t>and the ATP/ADP ratio is close to the lower end of the range (i.e. 10). Thus</w:t>
      </w:r>
      <w:r w:rsidR="00240589">
        <w:t>,</w:t>
      </w:r>
      <w:r w:rsidR="00046532">
        <w:t xml:space="preserve"> our model allows lower FDP levels by increasing the NAD/NADH ratio.</w:t>
      </w:r>
      <w:r w:rsidR="005A29FC">
        <w:t xml:space="preserve"> </w:t>
      </w:r>
      <w:commentRangeStart w:id="11"/>
      <w:r w:rsidR="005A29FC">
        <w:t xml:space="preserve">Since the NAD/NADH ratio decreases as ethanol titer increases, this may make </w:t>
      </w:r>
      <w:r w:rsidR="005A29FC" w:rsidRPr="005A29FC">
        <w:rPr>
          <w:i/>
        </w:rPr>
        <w:t>C. thermocellum</w:t>
      </w:r>
      <w:r w:rsidR="005A29FC">
        <w:t xml:space="preserve"> more susceptible to ethanol inhibition than other organisms such as </w:t>
      </w:r>
      <w:r w:rsidR="005A29FC" w:rsidRPr="005A29FC">
        <w:rPr>
          <w:i/>
        </w:rPr>
        <w:t>E. coli</w:t>
      </w:r>
      <w:r w:rsidR="005A29FC">
        <w:t>.</w:t>
      </w:r>
      <w:commentRangeEnd w:id="11"/>
      <w:r w:rsidR="005A29FC">
        <w:rPr>
          <w:rStyle w:val="CommentReference"/>
        </w:rPr>
        <w:commentReference w:id="11"/>
      </w:r>
      <w:r w:rsidR="005A29FC">
        <w:t xml:space="preserve"> </w:t>
      </w:r>
    </w:p>
    <w:p w14:paraId="417FA680" w14:textId="548577F5" w:rsidR="0025781C" w:rsidRDefault="0025781C" w:rsidP="005A29FC">
      <w:r>
        <w:t xml:space="preserve">In our model, DHAP levels need to be about 1 mM for thermodynamic feasibility, which is 20-fold higher than the range of 5-50 µM that we measured. DHAP is difficult to measure by LC/MS because it has the same M/z ratio as G3P, and the two metabolites </w:t>
      </w:r>
      <w:r w:rsidR="005B2EBC">
        <w:t>are</w:t>
      </w:r>
      <w:r>
        <w:t xml:space="preserve"> interconverted by the TPI reaction, potentially allowing for rapid </w:t>
      </w:r>
      <w:r w:rsidR="00856C74">
        <w:t>equilibration</w:t>
      </w:r>
      <w:r w:rsidR="005D3F06">
        <w:t xml:space="preserve"> during quenching</w:t>
      </w:r>
      <w:r w:rsidR="00856C74">
        <w:t>. Because of these uncertainties, we suspect the measurement error for DHAP may be higher than for FDP.</w:t>
      </w:r>
    </w:p>
    <w:p w14:paraId="74C33C71" w14:textId="1F57D4D6" w:rsidR="00135807" w:rsidRDefault="005A29FC" w:rsidP="005A29FC">
      <w:r>
        <w:t xml:space="preserve">We anticipate that future studies of intracellular metabolite concentrations in </w:t>
      </w:r>
      <w:r w:rsidRPr="0025781C">
        <w:rPr>
          <w:i/>
        </w:rPr>
        <w:t>C. thermocellum</w:t>
      </w:r>
      <w:r>
        <w:t xml:space="preserve"> may provide insight into this question by accurately measuring both the FDP concentration and NAD/NADH ratio.</w:t>
      </w:r>
    </w:p>
    <w:p w14:paraId="078CDFA0" w14:textId="22648B5D" w:rsidR="005D3F06" w:rsidRDefault="005D3F06" w:rsidP="005D3F06">
      <w:pPr>
        <w:pStyle w:val="Heading2"/>
      </w:pPr>
      <w:r>
        <w:t>Conclusions for ethanol addition dataset analysis</w:t>
      </w:r>
    </w:p>
    <w:p w14:paraId="17D174CC" w14:textId="07156292" w:rsidR="009869CE" w:rsidRDefault="005D3F06" w:rsidP="009869CE">
      <w:pPr>
        <w:pStyle w:val="ListParagraph"/>
        <w:numPr>
          <w:ilvl w:val="0"/>
          <w:numId w:val="1"/>
        </w:numPr>
      </w:pPr>
      <w:commentRangeStart w:id="12"/>
      <w:r w:rsidRPr="007C0221">
        <w:rPr>
          <w:i/>
        </w:rPr>
        <w:t xml:space="preserve">What do we know about </w:t>
      </w:r>
      <w:r w:rsidR="007C0221" w:rsidRPr="007C0221">
        <w:rPr>
          <w:i/>
        </w:rPr>
        <w:t>causes of ethanol inhibition?</w:t>
      </w:r>
      <w:r w:rsidR="007C0221">
        <w:t xml:space="preserve"> </w:t>
      </w:r>
      <w:r w:rsidR="00C920DB">
        <w:t xml:space="preserve">Here </w:t>
      </w:r>
      <w:commentRangeEnd w:id="12"/>
      <w:r w:rsidR="00C355B7">
        <w:rPr>
          <w:rStyle w:val="CommentReference"/>
        </w:rPr>
        <w:commentReference w:id="12"/>
      </w:r>
      <w:r w:rsidR="00C920DB">
        <w:t>we</w:t>
      </w:r>
      <w:r>
        <w:t xml:space="preserve"> applied a </w:t>
      </w:r>
      <w:r w:rsidR="00C920DB">
        <w:t xml:space="preserve">thermodynamic framework to the measured metabolite concentrations to “upgrade” the data. In general, we find a metabolic bottleneck distributed among the SLP reactions, consistent with our previous analysis of the data </w:t>
      </w:r>
      <w:r w:rsidR="00C920DB">
        <w:fldChar w:fldCharType="begin" w:fldLock="1"/>
      </w:r>
      <w:r w:rsidR="00C920DB">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ethanol","type":"article-journal","volume":"10"},"uris":["http://www.mendeley.com/documents/?uuid=2b7ce93c-349f-4c80-86b1-440e8de35809"]}],"mendeley":{"formattedCitation":"(Tian et al., 2017)","plainTextFormattedCitation":"(Tian et al., 2017)"},"properties":{"noteIndex":0},"schema":"https://github.com/citation-style-language/schema/raw/master/csl-citation.json"}</w:instrText>
      </w:r>
      <w:r w:rsidR="00C920DB">
        <w:fldChar w:fldCharType="separate"/>
      </w:r>
      <w:r w:rsidR="00C920DB" w:rsidRPr="005D3F06">
        <w:rPr>
          <w:noProof/>
        </w:rPr>
        <w:t>(Tian et al., 2017)</w:t>
      </w:r>
      <w:r w:rsidR="00C920DB">
        <w:fldChar w:fldCharType="end"/>
      </w:r>
      <w:r w:rsidR="00C920DB">
        <w:t>.</w:t>
      </w:r>
      <w:r w:rsidR="007D3577">
        <w:t xml:space="preserve"> In addition, we find the metabolic bottleneck is also distributed between the ADH and ALDH reactions. </w:t>
      </w:r>
      <w:r w:rsidR="00C355B7">
        <w:t>This highlights the role of the NAD/NADH ratio</w:t>
      </w:r>
      <w:r w:rsidR="00783530">
        <w:t xml:space="preserve"> in the thermodynamic feasibility of the cellobiose to ethanol pathway in </w:t>
      </w:r>
      <w:r w:rsidR="00783530" w:rsidRPr="00783530">
        <w:rPr>
          <w:i/>
        </w:rPr>
        <w:t>C. thermocellum</w:t>
      </w:r>
      <w:r w:rsidR="00783530">
        <w:t>.</w:t>
      </w:r>
      <w:r w:rsidR="00BE35CA">
        <w:t xml:space="preserve"> </w:t>
      </w:r>
    </w:p>
    <w:p w14:paraId="5FFD6153" w14:textId="5A733542" w:rsidR="00783530" w:rsidRDefault="00783530" w:rsidP="002752FC">
      <w:pPr>
        <w:pStyle w:val="ListParagraph"/>
        <w:numPr>
          <w:ilvl w:val="0"/>
          <w:numId w:val="1"/>
        </w:numPr>
      </w:pPr>
      <w:commentRangeStart w:id="13"/>
      <w:r>
        <w:t>Low levels of FDP constrain the feasible range of the NAD/NADH ratio.</w:t>
      </w:r>
      <w:commentRangeEnd w:id="13"/>
      <w:r>
        <w:rPr>
          <w:rStyle w:val="CommentReference"/>
        </w:rPr>
        <w:commentReference w:id="13"/>
      </w:r>
    </w:p>
    <w:p w14:paraId="10CF03FD" w14:textId="750B713B" w:rsidR="009869CE" w:rsidRDefault="009869CE" w:rsidP="002752FC">
      <w:pPr>
        <w:pStyle w:val="ListParagraph"/>
        <w:numPr>
          <w:ilvl w:val="0"/>
          <w:numId w:val="1"/>
        </w:numPr>
      </w:pPr>
      <w:commentRangeStart w:id="14"/>
      <w:r>
        <w:t xml:space="preserve">Traditionally, glycolysis is regulated by hexokinase (aka glucokinase), PFK and PYK. </w:t>
      </w:r>
      <w:r w:rsidR="00943095">
        <w:t>In C. thermocellum, the only reaction with a large negative delta G value is glucokinase, so this may be the main regulator of glycolysis.</w:t>
      </w:r>
      <w:commentRangeEnd w:id="14"/>
      <w:r w:rsidR="00943095">
        <w:rPr>
          <w:rStyle w:val="CommentReference"/>
        </w:rPr>
        <w:commentReference w:id="14"/>
      </w:r>
    </w:p>
    <w:p w14:paraId="550EB691" w14:textId="65C5A091" w:rsidR="00783530" w:rsidRDefault="00783530" w:rsidP="002752FC">
      <w:pPr>
        <w:pStyle w:val="ListParagraph"/>
        <w:numPr>
          <w:ilvl w:val="0"/>
          <w:numId w:val="1"/>
        </w:numPr>
      </w:pPr>
      <w:r>
        <w:t xml:space="preserve">In the next section we investigate possible metabolic engineering interventions to improve ethanol titer in </w:t>
      </w:r>
      <w:r w:rsidRPr="00783530">
        <w:rPr>
          <w:i/>
        </w:rPr>
        <w:t>C. thermocellum</w:t>
      </w:r>
      <w:r>
        <w:t>.</w:t>
      </w:r>
    </w:p>
    <w:p w14:paraId="1B2328B5" w14:textId="77777777" w:rsidR="00783530" w:rsidRDefault="00783530" w:rsidP="00783530">
      <w:pPr>
        <w:pStyle w:val="ListParagraph"/>
      </w:pPr>
    </w:p>
    <w:p w14:paraId="4AC3C523" w14:textId="04A9AE97" w:rsidR="00783530" w:rsidRDefault="00783530" w:rsidP="003B2B98"/>
    <w:p w14:paraId="7C9B8861" w14:textId="7C96D224" w:rsidR="00783530" w:rsidRDefault="00D269E4" w:rsidP="00D269E4">
      <w:pPr>
        <w:pStyle w:val="Heading2"/>
      </w:pPr>
      <w:r>
        <w:lastRenderedPageBreak/>
        <w:t xml:space="preserve">Analysis of thermodynamic landscape of </w:t>
      </w:r>
      <w:r w:rsidRPr="00D269E4">
        <w:rPr>
          <w:i/>
        </w:rPr>
        <w:t>C. thermocellum</w:t>
      </w:r>
      <w:r>
        <w:t xml:space="preserve"> and possible metabolic engineering interventions</w:t>
      </w:r>
    </w:p>
    <w:p w14:paraId="19EE370E" w14:textId="000ED559" w:rsidR="0087475D" w:rsidRDefault="0087475D" w:rsidP="00D269E4">
      <w:r>
        <w:t xml:space="preserve">One goal of this work was to provide guidance for metabolic engineering efforts. To do this, we decided to look at the thermodynamic landscape (i.e. the range of metabolite concentrations that are thermodynamically feasible for different pathways that </w:t>
      </w:r>
      <w:r w:rsidRPr="0087475D">
        <w:rPr>
          <w:i/>
        </w:rPr>
        <w:t>C. thermocellum</w:t>
      </w:r>
      <w:r>
        <w:t xml:space="preserve"> can use to convert cellobiose to ethanol). In addition to the native reactions, we included several additional reactions that we are considering incorporating into </w:t>
      </w:r>
      <w:r w:rsidRPr="0087475D">
        <w:rPr>
          <w:i/>
        </w:rPr>
        <w:t>C. thermocellum</w:t>
      </w:r>
      <w:r>
        <w:t xml:space="preserve">, including: pyruvate decarboxylase, ATP-linked phosphofructokinase, beta-glucosidase, NADPH-linked ALDH, NADPH-linked ADH, a non-energy-conserving FNOR reaction (the native </w:t>
      </w:r>
      <w:r w:rsidRPr="0087475D">
        <w:rPr>
          <w:i/>
        </w:rPr>
        <w:t>C. thermocellum</w:t>
      </w:r>
      <w:r>
        <w:t xml:space="preserve"> FNOR reaction is RNF, which conserves energy by pumping ions across the membrane). </w:t>
      </w:r>
    </w:p>
    <w:p w14:paraId="0BC3123A" w14:textId="7620F736" w:rsidR="002752FC" w:rsidRDefault="0087475D" w:rsidP="00D269E4">
      <w:r>
        <w:t xml:space="preserve">A metabolic intervention often implies multiple changes. For example, changing the cofactor preference of the ADH reaction from NADH to NADPH implies a second change somewhere in the pathway to provide a source of NADPH. To ensure that </w:t>
      </w:r>
      <w:proofErr w:type="gramStart"/>
      <w:r>
        <w:t>all of</w:t>
      </w:r>
      <w:proofErr w:type="gramEnd"/>
      <w:r>
        <w:t xml:space="preserve"> these secondary changes were accounted for, we generated elementary flux modes (EFMs) for </w:t>
      </w:r>
      <w:r w:rsidR="002752FC">
        <w:t xml:space="preserve">all combinations of reactions that allow conversion of one molecule of cellobiose into 4 molecules of ethanol. For each of the resulting 336 EFMs, we calculated the ATP yield and the MDF. </w:t>
      </w:r>
      <w:commentRangeStart w:id="15"/>
      <w:r w:rsidR="002752FC">
        <w:t>To identify how many changes had occurred in a strain, we also measured the Hamming Distance</w:t>
      </w:r>
      <w:r w:rsidR="008229D0">
        <w:t xml:space="preserve"> between different flux vectors. </w:t>
      </w:r>
      <w:commentRangeEnd w:id="15"/>
      <w:r w:rsidR="00026004">
        <w:rPr>
          <w:rStyle w:val="CommentReference"/>
        </w:rPr>
        <w:commentReference w:id="15"/>
      </w:r>
      <w:bookmarkStart w:id="16" w:name="_GoBack"/>
      <w:bookmarkEnd w:id="16"/>
    </w:p>
    <w:p w14:paraId="4108B92C" w14:textId="2160705B" w:rsidR="00D269E4" w:rsidRDefault="002752FC" w:rsidP="00D269E4">
      <w:r>
        <w:t xml:space="preserve"> This allowed us to answer the following questions:</w:t>
      </w:r>
    </w:p>
    <w:p w14:paraId="6152576B" w14:textId="266256E0" w:rsidR="002752FC" w:rsidRDefault="002752FC" w:rsidP="002752FC">
      <w:pPr>
        <w:pStyle w:val="ListParagraph"/>
        <w:numPr>
          <w:ilvl w:val="0"/>
          <w:numId w:val="3"/>
        </w:numPr>
      </w:pPr>
      <w:r>
        <w:t>Which metabolic intervention has the biggest impact on MDF?</w:t>
      </w:r>
    </w:p>
    <w:p w14:paraId="25AB8CBE" w14:textId="6A1B1794" w:rsidR="002752FC" w:rsidRDefault="002752FC" w:rsidP="002752FC">
      <w:pPr>
        <w:pStyle w:val="ListParagraph"/>
        <w:numPr>
          <w:ilvl w:val="0"/>
          <w:numId w:val="3"/>
        </w:numPr>
      </w:pPr>
      <w:r>
        <w:t>Which metabolic interventions allow MDF to be increased without affecting ATP yield?</w:t>
      </w:r>
    </w:p>
    <w:p w14:paraId="2C647424" w14:textId="37DCAAF3" w:rsidR="002752FC" w:rsidRPr="00D269E4" w:rsidRDefault="00B83449" w:rsidP="002752FC">
      <w:pPr>
        <w:pStyle w:val="ListParagraph"/>
        <w:numPr>
          <w:ilvl w:val="0"/>
          <w:numId w:val="3"/>
        </w:numPr>
      </w:pPr>
      <w:r>
        <w:t>What is the simplest metabolic engineering intervention (i.e. the one with the smallest Hamming Distance from the WT strain)</w:t>
      </w:r>
      <w:r w:rsidR="00026004">
        <w:t xml:space="preserve"> that has the biggest impact on MDF?</w:t>
      </w:r>
    </w:p>
    <w:p w14:paraId="489C95FF" w14:textId="3A332410" w:rsidR="00783530" w:rsidRDefault="00783530" w:rsidP="00783530">
      <w:pPr>
        <w:ind w:left="360"/>
      </w:pPr>
    </w:p>
    <w:p w14:paraId="56FB5E24" w14:textId="04576D3D" w:rsidR="00783530" w:rsidRDefault="00783530" w:rsidP="00783530">
      <w:pPr>
        <w:ind w:left="360"/>
      </w:pPr>
    </w:p>
    <w:p w14:paraId="29066EB1" w14:textId="76D1323F" w:rsidR="00783530" w:rsidRDefault="00783530" w:rsidP="00783530">
      <w:pPr>
        <w:ind w:left="360"/>
      </w:pPr>
    </w:p>
    <w:p w14:paraId="528192B2" w14:textId="4FE5A196" w:rsidR="00783530" w:rsidRDefault="00783530" w:rsidP="00783530">
      <w:pPr>
        <w:ind w:left="360"/>
      </w:pPr>
    </w:p>
    <w:p w14:paraId="3774D90D" w14:textId="18B78E3C" w:rsidR="00783530" w:rsidRDefault="00783530" w:rsidP="00783530">
      <w:pPr>
        <w:ind w:left="360"/>
      </w:pPr>
    </w:p>
    <w:p w14:paraId="54D84459" w14:textId="07C2FF26" w:rsidR="00783530" w:rsidRDefault="00783530" w:rsidP="00783530">
      <w:pPr>
        <w:ind w:left="360"/>
      </w:pPr>
    </w:p>
    <w:p w14:paraId="5EC30F19" w14:textId="7C27180E" w:rsidR="00783530" w:rsidRDefault="00783530" w:rsidP="00783530">
      <w:pPr>
        <w:ind w:left="360"/>
      </w:pPr>
    </w:p>
    <w:p w14:paraId="02D2D976" w14:textId="6DED2775" w:rsidR="00783530" w:rsidRDefault="00783530" w:rsidP="00783530">
      <w:pPr>
        <w:ind w:left="360"/>
      </w:pPr>
    </w:p>
    <w:p w14:paraId="3E0F980F" w14:textId="77495F39" w:rsidR="00783530" w:rsidRDefault="00783530" w:rsidP="00783530">
      <w:pPr>
        <w:ind w:left="360"/>
      </w:pPr>
    </w:p>
    <w:p w14:paraId="54D6FD80" w14:textId="56C7F1A3" w:rsidR="00783530" w:rsidRDefault="00783530" w:rsidP="00783530">
      <w:pPr>
        <w:ind w:left="360"/>
      </w:pPr>
    </w:p>
    <w:p w14:paraId="4F8DE7C2" w14:textId="1200ECC0" w:rsidR="00783530" w:rsidRDefault="00783530" w:rsidP="00783530">
      <w:pPr>
        <w:ind w:left="360"/>
      </w:pPr>
    </w:p>
    <w:p w14:paraId="48872B1C" w14:textId="048DB535" w:rsidR="00783530" w:rsidRDefault="00783530" w:rsidP="00783530">
      <w:pPr>
        <w:ind w:left="360"/>
      </w:pPr>
    </w:p>
    <w:p w14:paraId="4B6D522C" w14:textId="3BF64A5C" w:rsidR="00783530" w:rsidRDefault="00783530" w:rsidP="00783530">
      <w:pPr>
        <w:ind w:left="360"/>
      </w:pPr>
    </w:p>
    <w:p w14:paraId="728F863B" w14:textId="071D8B56" w:rsidR="00783530" w:rsidRDefault="00783530" w:rsidP="00783530">
      <w:pPr>
        <w:ind w:left="360"/>
      </w:pPr>
    </w:p>
    <w:p w14:paraId="13770623" w14:textId="5833206A" w:rsidR="00783530" w:rsidRDefault="00783530" w:rsidP="00783530">
      <w:pPr>
        <w:ind w:left="360"/>
      </w:pPr>
    </w:p>
    <w:p w14:paraId="3C6F6916" w14:textId="191F3E05" w:rsidR="00783530" w:rsidRDefault="00783530" w:rsidP="00783530">
      <w:pPr>
        <w:ind w:left="360"/>
      </w:pPr>
    </w:p>
    <w:p w14:paraId="5E9B152A" w14:textId="7E87D3CE" w:rsidR="00783530" w:rsidRDefault="00783530" w:rsidP="00783530">
      <w:pPr>
        <w:ind w:left="360"/>
      </w:pPr>
    </w:p>
    <w:p w14:paraId="3BD58716" w14:textId="09AC3D93" w:rsidR="00783530" w:rsidRDefault="00783530" w:rsidP="00783530">
      <w:pPr>
        <w:ind w:left="360"/>
      </w:pPr>
    </w:p>
    <w:p w14:paraId="2FC2D711" w14:textId="60C17686" w:rsidR="00783530" w:rsidRDefault="00783530" w:rsidP="00783530">
      <w:pPr>
        <w:ind w:left="360"/>
      </w:pPr>
    </w:p>
    <w:p w14:paraId="78ECDA3A" w14:textId="317CE453" w:rsidR="00783530" w:rsidRDefault="00783530" w:rsidP="00783530">
      <w:pPr>
        <w:ind w:left="360"/>
      </w:pPr>
    </w:p>
    <w:p w14:paraId="1F50045E" w14:textId="5BC4572C" w:rsidR="00783530" w:rsidRDefault="00783530" w:rsidP="00783530">
      <w:pPr>
        <w:ind w:left="360"/>
      </w:pPr>
    </w:p>
    <w:p w14:paraId="165128B3" w14:textId="42931C37" w:rsidR="00783530" w:rsidRDefault="00783530" w:rsidP="00783530">
      <w:pPr>
        <w:ind w:left="360"/>
      </w:pPr>
    </w:p>
    <w:p w14:paraId="20AE44DF" w14:textId="5894DF26" w:rsidR="00783530" w:rsidRDefault="00783530" w:rsidP="00783530">
      <w:pPr>
        <w:ind w:left="360"/>
      </w:pPr>
    </w:p>
    <w:p w14:paraId="6241A139" w14:textId="0AD3018B" w:rsidR="00783530" w:rsidRDefault="00783530" w:rsidP="00783530">
      <w:pPr>
        <w:ind w:left="360"/>
      </w:pPr>
    </w:p>
    <w:p w14:paraId="5BEEF24F" w14:textId="78D29F1B" w:rsidR="00783530" w:rsidRDefault="00783530" w:rsidP="00783530">
      <w:pPr>
        <w:ind w:left="360"/>
      </w:pPr>
    </w:p>
    <w:p w14:paraId="432EC9EA" w14:textId="750500A1" w:rsidR="00783530" w:rsidRDefault="00783530" w:rsidP="00783530">
      <w:pPr>
        <w:ind w:left="360"/>
      </w:pPr>
    </w:p>
    <w:p w14:paraId="5BF60C89" w14:textId="094BBAEA" w:rsidR="00783530" w:rsidRDefault="00783530" w:rsidP="00783530">
      <w:pPr>
        <w:ind w:left="360"/>
      </w:pPr>
    </w:p>
    <w:p w14:paraId="394E6000" w14:textId="0EC5B44C" w:rsidR="00783530" w:rsidRDefault="00783530" w:rsidP="00783530">
      <w:pPr>
        <w:ind w:left="360"/>
      </w:pPr>
    </w:p>
    <w:p w14:paraId="51A28859" w14:textId="635595C6" w:rsidR="00783530" w:rsidRDefault="00783530" w:rsidP="00783530">
      <w:pPr>
        <w:ind w:left="360"/>
      </w:pPr>
    </w:p>
    <w:p w14:paraId="655FA5CB" w14:textId="216846EC" w:rsidR="00783530" w:rsidRDefault="00783530" w:rsidP="00783530">
      <w:pPr>
        <w:ind w:left="360"/>
      </w:pPr>
    </w:p>
    <w:p w14:paraId="38758DF9" w14:textId="10D452D1" w:rsidR="00783530" w:rsidRDefault="00783530">
      <w:r>
        <w:br w:type="page"/>
      </w:r>
    </w:p>
    <w:p w14:paraId="3C79C8BC" w14:textId="285A150F" w:rsidR="00783530" w:rsidRDefault="00783530" w:rsidP="00783530">
      <w:pPr>
        <w:pStyle w:val="Heading2"/>
      </w:pPr>
      <w:r>
        <w:lastRenderedPageBreak/>
        <w:t>Additional text that I don’t have a place for yet</w:t>
      </w:r>
    </w:p>
    <w:p w14:paraId="2C592975" w14:textId="77777777" w:rsidR="00783530" w:rsidRDefault="00783530" w:rsidP="00783530">
      <w:pPr>
        <w:ind w:left="360"/>
      </w:pPr>
    </w:p>
    <w:p w14:paraId="52808EFB" w14:textId="2DD7CC42" w:rsidR="00783530" w:rsidRPr="005D3F06" w:rsidRDefault="00783530" w:rsidP="00783530">
      <w:pPr>
        <w:ind w:left="360"/>
      </w:pPr>
      <w:r>
        <w:t>Thus, two possible approaches to increase ethanol titer are to increase FDP levels (possibly by changing the PPi-PFK reaction to ATP-PFK) or to break the link between NADH-producing reactions (i.e. GapDH) and NADH-consuming reactions (i.e. ADH and ALDH).</w:t>
      </w:r>
    </w:p>
    <w:sectPr w:rsidR="00783530" w:rsidRPr="005D3F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Olson" w:date="2019-01-15T15:02:00Z" w:initials="DO">
    <w:p w14:paraId="5BA51B72" w14:textId="4D436717" w:rsidR="002752FC" w:rsidRDefault="002752FC">
      <w:pPr>
        <w:pStyle w:val="CommentText"/>
      </w:pPr>
      <w:r>
        <w:rPr>
          <w:rStyle w:val="CommentReference"/>
        </w:rPr>
        <w:annotationRef/>
      </w:r>
      <w:r>
        <w:t>Table of extracellular metabolites</w:t>
      </w:r>
    </w:p>
  </w:comment>
  <w:comment w:id="1" w:author="Dan Olson" w:date="2019-01-15T14:47:00Z" w:initials="DO">
    <w:p w14:paraId="33A115EC" w14:textId="046F9F0E" w:rsidR="002752FC" w:rsidRDefault="002752FC">
      <w:pPr>
        <w:pStyle w:val="CommentText"/>
      </w:pPr>
      <w:r>
        <w:rPr>
          <w:rStyle w:val="CommentReference"/>
        </w:rPr>
        <w:annotationRef/>
      </w:r>
      <w:r>
        <w:t>Figure with standard curves for all metabolites</w:t>
      </w:r>
    </w:p>
  </w:comment>
  <w:comment w:id="2" w:author="Dan Olson" w:date="2019-01-17T15:54:00Z" w:initials="DO">
    <w:p w14:paraId="5E6F32F8" w14:textId="27245BF6" w:rsidR="002752FC" w:rsidRDefault="002752FC">
      <w:pPr>
        <w:pStyle w:val="CommentText"/>
      </w:pPr>
      <w:r>
        <w:rPr>
          <w:rStyle w:val="CommentReference"/>
        </w:rPr>
        <w:annotationRef/>
      </w:r>
      <w:r>
        <w:t>Explain that we chose to start with an error factor of 2 to cover quantification errors from our std. curves.</w:t>
      </w:r>
    </w:p>
  </w:comment>
  <w:comment w:id="3" w:author="Dan Olson" w:date="2019-01-15T15:32:00Z" w:initials="DO">
    <w:p w14:paraId="0E2D6F6A" w14:textId="21313646" w:rsidR="002752FC" w:rsidRDefault="002752FC">
      <w:pPr>
        <w:pStyle w:val="CommentText"/>
      </w:pPr>
      <w:r>
        <w:rPr>
          <w:rStyle w:val="CommentReference"/>
        </w:rPr>
        <w:annotationRef/>
      </w:r>
      <w:r>
        <w:t>Description of samples</w:t>
      </w:r>
    </w:p>
  </w:comment>
  <w:comment w:id="4" w:author="Dan Olson" w:date="2019-01-15T16:02:00Z" w:initials="DO">
    <w:p w14:paraId="5D5894A2" w14:textId="5E9F57CC" w:rsidR="002752FC" w:rsidRDefault="002752FC">
      <w:pPr>
        <w:pStyle w:val="CommentText"/>
      </w:pPr>
      <w:r>
        <w:rPr>
          <w:rStyle w:val="CommentReference"/>
        </w:rPr>
        <w:annotationRef/>
      </w:r>
      <w:r>
        <w:t>Find reference for this</w:t>
      </w:r>
    </w:p>
  </w:comment>
  <w:comment w:id="5" w:author="Dan Olson" w:date="2019-01-15T17:40:00Z" w:initials="DO">
    <w:p w14:paraId="5604749A" w14:textId="77777777" w:rsidR="002752FC" w:rsidRDefault="002752FC" w:rsidP="00016BB9">
      <w:pPr>
        <w:pStyle w:val="CommentText"/>
      </w:pPr>
      <w:r>
        <w:rPr>
          <w:rStyle w:val="CommentReference"/>
        </w:rPr>
        <w:annotationRef/>
      </w:r>
      <w:proofErr w:type="spellStart"/>
      <w:r>
        <w:t>metabolite_bounds</w:t>
      </w:r>
      <w:proofErr w:type="spellEnd"/>
      <w:r>
        <w:t xml:space="preserve"> sheet from cth_thermo_model_DO_SD3.xlsx</w:t>
      </w:r>
    </w:p>
  </w:comment>
  <w:comment w:id="6" w:author="Dan Olson" w:date="2019-01-15T18:44:00Z" w:initials="DO">
    <w:p w14:paraId="1561A15B" w14:textId="5DCB9D7F" w:rsidR="002752FC" w:rsidRDefault="002752FC">
      <w:pPr>
        <w:pStyle w:val="CommentText"/>
      </w:pPr>
      <w:r>
        <w:rPr>
          <w:rStyle w:val="CommentReference"/>
        </w:rPr>
        <w:annotationRef/>
      </w:r>
      <w:r>
        <w:t>Describe adding PPi, GTP/GDP and NADPH</w:t>
      </w:r>
    </w:p>
  </w:comment>
  <w:comment w:id="7" w:author="Dan Olson" w:date="2019-01-28T17:19:00Z" w:initials="DO">
    <w:p w14:paraId="00334636" w14:textId="6D2BD457" w:rsidR="002752FC" w:rsidRDefault="002752FC">
      <w:pPr>
        <w:pStyle w:val="CommentText"/>
      </w:pPr>
      <w:r>
        <w:rPr>
          <w:rStyle w:val="CommentReference"/>
        </w:rPr>
        <w:annotationRef/>
      </w:r>
      <w:r>
        <w:t>Satya, are there any other constraints that I’m forgetting for this?</w:t>
      </w:r>
    </w:p>
  </w:comment>
  <w:comment w:id="8" w:author="Dan Olson" w:date="2019-01-28T14:54:00Z" w:initials="DO">
    <w:p w14:paraId="593D9D03" w14:textId="33BB7860" w:rsidR="002752FC" w:rsidRDefault="002752FC">
      <w:pPr>
        <w:pStyle w:val="CommentText"/>
      </w:pPr>
      <w:r>
        <w:rPr>
          <w:rStyle w:val="CommentReference"/>
        </w:rPr>
        <w:annotationRef/>
      </w:r>
      <w:r>
        <w:t xml:space="preserve">Might add flux data to this. We should be able to calculate cellobiose </w:t>
      </w:r>
      <w:r>
        <w:sym w:font="Wingdings" w:char="F0E0"/>
      </w:r>
      <w:r>
        <w:t xml:space="preserve"> ethanol flux per gDCW.</w:t>
      </w:r>
    </w:p>
  </w:comment>
  <w:comment w:id="9" w:author="Dan Olson" w:date="2019-01-28T10:02:00Z" w:initials="DO">
    <w:p w14:paraId="62279245" w14:textId="35BD388C" w:rsidR="002752FC" w:rsidRDefault="002752FC">
      <w:pPr>
        <w:pStyle w:val="CommentText"/>
      </w:pPr>
      <w:r>
        <w:rPr>
          <w:rStyle w:val="CommentReference"/>
        </w:rPr>
        <w:annotationRef/>
      </w:r>
      <w:r>
        <w:t>The acetyl-CoA problem was fixed by lowering CoA levels. DHAP and FBP problems remain.</w:t>
      </w:r>
    </w:p>
  </w:comment>
  <w:comment w:id="10" w:author="Dan Olson" w:date="2019-01-28T14:01:00Z" w:initials="DO">
    <w:p w14:paraId="4FBF8397" w14:textId="2B3306F6" w:rsidR="002752FC" w:rsidRDefault="002752FC">
      <w:pPr>
        <w:pStyle w:val="CommentText"/>
      </w:pPr>
      <w:r>
        <w:rPr>
          <w:rStyle w:val="CommentReference"/>
        </w:rPr>
        <w:annotationRef/>
      </w:r>
      <w:r>
        <w:t xml:space="preserve">This would contradict the results from Beri et al. where NAD/NADH ratio = 2.5 for WT C. </w:t>
      </w:r>
      <w:proofErr w:type="spellStart"/>
      <w:r>
        <w:t>therm</w:t>
      </w:r>
      <w:proofErr w:type="spellEnd"/>
    </w:p>
  </w:comment>
  <w:comment w:id="11" w:author="Dan Olson" w:date="2019-01-28T13:42:00Z" w:initials="DO">
    <w:p w14:paraId="296E2432" w14:textId="28A5BF88" w:rsidR="002752FC" w:rsidRDefault="002752FC">
      <w:pPr>
        <w:pStyle w:val="CommentText"/>
      </w:pPr>
      <w:r>
        <w:rPr>
          <w:rStyle w:val="CommentReference"/>
        </w:rPr>
        <w:annotationRef/>
      </w:r>
      <w:r>
        <w:t xml:space="preserve">Possible explanation for low maximum ethanol titer in C. </w:t>
      </w:r>
      <w:proofErr w:type="spellStart"/>
      <w:r>
        <w:t>therm</w:t>
      </w:r>
      <w:proofErr w:type="spellEnd"/>
    </w:p>
  </w:comment>
  <w:comment w:id="12" w:author="Dan Olson" w:date="2019-01-28T15:27:00Z" w:initials="DO">
    <w:p w14:paraId="0FEF1472" w14:textId="62C72351" w:rsidR="002752FC" w:rsidRDefault="002752FC">
      <w:pPr>
        <w:pStyle w:val="CommentText"/>
      </w:pPr>
      <w:r>
        <w:rPr>
          <w:rStyle w:val="CommentReference"/>
        </w:rPr>
        <w:annotationRef/>
      </w:r>
      <w:r>
        <w:t>Satya, do we ever see a positive shadow price for the PPi-PFK reaction? If so, under what conditions?</w:t>
      </w:r>
    </w:p>
  </w:comment>
  <w:comment w:id="13" w:author="Dan Olson" w:date="2019-01-28T15:37:00Z" w:initials="DO">
    <w:p w14:paraId="2E9DFD49" w14:textId="6741AE5D" w:rsidR="002752FC" w:rsidRDefault="002752FC">
      <w:pPr>
        <w:pStyle w:val="CommentText"/>
      </w:pPr>
      <w:r>
        <w:rPr>
          <w:rStyle w:val="CommentReference"/>
        </w:rPr>
        <w:annotationRef/>
      </w:r>
      <w:r>
        <w:t>Maybe make a bar plot showing the feasible NAD/NADH ratios for different levels of FDP (1e-6, 1e-5, 1e-4, 1e-3, 1e-2)</w:t>
      </w:r>
    </w:p>
  </w:comment>
  <w:comment w:id="14" w:author="Dan Olson" w:date="2019-01-28T16:46:00Z" w:initials="DO">
    <w:p w14:paraId="50A98154" w14:textId="3F256192" w:rsidR="002752FC" w:rsidRDefault="002752FC">
      <w:pPr>
        <w:pStyle w:val="CommentText"/>
      </w:pPr>
      <w:r>
        <w:rPr>
          <w:rStyle w:val="CommentReference"/>
        </w:rPr>
        <w:annotationRef/>
      </w:r>
      <w:r>
        <w:t xml:space="preserve">This is a very speculative claim, and I’m not sure if it’s well supported by our data, but I wanted to leave it in so you can </w:t>
      </w:r>
      <w:proofErr w:type="gramStart"/>
      <w:r>
        <w:t>take a look</w:t>
      </w:r>
      <w:proofErr w:type="gramEnd"/>
      <w:r>
        <w:t xml:space="preserve"> at it and think it over.</w:t>
      </w:r>
    </w:p>
  </w:comment>
  <w:comment w:id="15" w:author="Dan Olson" w:date="2019-01-28T18:16:00Z" w:initials="DO">
    <w:p w14:paraId="27970119" w14:textId="1DA11BA5" w:rsidR="00026004" w:rsidRDefault="00026004">
      <w:pPr>
        <w:pStyle w:val="CommentText"/>
      </w:pPr>
      <w:r>
        <w:rPr>
          <w:rStyle w:val="CommentReference"/>
        </w:rPr>
        <w:annotationRef/>
      </w:r>
      <w:r>
        <w:t>Describe more thoroughly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A51B72" w15:done="0"/>
  <w15:commentEx w15:paraId="33A115EC" w15:done="0"/>
  <w15:commentEx w15:paraId="5E6F32F8" w15:done="0"/>
  <w15:commentEx w15:paraId="0E2D6F6A" w15:done="0"/>
  <w15:commentEx w15:paraId="5D5894A2" w15:done="0"/>
  <w15:commentEx w15:paraId="5604749A" w15:done="0"/>
  <w15:commentEx w15:paraId="1561A15B" w15:done="0"/>
  <w15:commentEx w15:paraId="00334636" w15:done="0"/>
  <w15:commentEx w15:paraId="593D9D03" w15:done="0"/>
  <w15:commentEx w15:paraId="62279245" w15:done="0"/>
  <w15:commentEx w15:paraId="4FBF8397" w15:done="0"/>
  <w15:commentEx w15:paraId="296E2432" w15:done="0"/>
  <w15:commentEx w15:paraId="0FEF1472" w15:done="0"/>
  <w15:commentEx w15:paraId="2E9DFD49" w15:done="0"/>
  <w15:commentEx w15:paraId="50A98154" w15:done="0"/>
  <w15:commentEx w15:paraId="279701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A51B72" w16cid:durableId="1FE87476"/>
  <w16cid:commentId w16cid:paraId="33A115EC" w16cid:durableId="1FE87102"/>
  <w16cid:commentId w16cid:paraId="5E6F32F8" w16cid:durableId="1FEB23BE"/>
  <w16cid:commentId w16cid:paraId="0E2D6F6A" w16cid:durableId="1FE87BA0"/>
  <w16cid:commentId w16cid:paraId="5D5894A2" w16cid:durableId="1FE88295"/>
  <w16cid:commentId w16cid:paraId="5604749A" w16cid:durableId="1FE89979"/>
  <w16cid:commentId w16cid:paraId="1561A15B" w16cid:durableId="1FE8A884"/>
  <w16cid:commentId w16cid:paraId="00334636" w16cid:durableId="1FF9B81E"/>
  <w16cid:commentId w16cid:paraId="593D9D03" w16cid:durableId="1FF9960A"/>
  <w16cid:commentId w16cid:paraId="62279245" w16cid:durableId="1FF951A8"/>
  <w16cid:commentId w16cid:paraId="4FBF8397" w16cid:durableId="1FF989AE"/>
  <w16cid:commentId w16cid:paraId="296E2432" w16cid:durableId="1FF98550"/>
  <w16cid:commentId w16cid:paraId="0FEF1472" w16cid:durableId="1FF99DCB"/>
  <w16cid:commentId w16cid:paraId="2E9DFD49" w16cid:durableId="1FF9A03C"/>
  <w16cid:commentId w16cid:paraId="50A98154" w16cid:durableId="1FF9B081"/>
  <w16cid:commentId w16cid:paraId="27970119" w16cid:durableId="1FF9C5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F0053" w14:textId="77777777" w:rsidR="004E442A" w:rsidRDefault="004E442A" w:rsidP="00A416F9">
      <w:pPr>
        <w:spacing w:after="0" w:line="240" w:lineRule="auto"/>
      </w:pPr>
      <w:r>
        <w:separator/>
      </w:r>
    </w:p>
  </w:endnote>
  <w:endnote w:type="continuationSeparator" w:id="0">
    <w:p w14:paraId="38CF4196" w14:textId="77777777" w:rsidR="004E442A" w:rsidRDefault="004E442A" w:rsidP="00A4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16F55" w14:textId="77777777" w:rsidR="004E442A" w:rsidRDefault="004E442A" w:rsidP="00A416F9">
      <w:pPr>
        <w:spacing w:after="0" w:line="240" w:lineRule="auto"/>
      </w:pPr>
      <w:r>
        <w:separator/>
      </w:r>
    </w:p>
  </w:footnote>
  <w:footnote w:type="continuationSeparator" w:id="0">
    <w:p w14:paraId="290766CD" w14:textId="77777777" w:rsidR="004E442A" w:rsidRDefault="004E442A" w:rsidP="00A41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E516C"/>
    <w:multiLevelType w:val="hybridMultilevel"/>
    <w:tmpl w:val="59D6D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132B2"/>
    <w:multiLevelType w:val="hybridMultilevel"/>
    <w:tmpl w:val="5FA2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D53C6"/>
    <w:multiLevelType w:val="hybridMultilevel"/>
    <w:tmpl w:val="A764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EF"/>
    <w:rsid w:val="00001813"/>
    <w:rsid w:val="00016BB9"/>
    <w:rsid w:val="00026004"/>
    <w:rsid w:val="00046532"/>
    <w:rsid w:val="0008182E"/>
    <w:rsid w:val="00082930"/>
    <w:rsid w:val="000C3AFA"/>
    <w:rsid w:val="000F3B01"/>
    <w:rsid w:val="000F6A00"/>
    <w:rsid w:val="001002B7"/>
    <w:rsid w:val="00101A1E"/>
    <w:rsid w:val="00135807"/>
    <w:rsid w:val="001A483D"/>
    <w:rsid w:val="001D72A0"/>
    <w:rsid w:val="001F5051"/>
    <w:rsid w:val="00205C54"/>
    <w:rsid w:val="00210757"/>
    <w:rsid w:val="00240589"/>
    <w:rsid w:val="0025781C"/>
    <w:rsid w:val="00260705"/>
    <w:rsid w:val="00262FD5"/>
    <w:rsid w:val="002752FC"/>
    <w:rsid w:val="002A60EF"/>
    <w:rsid w:val="002D2D6A"/>
    <w:rsid w:val="002D5636"/>
    <w:rsid w:val="003B2B98"/>
    <w:rsid w:val="003E23A1"/>
    <w:rsid w:val="004E442A"/>
    <w:rsid w:val="00510DE6"/>
    <w:rsid w:val="005201E3"/>
    <w:rsid w:val="00546EA4"/>
    <w:rsid w:val="00557E2F"/>
    <w:rsid w:val="005A29FC"/>
    <w:rsid w:val="005B2EBC"/>
    <w:rsid w:val="005C04DB"/>
    <w:rsid w:val="005D3F06"/>
    <w:rsid w:val="005E680C"/>
    <w:rsid w:val="00643C56"/>
    <w:rsid w:val="00644933"/>
    <w:rsid w:val="00647E3D"/>
    <w:rsid w:val="0072129E"/>
    <w:rsid w:val="007375F6"/>
    <w:rsid w:val="00783530"/>
    <w:rsid w:val="007C0221"/>
    <w:rsid w:val="007D3577"/>
    <w:rsid w:val="0080133D"/>
    <w:rsid w:val="008229D0"/>
    <w:rsid w:val="00856C74"/>
    <w:rsid w:val="0087475D"/>
    <w:rsid w:val="008B1E0C"/>
    <w:rsid w:val="00942062"/>
    <w:rsid w:val="00943095"/>
    <w:rsid w:val="00944E23"/>
    <w:rsid w:val="009869CE"/>
    <w:rsid w:val="00A416F9"/>
    <w:rsid w:val="00A76E46"/>
    <w:rsid w:val="00A922A0"/>
    <w:rsid w:val="00AA2200"/>
    <w:rsid w:val="00AA39D7"/>
    <w:rsid w:val="00B21E39"/>
    <w:rsid w:val="00B221E1"/>
    <w:rsid w:val="00B414E7"/>
    <w:rsid w:val="00B83449"/>
    <w:rsid w:val="00B9400C"/>
    <w:rsid w:val="00BB0466"/>
    <w:rsid w:val="00BD302D"/>
    <w:rsid w:val="00BE35CA"/>
    <w:rsid w:val="00C355B7"/>
    <w:rsid w:val="00C920DB"/>
    <w:rsid w:val="00D269E4"/>
    <w:rsid w:val="00D46191"/>
    <w:rsid w:val="00D5412E"/>
    <w:rsid w:val="00D62BA3"/>
    <w:rsid w:val="00DD22C2"/>
    <w:rsid w:val="00E233D8"/>
    <w:rsid w:val="00E60044"/>
    <w:rsid w:val="00E64720"/>
    <w:rsid w:val="00E95330"/>
    <w:rsid w:val="00EB444B"/>
    <w:rsid w:val="00ED5A18"/>
    <w:rsid w:val="00F171EB"/>
    <w:rsid w:val="00F503AE"/>
    <w:rsid w:val="00F9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15B38"/>
  <w15:chartTrackingRefBased/>
  <w15:docId w15:val="{8BCC544A-1FD4-485C-8BFB-361F6A07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16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16F9"/>
    <w:rPr>
      <w:sz w:val="20"/>
      <w:szCs w:val="20"/>
    </w:rPr>
  </w:style>
  <w:style w:type="character" w:styleId="FootnoteReference">
    <w:name w:val="footnote reference"/>
    <w:basedOn w:val="DefaultParagraphFont"/>
    <w:uiPriority w:val="99"/>
    <w:semiHidden/>
    <w:unhideWhenUsed/>
    <w:rsid w:val="00A416F9"/>
    <w:rPr>
      <w:vertAlign w:val="superscript"/>
    </w:rPr>
  </w:style>
  <w:style w:type="character" w:customStyle="1" w:styleId="Heading1Char">
    <w:name w:val="Heading 1 Char"/>
    <w:basedOn w:val="DefaultParagraphFont"/>
    <w:link w:val="Heading1"/>
    <w:uiPriority w:val="9"/>
    <w:rsid w:val="00A416F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416F9"/>
    <w:rPr>
      <w:sz w:val="16"/>
      <w:szCs w:val="16"/>
    </w:rPr>
  </w:style>
  <w:style w:type="paragraph" w:styleId="CommentText">
    <w:name w:val="annotation text"/>
    <w:basedOn w:val="Normal"/>
    <w:link w:val="CommentTextChar"/>
    <w:uiPriority w:val="99"/>
    <w:semiHidden/>
    <w:unhideWhenUsed/>
    <w:rsid w:val="00A416F9"/>
    <w:pPr>
      <w:spacing w:line="240" w:lineRule="auto"/>
    </w:pPr>
    <w:rPr>
      <w:sz w:val="20"/>
      <w:szCs w:val="20"/>
    </w:rPr>
  </w:style>
  <w:style w:type="character" w:customStyle="1" w:styleId="CommentTextChar">
    <w:name w:val="Comment Text Char"/>
    <w:basedOn w:val="DefaultParagraphFont"/>
    <w:link w:val="CommentText"/>
    <w:uiPriority w:val="99"/>
    <w:semiHidden/>
    <w:rsid w:val="00A416F9"/>
    <w:rPr>
      <w:sz w:val="20"/>
      <w:szCs w:val="20"/>
    </w:rPr>
  </w:style>
  <w:style w:type="paragraph" w:styleId="CommentSubject">
    <w:name w:val="annotation subject"/>
    <w:basedOn w:val="CommentText"/>
    <w:next w:val="CommentText"/>
    <w:link w:val="CommentSubjectChar"/>
    <w:uiPriority w:val="99"/>
    <w:semiHidden/>
    <w:unhideWhenUsed/>
    <w:rsid w:val="00A416F9"/>
    <w:rPr>
      <w:b/>
      <w:bCs/>
    </w:rPr>
  </w:style>
  <w:style w:type="character" w:customStyle="1" w:styleId="CommentSubjectChar">
    <w:name w:val="Comment Subject Char"/>
    <w:basedOn w:val="CommentTextChar"/>
    <w:link w:val="CommentSubject"/>
    <w:uiPriority w:val="99"/>
    <w:semiHidden/>
    <w:rsid w:val="00A416F9"/>
    <w:rPr>
      <w:b/>
      <w:bCs/>
      <w:sz w:val="20"/>
      <w:szCs w:val="20"/>
    </w:rPr>
  </w:style>
  <w:style w:type="paragraph" w:styleId="BalloonText">
    <w:name w:val="Balloon Text"/>
    <w:basedOn w:val="Normal"/>
    <w:link w:val="BalloonTextChar"/>
    <w:uiPriority w:val="99"/>
    <w:semiHidden/>
    <w:unhideWhenUsed/>
    <w:rsid w:val="00A416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6F9"/>
    <w:rPr>
      <w:rFonts w:ascii="Segoe UI" w:hAnsi="Segoe UI" w:cs="Segoe UI"/>
      <w:sz w:val="18"/>
      <w:szCs w:val="18"/>
    </w:rPr>
  </w:style>
  <w:style w:type="character" w:customStyle="1" w:styleId="Heading2Char">
    <w:name w:val="Heading 2 Char"/>
    <w:basedOn w:val="DefaultParagraphFont"/>
    <w:link w:val="Heading2"/>
    <w:uiPriority w:val="9"/>
    <w:rsid w:val="0094206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83D"/>
    <w:rPr>
      <w:color w:val="808080"/>
    </w:rPr>
  </w:style>
  <w:style w:type="table" w:styleId="TableGrid">
    <w:name w:val="Table Grid"/>
    <w:basedOn w:val="TableNormal"/>
    <w:uiPriority w:val="39"/>
    <w:rsid w:val="00001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48CDD-1B83-4B31-B2DB-2AA8388EA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7</Pages>
  <Words>7772</Words>
  <Characters>44305</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Olson</dc:creator>
  <cp:keywords/>
  <dc:description/>
  <cp:lastModifiedBy>Dan Olson</cp:lastModifiedBy>
  <cp:revision>26</cp:revision>
  <dcterms:created xsi:type="dcterms:W3CDTF">2019-01-15T19:38:00Z</dcterms:created>
  <dcterms:modified xsi:type="dcterms:W3CDTF">2019-01-28T23:16:00Z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http://csl.mendeley.com/styles/23524721/chicago-DanOlsonCV-2</vt:lpwstr>
  </property>
  <property fmtid="{D5CDD505-2E9C-101B-9397-08002B2CF9AE}" pid="11" name="Mendeley Recent Style Name 4_1">
    <vt:lpwstr>Daniel Olson CV style - Daniel Olson</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http://www.zotero.org/styles/metabolic-engineering</vt:lpwstr>
  </property>
  <property fmtid="{D5CDD505-2E9C-101B-9397-08002B2CF9AE}" pid="15" name="Mendeley Recent Style Name 6_1">
    <vt:lpwstr>Metabolic Engineering</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e26c3186-a820-3c30-bdec-77488339eadc</vt:lpwstr>
  </property>
  <property fmtid="{D5CDD505-2E9C-101B-9397-08002B2CF9AE}" pid="24" name="Mendeley Citation Style_1">
    <vt:lpwstr>http://www.zotero.org/styles/metabolic-engineering</vt:lpwstr>
  </property>
</Properties>
</file>