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/>
        <w:jc w:val="center"/>
      </w:pPr>
      <w:r>
        <w:rPr>
          <w:b/>
          <w:i w:val="0"/>
          <w:color w:val="0D1F35"/>
          <w:sz w:val="80"/>
        </w:rPr>
        <w:t>IntelliSource</w:t>
      </w:r>
    </w:p>
    <w:p>
      <w:pPr>
        <w:spacing w:after="120"/>
        <w:jc w:val="center"/>
      </w:pPr>
      <w:r>
        <w:rPr>
          <w:b w:val="0"/>
          <w:i w:val="0"/>
          <w:color w:val="0057A8"/>
          <w:sz w:val="40"/>
        </w:rPr>
        <w:t>P2P Intelligence &amp; Analytics Platform</w:t>
      </w:r>
    </w:p>
    <w:p>
      <w:pPr>
        <w:spacing w:after="120"/>
        <w:jc w:val="center"/>
      </w:pPr>
      <w:r>
        <w:rPr>
          <w:b/>
          <w:i w:val="0"/>
          <w:color w:val="C9A84C"/>
          <w:sz w:val="30"/>
        </w:rPr>
        <w:t>Application Demo</w:t>
      </w:r>
    </w:p>
    <w:p/>
    <w:p>
      <w:pPr>
        <w:spacing w:after="120"/>
        <w:jc w:val="center"/>
      </w:pPr>
      <w:r>
        <w:rPr>
          <w:b w:val="0"/>
          <w:i w:val="0"/>
          <w:color w:val="444444"/>
          <w:sz w:val="20"/>
        </w:rPr>
        <w:t>KPMG India   |   Confidential   |   July 2026</w:t>
      </w:r>
    </w:p>
    <w:p/>
    <w:p>
      <w:pPr>
        <w:spacing w:after="120"/>
        <w:jc w:val="center"/>
      </w:pPr>
      <w:r>
        <w:rPr>
          <w:b w:val="0"/>
          <w:i/>
          <w:color w:val="444444"/>
          <w:sz w:val="18"/>
        </w:rPr>
        <w:t>This document provides a screen-by-screen walkthrough of IntelliSource, demonstrating real-time P2P analytics, compliance monitoring, vendor management, data upload, and admin capabilities.</w:t>
      </w:r>
    </w:p>
    <w:p>
      <w:r>
        <w:br w:type="page"/>
      </w:r>
    </w:p>
    <w:p>
      <w:pPr>
        <w:spacing w:before="0" w:after="100"/>
        <w:jc w:val="left"/>
      </w:pPr>
      <w:r>
        <w:rPr>
          <w:b/>
          <w:color w:val="0D1F35"/>
          <w:sz w:val="26"/>
        </w:rPr>
        <w:t xml:space="preserve">  01   Procurement Dashboard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504000" cy="5409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8 at 2.20.51 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04000" cy="540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left"/>
      </w:pPr>
      <w:r>
        <w:rPr>
          <w:i/>
          <w:color w:val="444444"/>
          <w:sz w:val="17"/>
        </w:rPr>
        <w:t>Real-time visibility into P2P activity, breaches, and operational priorities. Key KPIs: Total PO Value (Rs.71.13 Cr), Active POs (74), High-Value PO Count (85), PO Cycle Time (2.7d), PO Amendment Rate (27.0%). Charts: PO Value Trend and PO Count vs Maverick Spend.</w:t>
      </w:r>
    </w:p>
    <w:p>
      <w:r>
        <w:br w:type="page"/>
      </w:r>
    </w:p>
    <w:p>
      <w:pPr>
        <w:spacing w:before="0" w:after="100"/>
        <w:jc w:val="left"/>
      </w:pPr>
      <w:r>
        <w:rPr>
          <w:b/>
          <w:color w:val="0D1F35"/>
          <w:sz w:val="26"/>
        </w:rPr>
        <w:t xml:space="preserve">  02   Financial Dashboard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504000" cy="54280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8 at 2.21.22 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04000" cy="5428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left"/>
      </w:pPr>
      <w:r>
        <w:rPr>
          <w:i/>
          <w:color w:val="444444"/>
          <w:sz w:val="17"/>
        </w:rPr>
        <w:t>Spend vs budget tracking, cash flow, and invoice/payment cycle health. Total Payments YTD: Rs.958.06 Cr | Payment-to-PO Ratio: 24.3% | 3-Way Match Rate: 84.0% | Invoice Processing Days: 40.5d | On-Time Payment Rate: 17.5% | Open Invoice Value: Rs.993.82 Cr.</w:t>
      </w:r>
    </w:p>
    <w:p>
      <w:r>
        <w:br w:type="page"/>
      </w:r>
    </w:p>
    <w:p>
      <w:pPr>
        <w:spacing w:before="0" w:after="100"/>
        <w:jc w:val="left"/>
      </w:pPr>
      <w:r>
        <w:rPr>
          <w:b/>
          <w:color w:val="0D1F35"/>
          <w:sz w:val="26"/>
        </w:rPr>
        <w:t xml:space="preserve">  03   Financial Dashboard — Payment Analytics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504000" cy="54539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8 at 2.21.34 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04000" cy="5453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left"/>
      </w:pPr>
      <w:r>
        <w:rPr>
          <w:i/>
          <w:color w:val="444444"/>
          <w:sz w:val="17"/>
        </w:rPr>
        <w:t>Detailed payment timing analytics. Monthly Payments trend (last 12 months), Payment Timing Breakdown donut (Early 60% | On-Time 17.5% | Late 22.5%), and Monthly Payment Volume bar chart showing month-by-month cash outflow patterns.</w:t>
      </w:r>
    </w:p>
    <w:p>
      <w:r>
        <w:br w:type="page"/>
      </w:r>
    </w:p>
    <w:p>
      <w:pPr>
        <w:spacing w:before="0" w:after="100"/>
        <w:jc w:val="left"/>
      </w:pPr>
      <w:r>
        <w:rPr>
          <w:b/>
          <w:color w:val="0D1F35"/>
          <w:sz w:val="26"/>
        </w:rPr>
        <w:t xml:space="preserve">  04   Leadership Dashboard — Executive Overview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504000" cy="54669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8 at 2.21.57 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04000" cy="5466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left"/>
      </w:pPr>
      <w:r>
        <w:rPr>
          <w:i/>
          <w:color w:val="444444"/>
          <w:sz w:val="17"/>
        </w:rPr>
        <w:t>Strategic portfolio view. P2P Summary: Approved PRs (134), Active POs (158), GRN Lines (117), Invoice Lines (138), Payments (82). Risk &amp; Exceptions: POs without PR (31), Duplicate Invoices (2), SOD Conflicts (187). Total Spend YTD: Rs.3,936.34 Cr | Maverick PO Rate: 19.0% | Cycle: 44.5 days.</w:t>
      </w:r>
    </w:p>
    <w:p>
      <w:r>
        <w:br w:type="page"/>
      </w:r>
    </w:p>
    <w:p>
      <w:pPr>
        <w:spacing w:before="0" w:after="100"/>
        <w:jc w:val="left"/>
      </w:pPr>
      <w:r>
        <w:rPr>
          <w:b/>
          <w:color w:val="0D1F35"/>
          <w:sz w:val="26"/>
        </w:rPr>
        <w:t xml:space="preserve">  05   Leadership Dashboard — Spend &amp; Risk Analytics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504000" cy="54067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8 at 2.22.42 P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04000" cy="540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left"/>
      </w:pPr>
      <w:r>
        <w:rPr>
          <w:i/>
          <w:color w:val="444444"/>
          <w:sz w:val="17"/>
        </w:rPr>
        <w:t>Monthly Spend Trend (CAPEX vs OPEX), CAPEX vs OPEX Split (48.3% vs 51.7%), Risk Indicators bar chart (Vendor Concentration, Maverick PO Rate, Risk Score, SOD Conflicts). Invoice Summary by Vendor and Vendor Type breakdown.</w:t>
      </w:r>
    </w:p>
    <w:p>
      <w:r>
        <w:br w:type="page"/>
      </w:r>
    </w:p>
    <w:p>
      <w:pPr>
        <w:spacing w:before="0" w:after="100"/>
        <w:jc w:val="left"/>
      </w:pPr>
      <w:r>
        <w:rPr>
          <w:b/>
          <w:color w:val="0D1F35"/>
          <w:sz w:val="26"/>
        </w:rPr>
        <w:t xml:space="preserve">  06   Vendor Performance Dashboard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504000" cy="54373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8 at 2.24.04 P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04000" cy="5437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left"/>
      </w:pPr>
      <w:r>
        <w:rPr>
          <w:i/>
          <w:color w:val="444444"/>
          <w:sz w:val="17"/>
        </w:rPr>
        <w:t>Delivery, compliance, and spend concentration analytics. Active Vendor Count: 11 | Vendor Compliance Rate: 84.6% | Blocked Vendor Count: 2. Vendor Health Breakdown: 11 Active | 2 Non-Active | 1 One-Time | 10 Domestic | 2 International | 2 MSME.</w:t>
      </w:r>
    </w:p>
    <w:p>
      <w:r>
        <w:br w:type="page"/>
      </w:r>
    </w:p>
    <w:p>
      <w:pPr>
        <w:spacing w:before="0" w:after="100"/>
        <w:jc w:val="left"/>
      </w:pPr>
      <w:r>
        <w:rPr>
          <w:b/>
          <w:color w:val="0D1F35"/>
          <w:sz w:val="26"/>
        </w:rPr>
        <w:t xml:space="preserve">  07   Vendor Performance — Top Vendors &amp; Type Breakdown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504000" cy="54641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8 at 2.24.14 P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04000" cy="5464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left"/>
      </w:pPr>
      <w:r>
        <w:rPr>
          <w:i/>
          <w:color w:val="444444"/>
          <w:sz w:val="17"/>
        </w:rPr>
        <w:t>Top-10 Vendors by Spend (Rs. Cr): L&amp;T Construction, ITC Limited, Tata Steel, HCL Technologies, ABC Infra. Vendor Type Breakdown: Domestic vs International vs One-Time. Vendor Delivery Lead Time and Compliance Status charts.</w:t>
      </w:r>
    </w:p>
    <w:p>
      <w:r>
        <w:br w:type="page"/>
      </w:r>
    </w:p>
    <w:p>
      <w:pPr>
        <w:spacing w:before="0" w:after="100"/>
        <w:jc w:val="left"/>
      </w:pPr>
      <w:r>
        <w:rPr>
          <w:b/>
          <w:color w:val="0D1F35"/>
          <w:sz w:val="26"/>
        </w:rPr>
        <w:t xml:space="preserve">  08   CAPEX / OPEX Dashboard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504000" cy="54382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8 at 2.24.43 P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04000" cy="543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left"/>
      </w:pPr>
      <w:r>
        <w:rPr>
          <w:i/>
          <w:color w:val="444444"/>
          <w:sz w:val="17"/>
        </w:rPr>
        <w:t>Capital vs operational expenditure by category, plant and trend. Total CAPEX Spend: Rs.1,899.80 Cr (57 POs) | Total OPEX Spend: Rs.2,036.54 Cr (71 POs). CAPEX %: 48.3% | OPEX %: 51.7%. Monthly CAPEX vs OPEX Trend line chart and Split donut chart.</w:t>
      </w:r>
    </w:p>
    <w:p>
      <w:r>
        <w:br w:type="page"/>
      </w:r>
    </w:p>
    <w:p>
      <w:pPr>
        <w:spacing w:before="0" w:after="100"/>
        <w:jc w:val="left"/>
      </w:pPr>
      <w:r>
        <w:rPr>
          <w:b/>
          <w:color w:val="0D1F35"/>
          <w:sz w:val="26"/>
        </w:rPr>
        <w:t xml:space="preserve">  09   Utilization Dashboard — Materials &amp; GRN Analytics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504000" cy="54761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8 at 2.24.54 P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04000" cy="5476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left"/>
      </w:pPr>
      <w:r>
        <w:rPr>
          <w:i/>
          <w:color w:val="444444"/>
          <w:sz w:val="17"/>
        </w:rPr>
        <w:t>Delivery utilisation and materials spend. OPEX by Department (Consulting, Civil Works, Logistics, Maintenance). Materials Summary: Delivery Utilisation 97.4%, Delivery Complete % 30.8%. Vendor GRN Fill Rate (top vendors). Material Spend by Category horizontal bar chart.</w:t>
      </w:r>
    </w:p>
    <w:p>
      <w:r>
        <w:br w:type="page"/>
      </w:r>
    </w:p>
    <w:p>
      <w:pPr>
        <w:spacing w:before="0" w:after="100"/>
        <w:jc w:val="left"/>
      </w:pPr>
      <w:r>
        <w:rPr>
          <w:b/>
          <w:color w:val="0D1F35"/>
          <w:sz w:val="26"/>
        </w:rPr>
        <w:t xml:space="preserve">  10   Profit Center Management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504000" cy="54011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8 at 2.25.30 P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04000" cy="5401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left"/>
      </w:pPr>
      <w:r>
        <w:rPr>
          <w:i/>
          <w:color w:val="444444"/>
          <w:sz w:val="17"/>
        </w:rPr>
        <w:t>Map profit centers, set CAPEX/OPEX classification, and track actual spend. 39 active profit centers. Total CAPEX: Rs.1,941.4 Cr | OPEX: Rs.2,026.6 Cr | Total: Rs.3,962.0 Cr. Table: PC Code, Name, Department, Plant, Material Group, Budget vs Actual, Edit &amp; Delete actions.</w:t>
      </w:r>
    </w:p>
    <w:p>
      <w:r>
        <w:br w:type="page"/>
      </w:r>
    </w:p>
    <w:p>
      <w:pPr>
        <w:spacing w:before="0" w:after="100"/>
        <w:jc w:val="left"/>
      </w:pPr>
      <w:r>
        <w:rPr>
          <w:b/>
          <w:color w:val="0D1F35"/>
          <w:sz w:val="26"/>
        </w:rPr>
        <w:t xml:space="preserve">  11   P2P Lifecycle Tracker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504000" cy="54308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8 at 2.26.10 P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04000" cy="5430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left"/>
      </w:pPr>
      <w:r>
        <w:rPr>
          <w:i/>
          <w:color w:val="444444"/>
          <w:sz w:val="17"/>
        </w:rPr>
        <w:t>End-to-end Procure-to-Pay flow with stage health, bottlenecks, and anomalies. Pipeline: PR Created (132) &gt; PR Approved (132) &gt; PO Created (163) &gt; PO Approved (158) &gt; GRN Posted (117) &gt; Invoice Posted (106) &gt; Payment Made (82). Total Cases: 163 | Avg Cycle: 44.5 days | Maverick POs: 31. Monthly P2P Funnel chart.</w:t>
      </w:r>
    </w:p>
    <w:p>
      <w:r>
        <w:br w:type="page"/>
      </w:r>
    </w:p>
    <w:p>
      <w:pPr>
        <w:spacing w:before="0" w:after="100"/>
        <w:jc w:val="left"/>
      </w:pPr>
      <w:r>
        <w:rPr>
          <w:b/>
          <w:color w:val="0D1F35"/>
          <w:sz w:val="26"/>
        </w:rPr>
        <w:t xml:space="preserve">  12   Vendor Repository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504000" cy="54345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8 at 2.26.31 P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504000" cy="5434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left"/>
      </w:pPr>
      <w:r>
        <w:rPr>
          <w:i/>
          <w:color w:val="444444"/>
          <w:sz w:val="17"/>
        </w:rPr>
        <w:t>Searchable vendor catalog with 13 vendors in grid view. Category filters: All | IT Services | Consulting | Cloud Infrastructure | Security | Data Analytics | SaaS. 'Add Vendor' button registers new vendors with 10 fields: Vendor Code, Address, Name, Country, SPOC Contact, PAN, Added By, MSME Flag, Payment Terms, and Service Description.</w:t>
      </w:r>
    </w:p>
    <w:p>
      <w:r>
        <w:br w:type="page"/>
      </w:r>
    </w:p>
    <w:p>
      <w:pPr>
        <w:spacing w:before="0" w:after="100"/>
        <w:jc w:val="left"/>
      </w:pPr>
      <w:r>
        <w:rPr>
          <w:b/>
          <w:color w:val="0D1F35"/>
          <w:sz w:val="26"/>
        </w:rPr>
        <w:t xml:space="preserve">  13   Data Upload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504000" cy="54437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8 at 2.26.49 P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504000" cy="544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left"/>
      </w:pPr>
      <w:r>
        <w:rPr>
          <w:i/>
          <w:color w:val="444444"/>
          <w:sz w:val="17"/>
        </w:rPr>
        <w:t>Upload CSV or Excel files to update all dashboards in real time. Drag-and-drop zone supports CSV, .xlsx, .xls up to 50 MB. Dataset auto-detected from column headers. Dataset Reference lists mandatory columns for all 10 datasets: PR, PO, PO Delivery, GRN, PO Invoice, Invoice, Payment, Vendor Master, Change Log, and Company/Plant Master.</w:t>
      </w:r>
    </w:p>
    <w:p>
      <w:r>
        <w:br w:type="page"/>
      </w:r>
    </w:p>
    <w:p>
      <w:pPr>
        <w:spacing w:before="0" w:after="100"/>
        <w:jc w:val="left"/>
      </w:pPr>
      <w:r>
        <w:rPr>
          <w:b/>
          <w:color w:val="0D1F35"/>
          <w:sz w:val="26"/>
        </w:rPr>
        <w:t xml:space="preserve">  14   Activity History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504000" cy="618083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8 at 2.26.58 P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504000" cy="6180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left"/>
      </w:pPr>
      <w:r>
        <w:rPr>
          <w:i/>
          <w:color w:val="444444"/>
          <w:sz w:val="17"/>
        </w:rPr>
        <w:t>Complete record of all data uploads and report downloads. Counters: Total Events | Uploads | Downloads | Successful | Failed. Tabbed view: All | Uploads | Downloads. Full audit trail of data ingestion activity for compliance and traceability.</w:t>
      </w:r>
    </w:p>
    <w:p>
      <w:r>
        <w:br w:type="page"/>
      </w:r>
    </w:p>
    <w:p>
      <w:pPr>
        <w:spacing w:before="0" w:after="100"/>
        <w:jc w:val="left"/>
      </w:pPr>
      <w:r>
        <w:rPr>
          <w:b/>
          <w:color w:val="0D1F35"/>
          <w:sz w:val="26"/>
        </w:rPr>
        <w:t xml:space="preserve">  15   User Management (Admin)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504000" cy="546318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8 at 2.27.24 P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04000" cy="5463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left"/>
      </w:pPr>
      <w:r>
        <w:rPr>
          <w:i/>
          <w:color w:val="444444"/>
          <w:sz w:val="17"/>
        </w:rPr>
        <w:t>Provision access, assign roles, and manage credentials — Admin only. 2 active users shown. Columns: Full Name, Email, Role badge, Status, Created date, Actions. 12 supported roles. 'Add User' generates a secure temporary password displayed once.</w:t>
      </w:r>
    </w:p>
    <w:sectPr w:rsidR="00FC693F" w:rsidRPr="0006063C" w:rsidSect="00034616">
      <w:pgSz w:w="16838" w:h="11906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