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24875" cy="698380"/>
            <wp:docPr id="0" name="Drawing 0" descr="1c8eb56a7-f444-4e36-bc88-4814798b5ae8.png"/>
            <wp:cNvGraphicFramePr>
              <a:graphicFrameLocks noChangeAspect="true"/>
            </wp:cNvGraphicFramePr>
            <a:graphic>
              <a:graphicData uri="http://schemas.openxmlformats.org/drawingml/2006/picture">
                <pic:pic xmlns:pic="http://schemas.openxmlformats.org/drawingml/2006/picture">
                  <pic:nvPicPr>
                    <pic:cNvPr id="0" name="Picture 0" descr="1c8eb56a7-f444-4e36-bc88-4814798b5ae8.png"/>
                    <pic:cNvPicPr>
                      <a:picLocks noChangeAspect="true"/>
                    </pic:cNvPicPr>
                  </pic:nvPicPr>
                  <pic:blipFill>
                    <a:blip r:embed="rId3"/>
                    <a:stretch>
                      <a:fillRect/>
                    </a:stretch>
                  </pic:blipFill>
                  <pic:spPr>
                    <a:xfrm>
                      <a:off x="0" y="0"/>
                      <a:ext cx="5724875" cy="698380"/>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w:hAnsi="Calibri (MS)" w:cs="Calibri (MS)" w:eastAsia="Calibri (MS)"/>
          <w:color w:val="000000"/>
          <w:sz w:val="56"/>
          <w:szCs w:val="56"/>
        </w:rPr>
        <w:t>ARB Solution Review Specification</w:t>
      </w: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w:hAnsi="Calibri (MS)" w:cs="Calibri (MS)" w:eastAsia="Calibri (MS)"/>
          <w:color w:val="000000"/>
          <w:sz w:val="52"/>
          <w:szCs w:val="52"/>
        </w:rPr>
        <w:t>Solution Name: KPMG IntelliSource Platform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24875" cy="1543787"/>
            <wp:docPr id="1" name="Drawing 1" descr="1652efa73-4f35-4e0a-8f3b-c6114125afe7.png"/>
            <wp:cNvGraphicFramePr>
              <a:graphicFrameLocks noChangeAspect="true"/>
            </wp:cNvGraphicFramePr>
            <a:graphic>
              <a:graphicData uri="http://schemas.openxmlformats.org/drawingml/2006/picture">
                <pic:pic xmlns:pic="http://schemas.openxmlformats.org/drawingml/2006/picture">
                  <pic:nvPicPr>
                    <pic:cNvPr id="0" name="Picture 1" descr="1652efa73-4f35-4e0a-8f3b-c6114125afe7.png"/>
                    <pic:cNvPicPr>
                      <a:picLocks noChangeAspect="true"/>
                    </pic:cNvPicPr>
                  </pic:nvPicPr>
                  <pic:blipFill>
                    <a:blip r:embed="rId4"/>
                    <a:stretch>
                      <a:fillRect/>
                    </a:stretch>
                  </pic:blipFill>
                  <pic:spPr>
                    <a:xfrm>
                      <a:off x="0" y="0"/>
                      <a:ext cx="5724875" cy="1543787"/>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571"/>
        <w:gridCol w:w="1906"/>
        <w:gridCol w:w="1907"/>
        <w:gridCol w:w="2645"/>
      </w:tblGrid>
      <w:tr>
        <w:tc>
          <w:tcPr>
            <w:tcW w:w="9030" w:type="dxa"/>
            <w:gridSpan w:val="4"/>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Version Management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Version Number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906" w:type="dxa"/>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Date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907" w:type="dxa"/>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Change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645" w:type="dxa"/>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Author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Draft 1.0</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906"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30 Jun 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907"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Initial ARB submission for IntelliSource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645"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Aryan Sharma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tcMar>
              <w:top w:w="75"/>
              <w:start w:w="75"/>
              <w:bottom w:w="75"/>
              <w:end w:w="75"/>
            </w:tcMar>
          </w:tcPr>
          <w:p>
            <w:r/>
            <w:r>
              <w:rPr>
                <w:b w:val="0"/>
                <w:sz w:val="18"/>
              </w:rPr>
              <w:t>Draft 1.1</w:t>
            </w:r>
          </w:p>
        </w:tc>
        <w:tc>
          <w:tcPr>
            <w:tcW w:w="1906" w:type="dxa"/>
            <w:tcMar>
              <w:top w:w="75"/>
              <w:start w:w="75"/>
              <w:bottom w:w="75"/>
              <w:end w:w="75"/>
            </w:tcMar>
          </w:tcPr>
          <w:p>
            <w:r/>
            <w:r>
              <w:rPr>
                <w:b w:val="0"/>
                <w:sz w:val="18"/>
              </w:rPr>
              <w:t>04 Aug 2026</w:t>
            </w:r>
          </w:p>
        </w:tc>
        <w:tc>
          <w:tcPr>
            <w:tcW w:w="1907" w:type="dxa"/>
            <w:tcMar>
              <w:top w:w="75"/>
              <w:start w:w="75"/>
              <w:bottom w:w="75"/>
              <w:end w:w="75"/>
            </w:tcMar>
          </w:tcPr>
          <w:p>
            <w:r/>
            <w:r>
              <w:rPr>
                <w:b w:val="0"/>
                <w:sz w:val="18"/>
              </w:rPr>
              <w:t>AI solution inclusion — Ask IntelliSource (Azure OpenAI GPT-4o) governance, integration, and impact assessment added</w:t>
            </w:r>
          </w:p>
        </w:tc>
        <w:tc>
          <w:tcPr>
            <w:tcW w:w="2645" w:type="dxa"/>
            <w:tcMar>
              <w:top w:w="75"/>
              <w:start w:w="75"/>
              <w:bottom w:w="75"/>
              <w:end w:w="75"/>
            </w:tcMar>
          </w:tcPr>
          <w:p>
            <w:r/>
            <w:r>
              <w:rPr>
                <w:b w:val="0"/>
                <w:sz w:val="18"/>
              </w:rPr>
              <w:t>Satyam Barnwal</w:t>
            </w:r>
          </w:p>
        </w:tc>
      </w:tr>
    </w:tbl>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 xml:space="preserve">Stakeholders Sign-Off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0"/>
                <w:szCs w:val="20"/>
              </w:rPr>
              <w:t>I’ve read and agreed on the content of this document. This version of the document suffices all the requirements. Any amendments to this document will be handled through the agreed “Architecture Work Request” process and must be presented to the “Architecture Review Board” forum.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Bold" w:hAnsi="Calibri (MS) Bold" w:cs="Calibri (MS) Bold" w:eastAsia="Calibri (MS) Bold"/>
          <w:b/>
          <w:bCs/>
          <w:color w:val="000000"/>
          <w:sz w:val="22"/>
          <w:szCs w:val="22"/>
        </w:rPr>
        <w:t>Note: Please don’t edit/delete below Stakeholders Sign-Off table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571"/>
        <w:gridCol w:w="2127"/>
        <w:gridCol w:w="2642"/>
        <w:gridCol w:w="1688"/>
      </w:tblGrid>
      <w:tr>
        <w:tc>
          <w:tcPr>
            <w:tcW w:w="2571" w:type="dxa"/>
            <w:tcBorders>
              <w:top w:color="000000" w:sz="4" w:val="single"/>
              <w:start w:color="000000" w:sz="4" w:val="single"/>
              <w:bottom w:color="000000" w:sz="4" w:val="single"/>
              <w:end w:color="000000" w:sz="4" w:val="single"/>
            </w:tcBorders>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Full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27" w:type="dxa"/>
            <w:tcBorders>
              <w:top w:color="000000" w:sz="4" w:val="single"/>
              <w:start w:color="000000" w:sz="4" w:val="single"/>
              <w:bottom w:color="000000" w:sz="4" w:val="single"/>
              <w:end w:color="000000" w:sz="4" w:val="single"/>
            </w:tcBorders>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Designation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642" w:type="dxa"/>
            <w:tcBorders>
              <w:top w:color="000000" w:sz="4" w:val="single"/>
              <w:start w:color="000000" w:sz="4" w:val="single"/>
              <w:bottom w:color="000000" w:sz="4" w:val="single"/>
              <w:end w:color="000000" w:sz="4" w:val="single"/>
            </w:tcBorders>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Signature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88" w:type="dxa"/>
            <w:tcBorders>
              <w:top w:color="000000" w:sz="4" w:val="single"/>
              <w:start w:color="000000" w:sz="4" w:val="single"/>
              <w:bottom w:color="000000" w:sz="4" w:val="single"/>
              <w:end w:color="000000" w:sz="4" w:val="single"/>
            </w:tcBorders>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Date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32"/>
          <w:szCs w:val="32"/>
        </w:rPr>
        <w:t>ARB Feedback</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000000" w:sz="6" w:val="single"/>
              <w:start w:color="000000" w:sz="6" w:val="single"/>
              <w:bottom w:color="000000" w:sz="6" w:val="single"/>
              <w:end w:color="000000" w:sz="6" w:val="single"/>
            </w:tcBorders>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ARB Feedback</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Borders>
              <w:top w:color="000000" w:sz="6" w:val="single"/>
              <w:start w:color="000000" w:sz="6" w:val="single"/>
              <w:bottom w:color="000000" w:sz="6" w:val="single"/>
              <w:end w:color="000000" w:sz="6" w:val="single"/>
            </w:tcBorders>
            <w:tcMar>
              <w:top w:w="75"/>
              <w:start w:w="75"/>
              <w:bottom w:w="75"/>
              <w:end w:w="75"/>
            </w:tcMar>
          </w:tcPr>
          <w:p>
            <w:pPr>
              <w:spacing w:after="120" w:before="120" w:line="336" w:lineRule="auto"/>
              <w:ind w:firstLine="0" w:start="0"/>
              <w:jc w:val="start"/>
            </w:pPr>
            <w:r>
              <w:rPr>
                <w:rFonts w:ascii="Calibri (MS) Italics" w:hAnsi="Calibri (MS) Italics" w:cs="Calibri (MS) Italics" w:eastAsia="Calibri (MS) Italics"/>
                <w:i/>
                <w:iCs/>
                <w:color w:val="8eaadb"/>
                <w:sz w:val="20"/>
                <w:szCs w:val="20"/>
              </w:rPr>
              <w:t>Please list down the feedback received from the ARB review process. This can be any agreement, assumptions, suggestions, roadmap etc received from the end to end ARB review process.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Borders>
              <w:top w:color="000000" w:sz="6" w:val="single"/>
              <w:start w:color="000000" w:sz="6" w:val="single"/>
              <w:bottom w:color="000000" w:sz="6" w:val="single"/>
              <w:end w:color="000000" w:sz="6" w:val="single"/>
            </w:tcBorders>
            <w:tcMar>
              <w:top w:w="75"/>
              <w:start w:w="75"/>
              <w:bottom w:w="75"/>
              <w:end w:w="75"/>
            </w:tcMar>
          </w:tcPr>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Borders>
              <w:top w:color="000000" w:sz="6" w:val="single"/>
              <w:start w:color="000000" w:sz="6" w:val="single"/>
              <w:bottom w:color="000000" w:sz="6" w:val="single"/>
              <w:end w:color="000000" w:sz="6" w:val="single"/>
            </w:tcBorders>
            <w:tcMar>
              <w:top w:w="75"/>
              <w:start w:w="75"/>
              <w:bottom w:w="75"/>
              <w:end w:w="75"/>
            </w:tcMar>
          </w:tcPr>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Dosis" w:hAnsi="Dosis" w:cs="Dosis" w:eastAsia="Dosis"/>
          <w:color w:val="2f5496"/>
          <w:sz w:val="32"/>
          <w:szCs w:val="32"/>
        </w:rPr>
        <w:t>*Background and Business Vision</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571"/>
        <w:gridCol w:w="6458"/>
      </w:tblGrid>
      <w:tr>
        <w:tc>
          <w:tcPr>
            <w:tcW w:w="2571"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Solution Name &amp; Brief</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IntelliSource Platform</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IntelliSource is an internal Procure-to-Pay (P2P) intelligence and analytics platform built for KPMG. It ingests SAP procurement data (Purchase Requisitions, Purchase Orders, Goods Receipts, Invoices, Payments, Vendor Master, and Change Logs) via structured CSV uploads, computes pre-defined KPIs across five dashboards (Procurement, Financial, Vendor, Leadership, Utilization) and detects procurement anomalies in real-time.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r>
              <w:rPr>
                <w:sz w:val="18"/>
              </w:rPr>
              <w:t>The platform also includes Ask IntelliSource — an AI assistant that answers natural-language procurement questions grounded on the live database via read-only tool-calling (Azure OpenAI GPT-4o, KPMG tenant; pilot on OpenRouter GPT-4o).</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Business problem / Opportunity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Procurement teams currently rely on manual SAP report extracts to assess P2P performance. This creates several operational gaps: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No unified, real-time visibility into the end-to-end P2P lifecycle (PR → PO → GRN → Invoice → Payment).</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Anomaly detection (maverick buys, duplicate invoices, split POs, price deviations, GRN mismatches) is reactive — issues surface only in audits or month-end reviews.</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Vendor performance, delivery compliance, and spend concentration are tracked in disconnected spreadsheets.</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Leadership lacks a consolidated view of CAPEX vs OPEX spend, budget utilization, and approval cycle times.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Business motivation and Justification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IntelliSource addresses the above gaps by: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Reducing procurement reporting effort from days to seconds via pre-computed, auto-refreshing KPIs.</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Enabling proactive anomaly resolution — Procurement Managers are alerted to high-risk POs (deletion anomalies, maverick buys, three-way mismatches) before month-close.</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Providing a single source of truth across 3 company codes (1001, 1002, 1003) with company-level drill-down.</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Empowering leadership with real-time CAPEX/OPEX split, budget vs. actuals, and vendor risk heatmaps.</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Reducing dependency on SAP report specialists through an AI assistant that interprets natural-language procurement questions against the live PostgreSQL database.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The platform directly supports KPMG's internal efficiency agenda and procurement compliance objectives.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End User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KPMG Clients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Business Analyst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Manu Mohanan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Business Owner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Manu Mohanan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Solution Architect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Satyam Barnwal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Team Lead/Delivery Manager/BRM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Meena Mittal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32"/>
          <w:szCs w:val="32"/>
        </w:rPr>
        <w:t>Project Summary (To capture project 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Below section captures the project details including project delivery approach.</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571"/>
        <w:gridCol w:w="6458"/>
      </w:tblGrid>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Project Name and Number (PRMS / Rekonnect/Jira)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IntelliSource Platform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Project Phase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Initiation, Phase 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Project Delivery Approach</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Agile (iterative sprint-based delivery)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57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Project Manager/Product Owner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45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Meena Mittal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32"/>
          <w:szCs w:val="32"/>
        </w:rPr>
        <w:t>*Strategic Focus Areas</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xml:space="preserve">The following strategic focus areas are being supported by the expected business benefits above. These are the listed strategic focus areas defined by the </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385"/>
        <w:gridCol w:w="608"/>
        <w:gridCol w:w="4345"/>
        <w:gridCol w:w="690"/>
      </w:tblGrid>
      <w:tr>
        <w:tc>
          <w:tcPr>
            <w:tcW w:w="338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Improve Operational Efficiencies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08"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34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Enable future vision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0"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338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Enable new business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08"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34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Legal or Regulatory compliance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0"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338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Technological sustainability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08"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34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Cost savings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0"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338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 xml:space="preserve">Enable new/alternative revenue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08"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34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Enable new/future business channels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0"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Improve Operational Efficiencies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The solution significantly improves operational efficiency by automating KPI calculations, data ingestion, and analytics workflows. It reduces reliance on manual spreadsheet-based reporting, minimizes operational errors, and provides centralized dashboards with near real-time visibility into business performance. Automated data processing and standardized KPI calculations enable users to make faster, data-driven decisions, improving productivity and operational effectiveness across the organization.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Technological Sustainability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Built on modern open-source technologies including React, FastAPI, Python, and PostgreSQL, the solution provides a scalable and sustainable technology foundation. The modular architecture allows for future enhancements, integrations, and expansion of analytics capabilities without significant redevelopment effort. Interactive dashboards, modern user experience design, and AI-assisted insights ensure the platform remains aligned with evolving business and technology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Enable new business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The solution enables new business opportunities by providing actionable KPI insights, trend analysis, and intelligent recommendations that help identify performance gaps, operational inefficiencies, and revenue improvement opportunities. Its flexible KPI framework can be adapted across multiple business functions and industries, allowing organizations to monitor key metrics, improve performance management, and support strategic decision-making based on data-driven evidence.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Enable future vision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The solution forms the foundation for a future procurement optimization platform by providing centralized visibility into procurement-related KPIs, supplier performance metrics, spend analytics, and operational bottlenecks. As the platform evolves, it can be enhanced with predictive analytics, AI-driven recommendations, procurement risk monitoring, demand forecasting, and supplier benchmarking capabilities. This future-state vision will help procurement teams improve sourcing decisions, increase process transparency, reduce procurement cycle times, optimize costs, and drive greater value from procurement operations through data-driven decision-making.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Cost savings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By automating data processing, KPI generation, reporting, and analytical workflows, the solution reduces manual effort and operational overhead. Centralized data management and self-service dashboards decrease the time spent on report preparation and data reconciliation while improving data accuracy. The use of open-source technologies further reduces licensing costs and increases overall return on investment.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Enable new/future business channels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The platform's scalable architecture supports future integration with additional enterprise systems, data sources, and advanced analytics capabilities. AI-powered insights, customizable KPI frameworks, and extensible reporting features position the solution to support evolving business needs and future digital transformation initiatives. The solution enables organizations to leverage data as a strategic asset and expand analytical capabilities as business requirements grow.</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32"/>
          <w:szCs w:val="32"/>
        </w:rPr>
        <w:t>Business Specific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26"/>
          <w:szCs w:val="26"/>
        </w:rPr>
        <w:t>*Functional Requirement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665"/>
        <w:gridCol w:w="2104"/>
        <w:gridCol w:w="3769"/>
        <w:gridCol w:w="1490"/>
      </w:tblGrid>
      <w:tr>
        <w:tc>
          <w:tcPr>
            <w:tcW w:w="1665"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Requirement ID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Requirement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shd w:val="clear" w:color="auto" w:fill="d9e2f3"/>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Must Have</w:t>
            </w:r>
            <w:r>
              <w:rPr>
                <w:rFonts w:ascii="Calibri (MS) Bold" w:hAnsi="Calibri (MS) Bold" w:cs="Calibri (MS) Bold" w:eastAsia="Calibri (MS) Bold"/>
                <w:b/>
                <w:bC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Good to Have</w:t>
            </w:r>
            <w:r>
              <w:rPr>
                <w:rFonts w:ascii="Calibri (MS) Bold" w:hAnsi="Calibri (MS) Bold" w:cs="Calibri (MS) Bold" w:eastAsia="Calibri (MS) Bold"/>
                <w:b/>
                <w:bCs/>
                <w:color w:val="000000"/>
                <w:sz w:val="22"/>
                <w:szCs w:val="22"/>
              </w:rPr>
              <w:t>(G)</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Not Available for now</w:t>
            </w:r>
            <w:r>
              <w:rPr>
                <w:rFonts w:ascii="Calibri (MS) Bold" w:hAnsi="Calibri (MS) Bold" w:cs="Calibri (MS) Bold" w:eastAsia="Calibri (MS) Bold"/>
                <w:b/>
                <w:bCs/>
                <w:color w:val="000000"/>
                <w:sz w:val="22"/>
                <w:szCs w:val="22"/>
              </w:rPr>
              <w:t xml:space="preserve"> (NA)</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Optional</w:t>
            </w:r>
            <w:r>
              <w:rPr>
                <w:rFonts w:ascii="Calibri (MS) Bold" w:hAnsi="Calibri (MS) Bold" w:cs="Calibri (MS) Bold" w:eastAsia="Calibri (MS) Bold"/>
                <w:b/>
                <w:bCs/>
                <w:color w:val="000000"/>
                <w:sz w:val="22"/>
                <w:szCs w:val="22"/>
              </w:rPr>
              <w:t>(O)</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Onboard 3’rd party employees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This process enables the 3’rd party employees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SAP Data Upload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Upload 9 SAP CSV file types (PR, PO, PO Delivery, GRN, PO Invoice, Invoice, Payment, Vendor Master, Change Log) via drag-and-drop or file picker. Validate schema on upload.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FR02</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Procurement Dashboard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Display 8 real-time procurement KPIs (PO Value MTD, Active PO Count, High-Value POs, Open PR Aging, PR→PO Time, PO Cycle Time, PO Deletions, PO Amendment Rate). Charts: PO Value Trend, PO Count vs Maverick Spend.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FR03</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P2P Lifecycle Tracker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Visual funnel of P2P stages (PR → RFQ → PO → GRN → Invoice → Payment) with stage counts, conversion rates, avg days to next stage, RAG status, and monthly funnel chart.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FR04</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Financial Dashboard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CAPEX/OPEX split, budget vs actuals, month-wise spend trend, top spending categories, and financial KPIs (Total Spend, CAPEX%, OPEX%, Budget Utilisation).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Vendor Performance Dashboard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Vendor KPIs (on-time delivery, compliance score, spend concentration). Vendor risk heatmap. Top vendors by spend. MSME compliance tracking.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Leadership Dashboard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Executive summary KPIs across all domains. Profit-centre-level spend. Approval cycle benchmarks. Year-over-year trends.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FR07</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Utilization Analytics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Buyer workload, PO processing throughput by user, resource utilisation trends.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FR08</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Profit Centre Analytics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Spend breakdown by SAP profit centre with budget allocation vs actuals.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FR09</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AI Assistant (Ask IntelliSource)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r/>
            <w:r>
              <w:rPr>
                <w:b w:val="0"/>
                <w:sz w:val="18"/>
              </w:rPr>
              <w:t>Natural-language query interface (Ask IntelliSource) powered by GPT-4o. Target hosting: Azure OpenAI in KPMG tenant over Private Link; pilot uses OpenRouter GPT-4o (external — to be retired before production). Agentic tool-calling loop with 6 READ-ONLY tools: query_database, get_kpis, find_document, get_anomalies, get_vendor_info, get_p2p_stage_summary. Always calls a tool before answering data questions; never fabricates numbers; no write access to SAP or PostgreSQL.</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FR10</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Anomaly Detection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Real-time classification of POs into risk variants: MAVERICK_BUY, DUPLICATE_INVOICE, SPLIT_PO, PRICE_DEVIATION, THREE_WAY_MISMATCH, GRN_WITHOUT_PO, PAYMENT_BEFORE_GRN, LATE_DELIVERY, VENDOR_BLOCK, RETRO_PO, DELETED_AFTER_GRN.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FR11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 Deletion Monitor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Tabular view of POs with deletion_indicator = L, showing anomaly flags, vendor, material, value, and created-by user.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FR12</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User Management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Admin can create, update, deactivate users, and reset passwords. Roles: 12 predefined roles. Self-registration supported.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FR13</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Audit Log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All user actions (LOGIN, LOGOUT, ROLE_SWITCH, USER_CREATED, USER_UPDATED, PASSWORD_RESET) logged with timestamp, user ID, and detail string.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FR14</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Admin Settings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Configurable KPI thresholds (e.g., high-value PO threshold), company code management.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FR15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Dashboard PDF Export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One-click PDF export of any dashboard (use html2canvas/jsPDF in browser).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FR16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Company Code Filter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All dashboards are filterable by SAP company code (1001, 1002, 1003, ALL).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FR17</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Vendor Repository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Master list of vendors with enriched metadata (MSME flag, posting block, city, country).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6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FR18</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0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Actions Tracker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76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Log and track remediation actions raised against procurement anomalies.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490"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r>
        <w:rPr>
          <w:b/>
          <w:sz w:val="19"/>
        </w:rPr>
        <w:t>** In case of an AI-Based solution — Testing scenarios for Ask IntelliSource:</w:t>
      </w:r>
    </w:p>
    <w:p>
      <w:r>
        <w:rPr>
          <w:b w:val="0"/>
          <w:sz w:val="19"/>
        </w:rPr>
        <w:t>Worst-case scenarios tested: adversarial / prompt-injection strings embedded in uploaded procurement data; malformed or ambiguous natural-language questions; requests that attempt to modify data (must be refused — the assistant is read-only); over-large result sets (mitigated by LIMIT injection and result compression); LLM timeout and rate-limit (429) conditions; and concurrent chat sessions.</w:t>
      </w:r>
    </w:p>
    <w:p>
      <w:r>
        <w:rPr>
          <w:b w:val="0"/>
          <w:sz w:val="19"/>
        </w:rPr>
        <w:t>Simulation / stress-testing: Yes (planned before production go-live). Methodology — (a) curated question bank with known ground-truth answers for accuracy regression; (b) red-team prompt set for injection / jailbreak attempts; (c) concurrent-session load test against the /api/chat endpoint. Tools — pytest regression harness, scripted load generator, and manual red-team review.</w:t>
      </w:r>
    </w:p>
    <w:p>
      <w:pPr>
        <w:spacing w:after="120" w:before="120" w:line="259" w:lineRule="auto"/>
        <w:ind w:firstLine="0" w:start="0"/>
        <w:jc w:val="start"/>
      </w:pPr>
      <w:r>
        <w:rPr>
          <w:rFonts w:ascii="Dosis" w:hAnsi="Dosis" w:cs="Dosis" w:eastAsia="Dosis"/>
          <w:color w:val="2f5496"/>
          <w:sz w:val="26"/>
          <w:szCs w:val="26"/>
        </w:rPr>
        <w:t>*Non-Functional Requirements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12"/>
        <w:gridCol w:w="6759"/>
      </w:tblGrid>
      <w:tr>
        <w:tc>
          <w:tcPr>
            <w:tcW w:w="9030" w:type="dxa"/>
            <w:gridSpan w:val="3"/>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Compatibility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Co-Existence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Must co-exist with SAP ECC / S4HANA on-premise systems. Data extracted from SAP as CSV; IntelliSource does not modify SAP data - IntelliSource is additive.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Interoperability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 xml:space="preserve">REST API (FastAPI) with JSON responses. Frontend communicates via HTTP/HTTPS. OpenRouter API (HTTPS/JSON) for AI. Future: SAP BAPI / RFC or OData API for real-time data pull.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3"/>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Maintainability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Extensibility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Yes — KPI engine (designed with pluggable KPI definitions. New dashboards added as FastAPI router modules. Frontend routes auto-registered via TanStack Router file-based routing.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Monitoring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Currently: FastAPI /api/health endpoint. Audit log provides user activity trail. Production requirements: application performance monitoring (APM), PostgreSQL slow-query logging, Vercel analytics for frontend. 24×7 monitoring not required in pilot; required post-production rollout.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Support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Tier 1: Self-service via AI assistant and dashboard tooltips. Tier 2: IT support via KPMG service desk. Tier 3: Development team via GitHub issues.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Reusability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KPI engine and ETL pipeline reusable for additional KPMG procurement entities. REST API designed for potential future integration with KPMG client-facing tools.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3"/>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Portability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Adaptability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Backend: any Linux/Windows host with Python 3.11+ and PostgreSQL 15+. Frontend: deployable to any static host or CDN (Azure Static Web Apps, AWS S3+CloudFront).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Installability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Standard KPMG software stack compatible. Requires: Python 3.11+, Node.js 18+/Bun, PostgreSQL 15+. No proprietary runtime dependencies. Docker containerization planned for Transition 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3"/>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Reliability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Archiving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Annual archival of procurement data older than 36 months to cold storage. Archiving mechanism TBD in Target Architecture.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Backup Configuration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 xml:space="preserve">PostgreSQL: nightly full backup. Transaction log backup every 4 hours in production.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Data Retention Period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Procurement transactional data: 7 years (aligned with KPMG audit retention policy). Audit logs: 5 years.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Downtime for Servicing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Maintenance window: Sundays 00:00–04:00 IST. Aligned with low-usage window.</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Hours of Operation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24×7×365 (production). Pilot: 08:00–20:00 IST weekdays.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Mean Time to Repair (MTTR)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Target: &lt; 4 hours for production incidents. Pilot: best effort.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Recovery point objective (RPO)</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Production: 4 hours (aligned with transaction log backup frequency). Pilot: 24 hours.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Recovery time objective (RTO)</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Production: 8 hours (Gold tier). Pilot: 1–3 days (Bronze tier).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70"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Business Owner (RTO/RPO)</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59"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Meena Mittal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3"/>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Security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Accountability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Full audit log in audit_log table. All state-changing operations (login, logout, user CRUD, data upload) are logged with user_id, action, entity_type, details, and created_at timestamp.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Authenticity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Custom email + password authentication. Passwords stored as plain text in current pilot — MUST be hashed (bcrypt) before production. Login endpoint: POST /api/auth/login. Session state maintained in browser localStorage (AppContext).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Authorization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Role-Based Access Control (RBAC). 12 roles. Admin role has user management and settings access. Role checked at frontend route level. Backend currently trusts frontend-supplied role — JWT or server-side session required for production.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Legislation and Governance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 xml:space="preserve">Audit trail supports internal KPMG governance. MSME vendor compliance tracked per Indian MSMED Act. No PII of external parties stored; procurement data is internal KPMG operational data.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Policies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Password policy: minimum 8 characters enforced at registration. Production must align with KPMG password policy (complexity, expiry). Current plaintext storage is a pre-production limitation — bcrypt hashing required before go-live.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3"/>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Usability and Accessibility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Accessibility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No specific WCAG compliance built in current version. Keyboard navigation is partially supported via shadcn/ui components. Screen reader support is not validated. To be addressed in Transition 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Channels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Web browser (Chrome, Edge, Firefox). Responsive layout but not optimised for mobile. Desktop-first design.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Localization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English only. Indian Rupee (INR ₹) as primary currency. No multi-language support planned in current phase.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Usability Constraints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Users require basic procurement domain knowledge to interpret KPIs. AI assistant reduces barrier for ad-hoc queries. No offline mode — requires live backend connection.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3"/>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Performance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Peak Messaging schedule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Business hours peak usage, typically during procurement data uploads, dashboard reviews, and KPI analysis cycles. Highest activity expected during month-end and reporting periods.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Peak time simultaneous users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20–50 concurrent users (internal KPMG pilot scope)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Peak time simultaneous connections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8 pre-warmed PostgreSQL connections per worker; connection pooling via thread-local pattern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Solution Usage Growth (Projected)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Expected 2× growth within 12 months as rollout expands.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Solution scalability required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Up &amp; Out (supports both vertical scaling through larger PostgreSQL instances and horizontal scaling through load balancer and multiple FastAPI workers)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Storage Space Required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Estimated 5–20 GB per year for procurement data (9 table types × 3 company codes); PostgreSQL tablespace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Minimum network bandwidth Required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1 Mbps per user for dashboard interactions; 10 Mbps for initial bulk CSV uploads (SAP export files up to 500 MB)</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Network QoS (optional)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Minimum 10 Mbps reliable connectivity between users, application servers, database, and external AI service endpoints; low-latency, business-grade connectivity recommended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57"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Network QoS (internal WAN) (optional)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72" w:type="dxa"/>
            <w:gridSpan w:val="2"/>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Minimum 1 Mbps per active user session across internal WAN; low-latency connectivity between application and database components for KPI/dashboard response targets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r>
        <w:rPr>
          <w:b/>
          <w:color w:val="00338D"/>
          <w:sz w:val="24"/>
        </w:rPr>
        <w:t>Non-Functional Requirements (only for AI-Based solutions)</w:t>
      </w:r>
    </w:p>
    <w:tbl>
      <w:tblPr>
        <w:tblW w:type="auto" w:w="0"/>
        <w:tblLook w:firstColumn="1" w:firstRow="1" w:lastColumn="0" w:lastRow="0" w:noHBand="0" w:noVBand="1" w:val="04A0"/>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type="dxa" w:w="9030"/>
            <w:gridSpan w:val="2"/>
          </w:tcPr>
          <w:p>
            <w:r/>
            <w:r>
              <w:rPr>
                <w:b/>
                <w:color w:val="00338D"/>
                <w:sz w:val="18"/>
              </w:rPr>
              <w:t>Human agency and oversight</w:t>
            </w:r>
          </w:p>
        </w:tc>
      </w:tr>
      <w:tr>
        <w:tc>
          <w:tcPr>
            <w:tcW w:type="dxa" w:w="4515"/>
          </w:tcPr>
          <w:p>
            <w:r/>
            <w:r>
              <w:rPr>
                <w:b/>
                <w:sz w:val="18"/>
              </w:rPr>
              <w:t>Level of autonomy</w:t>
            </w:r>
          </w:p>
        </w:tc>
        <w:tc>
          <w:tcPr>
            <w:tcW w:type="dxa" w:w="4515"/>
          </w:tcPr>
          <w:p>
            <w:r/>
            <w:r>
              <w:rPr>
                <w:b w:val="0"/>
                <w:sz w:val="18"/>
              </w:rPr>
              <w:t>No autonomous action. Ask IntelliSource is advisory and read-only — it answers questions and never writes to SAP or PostgreSQL, and never initiates a transaction. A human decision-maker is always in the loop; the assistant informs, humans act. Threshold for human intervention = all decisions.</w:t>
            </w:r>
          </w:p>
        </w:tc>
      </w:tr>
      <w:tr>
        <w:tc>
          <w:tcPr>
            <w:tcW w:type="dxa" w:w="4515"/>
          </w:tcPr>
          <w:p>
            <w:r/>
            <w:r>
              <w:rPr>
                <w:b/>
                <w:sz w:val="18"/>
              </w:rPr>
              <w:t>Need for human reviewers</w:t>
            </w:r>
          </w:p>
        </w:tc>
        <w:tc>
          <w:tcPr>
            <w:tcW w:type="dxa" w:w="4515"/>
          </w:tcPr>
          <w:p>
            <w:r/>
            <w:r>
              <w:rPr>
                <w:b w:val="0"/>
                <w:sz w:val="18"/>
              </w:rPr>
              <w:t>Yes. All outputs are informational. Answers are grounded on the same live data the user can already see in dashboards and are traceable to the tool/query used (tools_used is returned), so users can validate. No AI output auto-executes a business action.</w:t>
            </w:r>
          </w:p>
        </w:tc>
      </w:tr>
      <w:tr>
        <w:tc>
          <w:tcPr>
            <w:tcW w:type="dxa" w:w="4515"/>
          </w:tcPr>
          <w:p>
            <w:r/>
            <w:r>
              <w:rPr>
                <w:b/>
                <w:sz w:val="18"/>
              </w:rPr>
              <w:t>Possible dangers of removing human oversight</w:t>
            </w:r>
          </w:p>
        </w:tc>
        <w:tc>
          <w:tcPr>
            <w:tcW w:type="dxa" w:w="4515"/>
          </w:tcPr>
          <w:p>
            <w:r/>
            <w:r>
              <w:rPr>
                <w:b w:val="0"/>
                <w:sz w:val="18"/>
              </w:rPr>
              <w:t>Fully automated decision-making is NOT enabled and is out of scope. If removed, incorrect figures (mis-generated SQL or model hallucination) could mislead procurement decisions. Mitigations: mandatory tool-grounding (must call a tool before answering data questions), read-only SQL guard, numeric answers traceable to source, temperature 0.1 for determinism.</w:t>
            </w:r>
          </w:p>
        </w:tc>
      </w:tr>
      <w:tr>
        <w:tc>
          <w:tcPr>
            <w:tcW w:type="dxa" w:w="9030"/>
            <w:gridSpan w:val="2"/>
          </w:tcPr>
          <w:p>
            <w:r/>
            <w:r>
              <w:rPr>
                <w:b/>
                <w:color w:val="00338D"/>
                <w:sz w:val="18"/>
              </w:rPr>
              <w:t>Reliability / Technical Robustness</w:t>
            </w:r>
          </w:p>
        </w:tc>
      </w:tr>
      <w:tr>
        <w:tc>
          <w:tcPr>
            <w:tcW w:type="dxa" w:w="4515"/>
          </w:tcPr>
          <w:p>
            <w:r/>
            <w:r>
              <w:rPr>
                <w:b/>
                <w:sz w:val="18"/>
              </w:rPr>
              <w:t>Predictable failures in the model and mitigations</w:t>
            </w:r>
          </w:p>
        </w:tc>
        <w:tc>
          <w:tcPr>
            <w:tcW w:type="dxa" w:w="4515"/>
          </w:tcPr>
          <w:p>
            <w:r/>
            <w:r>
              <w:rPr>
                <w:b w:val="0"/>
                <w:sz w:val="18"/>
              </w:rPr>
              <w:t>Robustness testing planned before production (Transition-1). Known failure modes and mitigations: (a) invalid SQL → read-only guard + LIMIT injection + error surfaced, not fabricated; (b) hallucinated numbers → 'never invent numbers, always call a tool' system rule; (c) LLM timeout / rate-limit → retry with back-off + graceful fallback message; (d) prompt injection via data values → parameterised structured tools + read-only DB role. Adversarial and stress testing via a curated question bank, red-team prompts, and concurrent-session load.</w:t>
            </w:r>
          </w:p>
        </w:tc>
      </w:tr>
      <w:tr>
        <w:tc>
          <w:tcPr>
            <w:tcW w:type="dxa" w:w="9030"/>
            <w:gridSpan w:val="2"/>
          </w:tcPr>
          <w:p>
            <w:r/>
            <w:r>
              <w:rPr>
                <w:b/>
                <w:color w:val="00338D"/>
                <w:sz w:val="18"/>
              </w:rPr>
              <w:t>Transparency and Explainability</w:t>
            </w:r>
          </w:p>
        </w:tc>
      </w:tr>
      <w:tr>
        <w:tc>
          <w:tcPr>
            <w:tcW w:type="dxa" w:w="4515"/>
          </w:tcPr>
          <w:p>
            <w:r/>
            <w:r>
              <w:rPr>
                <w:b/>
                <w:sz w:val="18"/>
              </w:rPr>
              <w:t>Comprehensibility of AI decisions</w:t>
            </w:r>
          </w:p>
        </w:tc>
        <w:tc>
          <w:tcPr>
            <w:tcW w:type="dxa" w:w="4515"/>
          </w:tcPr>
          <w:p>
            <w:r/>
            <w:r>
              <w:rPr>
                <w:b w:val="0"/>
                <w:sz w:val="18"/>
              </w:rPr>
              <w:t>Not a black box in operation. The assistant exposes which tools / queries it used and its figures are cross-checkable against dashboards. The underlying GPT-4o model is itself opaque; this is justified because the model is used only as a language / reasoning layer over deterministic, auditable tool outputs — the authoritative data comes from governed read-only SQL, not the model.</w:t>
            </w:r>
          </w:p>
        </w:tc>
      </w:tr>
      <w:tr>
        <w:tc>
          <w:tcPr>
            <w:tcW w:type="dxa" w:w="4515"/>
          </w:tcPr>
          <w:p>
            <w:r/>
            <w:r>
              <w:rPr>
                <w:b/>
                <w:sz w:val="18"/>
              </w:rPr>
              <w:t>Complexity of AI systems</w:t>
            </w:r>
          </w:p>
        </w:tc>
        <w:tc>
          <w:tcPr>
            <w:tcW w:type="dxa" w:w="4515"/>
          </w:tcPr>
          <w:p>
            <w:r/>
            <w:r>
              <w:rPr>
                <w:b w:val="0"/>
                <w:sz w:val="18"/>
              </w:rPr>
              <w:t>Moderate. Agentic tool-calling loop (max 8 iterations, guidance of ≤3 tool calls per answer). Complexity is justified: multi-table P2P questions require reasoning across PR → PO → GRN → Invoice → Payment, which simple keyword search cannot answer.</w:t>
            </w:r>
          </w:p>
        </w:tc>
      </w:tr>
      <w:tr>
        <w:tc>
          <w:tcPr>
            <w:tcW w:type="dxa" w:w="9030"/>
            <w:gridSpan w:val="2"/>
          </w:tcPr>
          <w:p>
            <w:r/>
            <w:r>
              <w:rPr>
                <w:b/>
                <w:color w:val="00338D"/>
                <w:sz w:val="18"/>
              </w:rPr>
              <w:t>Diversity, non-discrimination and fairness</w:t>
            </w:r>
          </w:p>
        </w:tc>
      </w:tr>
      <w:tr>
        <w:tc>
          <w:tcPr>
            <w:tcW w:type="dxa" w:w="4515"/>
          </w:tcPr>
          <w:p>
            <w:r/>
            <w:r>
              <w:rPr>
                <w:b/>
                <w:sz w:val="18"/>
              </w:rPr>
              <w:t>Demographics</w:t>
            </w:r>
          </w:p>
        </w:tc>
        <w:tc>
          <w:tcPr>
            <w:tcW w:type="dxa" w:w="4515"/>
          </w:tcPr>
          <w:p>
            <w:r/>
            <w:r>
              <w:rPr>
                <w:b w:val="0"/>
                <w:sz w:val="18"/>
              </w:rPr>
              <w:t>No impact on demographic groups. Data is internal KPMG procurement transactions (vendors, POs, spend); no personal or protected attributes of individuals are analysed and no profiling of persons occurs. Residual bias risk is limited to vendor treatment and is mitigated because answers reflect only factual recorded data, not model opinion.</w:t>
            </w:r>
          </w:p>
        </w:tc>
      </w:tr>
      <w:tr>
        <w:tc>
          <w:tcPr>
            <w:tcW w:type="dxa" w:w="4515"/>
          </w:tcPr>
          <w:p>
            <w:r/>
            <w:r>
              <w:rPr>
                <w:b/>
                <w:sz w:val="18"/>
              </w:rPr>
              <w:t>Societal well-being</w:t>
            </w:r>
          </w:p>
        </w:tc>
        <w:tc>
          <w:tcPr>
            <w:tcW w:type="dxa" w:w="4515"/>
          </w:tcPr>
          <w:p>
            <w:r/>
            <w:r>
              <w:rPr>
                <w:b w:val="0"/>
                <w:sz w:val="18"/>
              </w:rPr>
              <w:t>Indirect positive impact — improves procurement compliance, MSME payment monitoring, and spend transparency. No adverse societal impact identified.</w:t>
            </w:r>
          </w:p>
        </w:tc>
      </w:tr>
      <w:tr>
        <w:tc>
          <w:tcPr>
            <w:tcW w:type="dxa" w:w="9030"/>
            <w:gridSpan w:val="2"/>
          </w:tcPr>
          <w:p>
            <w:r/>
            <w:r>
              <w:rPr>
                <w:b/>
                <w:color w:val="00338D"/>
                <w:sz w:val="18"/>
              </w:rPr>
              <w:t>Involvement of Individuals</w:t>
            </w:r>
          </w:p>
        </w:tc>
      </w:tr>
      <w:tr>
        <w:tc>
          <w:tcPr>
            <w:tcW w:type="dxa" w:w="4515"/>
          </w:tcPr>
          <w:p>
            <w:r/>
            <w:r>
              <w:rPr>
                <w:b/>
                <w:sz w:val="18"/>
              </w:rPr>
              <w:t>Involvement of affected individuals</w:t>
            </w:r>
          </w:p>
        </w:tc>
        <w:tc>
          <w:tcPr>
            <w:tcW w:type="dxa" w:w="4515"/>
          </w:tcPr>
          <w:p>
            <w:r/>
            <w:r>
              <w:rPr>
                <w:b w:val="0"/>
                <w:sz w:val="18"/>
              </w:rPr>
              <w:t>Affected individuals = KPMG internal procurement, finance, and leadership users, identified in the stakeholder analysis. Feedback via in-app feedback and the service desk. Users retain full control — the AI only informs; humans decide and act.</w:t>
            </w:r>
          </w:p>
        </w:tc>
      </w:tr>
      <w:tr>
        <w:tc>
          <w:tcPr>
            <w:tcW w:type="dxa" w:w="9030"/>
            <w:gridSpan w:val="2"/>
          </w:tcPr>
          <w:p>
            <w:r/>
            <w:r>
              <w:rPr>
                <w:b/>
                <w:color w:val="00338D"/>
                <w:sz w:val="18"/>
              </w:rPr>
              <w:t>Environmental Wellbeing</w:t>
            </w:r>
          </w:p>
        </w:tc>
      </w:tr>
      <w:tr>
        <w:tc>
          <w:tcPr>
            <w:tcW w:type="dxa" w:w="4515"/>
          </w:tcPr>
          <w:p>
            <w:r/>
            <w:r>
              <w:rPr>
                <w:b/>
                <w:sz w:val="18"/>
              </w:rPr>
              <w:t>Energy efficiency in model training</w:t>
            </w:r>
          </w:p>
        </w:tc>
        <w:tc>
          <w:tcPr>
            <w:tcW w:type="dxa" w:w="4515"/>
          </w:tcPr>
          <w:p>
            <w:r/>
            <w:r>
              <w:rPr>
                <w:b w:val="0"/>
                <w:sz w:val="18"/>
              </w:rPr>
              <w:t>Yes — a pre-trained hosted foundation model (Azure OpenAI GPT-4o) is used. No training or fine-tuning from scratch; zero training compute. Inference only, on demand.</w:t>
            </w:r>
          </w:p>
        </w:tc>
      </w:tr>
      <w:tr>
        <w:tc>
          <w:tcPr>
            <w:tcW w:type="dxa" w:w="4515"/>
          </w:tcPr>
          <w:p>
            <w:r/>
            <w:r>
              <w:rPr>
                <w:b/>
                <w:sz w:val="18"/>
              </w:rPr>
              <w:t>Optimizing resource utilization</w:t>
            </w:r>
          </w:p>
        </w:tc>
        <w:tc>
          <w:tcPr>
            <w:tcW w:type="dxa" w:w="4515"/>
          </w:tcPr>
          <w:p>
            <w:r/>
            <w:r>
              <w:rPr>
                <w:b w:val="0"/>
                <w:sz w:val="18"/>
              </w:rPr>
              <w:t>Managed / serverless inference (Azure OpenAI) — no idle GPU owned. Azure Container Apps scale to zero; LLM calls are made only on a user query.</w:t>
            </w:r>
          </w:p>
        </w:tc>
      </w:tr>
      <w:tr>
        <w:tc>
          <w:tcPr>
            <w:tcW w:type="dxa" w:w="4515"/>
          </w:tcPr>
          <w:p>
            <w:r/>
            <w:r>
              <w:rPr>
                <w:b/>
                <w:sz w:val="18"/>
              </w:rPr>
              <w:t>Sustainable data management</w:t>
            </w:r>
          </w:p>
        </w:tc>
        <w:tc>
          <w:tcPr>
            <w:tcW w:type="dxa" w:w="4515"/>
          </w:tcPr>
          <w:p>
            <w:r/>
            <w:r>
              <w:rPr>
                <w:b w:val="0"/>
                <w:sz w:val="18"/>
              </w:rPr>
              <w:t>No vector database or embeddings index is maintained (tool-calling on live relational data, not a RAG store) → minimal additional storage. No redundant AI data retained beyond capped in-session history (≤20 messages).</w:t>
            </w:r>
          </w:p>
        </w:tc>
      </w:tr>
      <w:tr>
        <w:tc>
          <w:tcPr>
            <w:tcW w:type="dxa" w:w="4515"/>
          </w:tcPr>
          <w:p>
            <w:r/>
            <w:r>
              <w:rPr>
                <w:b/>
                <w:sz w:val="18"/>
              </w:rPr>
              <w:t>Eco-friendly infrastructure</w:t>
            </w:r>
          </w:p>
        </w:tc>
        <w:tc>
          <w:tcPr>
            <w:tcW w:type="dxa" w:w="4515"/>
          </w:tcPr>
          <w:p>
            <w:r/>
            <w:r>
              <w:rPr>
                <w:b w:val="0"/>
                <w:sz w:val="18"/>
              </w:rPr>
              <w:t>Hosted on Microsoft Azure (serverless Container Apps + managed Azure OpenAI). Azure is committed to 100% renewable energy and carbon-negative operations.</w:t>
            </w:r>
          </w:p>
        </w:tc>
      </w:tr>
    </w:tbl>
    <w:p/>
    <w:p>
      <w:r>
        <w:rPr>
          <w:b/>
          <w:color w:val="00338D"/>
          <w:sz w:val="24"/>
        </w:rPr>
        <w:t>Data Governance (AI)</w:t>
      </w:r>
    </w:p>
    <w:tbl>
      <w:tblPr>
        <w:tblW w:type="auto" w:w="0"/>
        <w:tblLook w:firstColumn="1" w:firstRow="1" w:lastColumn="0" w:lastRow="0" w:noHBand="0" w:noVBand="1" w:val="04A0"/>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type="dxa" w:w="4515"/>
          </w:tcPr>
          <w:p>
            <w:r/>
            <w:r>
              <w:rPr>
                <w:b/>
                <w:sz w:val="18"/>
              </w:rPr>
              <w:t>Primary data sources</w:t>
            </w:r>
          </w:p>
        </w:tc>
        <w:tc>
          <w:tcPr>
            <w:tcW w:type="dxa" w:w="4515"/>
          </w:tcPr>
          <w:p>
            <w:r/>
            <w:r>
              <w:rPr>
                <w:b w:val="0"/>
                <w:sz w:val="18"/>
              </w:rPr>
              <w:t>Yes — proprietary internal data only. Sources: the live PostgreSQL procurement database (po_dump, pr_dump, grn_dump, po_invoice_dump, invoice_dump, payment_dump, vendor_master, kpi_results, pr_po_grn_invoice, process_mining_events). No public data and no third-party knowledge base. The model receives only the specific rows returned by governed read-only tools plus the schema description — never the whole database.</w:t>
            </w:r>
          </w:p>
        </w:tc>
      </w:tr>
      <w:tr>
        <w:tc>
          <w:tcPr>
            <w:tcW w:type="dxa" w:w="4515"/>
          </w:tcPr>
          <w:p>
            <w:r/>
            <w:r>
              <w:rPr>
                <w:b/>
                <w:sz w:val="18"/>
              </w:rPr>
              <w:t>Data versioning and update frequency</w:t>
            </w:r>
          </w:p>
        </w:tc>
        <w:tc>
          <w:tcPr>
            <w:tcW w:type="dxa" w:w="4515"/>
          </w:tcPr>
          <w:p>
            <w:r/>
            <w:r>
              <w:rPr>
                <w:b w:val="0"/>
                <w:sz w:val="18"/>
              </w:rPr>
              <w:t>The underlying data is refreshed on each CSV upload and KPIs are recomputed. The assistant always queries live data at question time, so answers reflect the current database state — there is no stale cached AI knowledge and no external knowledge source to version.</w:t>
            </w:r>
          </w:p>
        </w:tc>
      </w:tr>
      <w:tr>
        <w:tc>
          <w:tcPr>
            <w:tcW w:type="dxa" w:w="4515"/>
          </w:tcPr>
          <w:p>
            <w:r/>
            <w:r>
              <w:rPr>
                <w:b/>
                <w:sz w:val="18"/>
              </w:rPr>
              <w:t>Self-correction / discarding of incorrect data</w:t>
            </w:r>
          </w:p>
        </w:tc>
        <w:tc>
          <w:tcPr>
            <w:tcW w:type="dxa" w:w="4515"/>
          </w:tcPr>
          <w:p>
            <w:r/>
            <w:r>
              <w:rPr>
                <w:b w:val="0"/>
                <w:sz w:val="18"/>
              </w:rPr>
              <w:t>The system prompt forces tool-grounding and forbids inventing numbers; if a tool errors, the error is returned rather than masked. A regex write-guard blocks INSERT/UPDATE/DELETE/DDL, and LIMIT + result compression prevent oversized or inconsistent context. Harmful / biased output filtering via Azure OpenAI content filters (target); answers are constrained to factual procurement data.</w:t>
            </w:r>
          </w:p>
        </w:tc>
      </w:tr>
      <w:tr>
        <w:tc>
          <w:tcPr>
            <w:tcW w:type="dxa" w:w="9030"/>
            <w:gridSpan w:val="2"/>
          </w:tcPr>
          <w:p>
            <w:r/>
            <w:r>
              <w:rPr>
                <w:b/>
                <w:color w:val="00338D"/>
                <w:sz w:val="18"/>
              </w:rPr>
              <w:t>Model Robustness</w:t>
            </w:r>
          </w:p>
        </w:tc>
      </w:tr>
      <w:tr>
        <w:tc>
          <w:tcPr>
            <w:tcW w:type="dxa" w:w="4515"/>
          </w:tcPr>
          <w:p>
            <w:r/>
            <w:r>
              <w:rPr>
                <w:b/>
                <w:sz w:val="18"/>
              </w:rPr>
              <w:t>Metrics for go-live</w:t>
            </w:r>
          </w:p>
        </w:tc>
        <w:tc>
          <w:tcPr>
            <w:tcW w:type="dxa" w:w="4515"/>
          </w:tcPr>
          <w:p>
            <w:r/>
            <w:r>
              <w:rPr>
                <w:b w:val="0"/>
                <w:sz w:val="18"/>
              </w:rPr>
              <w:t>Answer accuracy against a ground-truth question bank ≥ agreed threshold; tool-grounding rate = 100% for data questions; zero write operations; P95 response-latency target; endpoint uptime target.</w:t>
            </w:r>
          </w:p>
        </w:tc>
      </w:tr>
      <w:tr>
        <w:tc>
          <w:tcPr>
            <w:tcW w:type="dxa" w:w="4515"/>
          </w:tcPr>
          <w:p>
            <w:r/>
            <w:r>
              <w:rPr>
                <w:b/>
                <w:sz w:val="18"/>
              </w:rPr>
              <w:t>Success metrics</w:t>
            </w:r>
          </w:p>
        </w:tc>
        <w:tc>
          <w:tcPr>
            <w:tcW w:type="dxa" w:w="4515"/>
          </w:tcPr>
          <w:p>
            <w:r/>
            <w:r>
              <w:rPr>
                <w:b w:val="0"/>
                <w:sz w:val="18"/>
              </w:rPr>
              <w:t>Latency, accuracy, throughput, and system uptime, measured against the question bank and monitored in production.</w:t>
            </w:r>
          </w:p>
        </w:tc>
      </w:tr>
      <w:tr>
        <w:tc>
          <w:tcPr>
            <w:tcW w:type="dxa" w:w="4515"/>
          </w:tcPr>
          <w:p>
            <w:r/>
            <w:r>
              <w:rPr>
                <w:b/>
                <w:sz w:val="18"/>
              </w:rPr>
              <w:t>Responsibilities for checking model performance</w:t>
            </w:r>
          </w:p>
        </w:tc>
        <w:tc>
          <w:tcPr>
            <w:tcW w:type="dxa" w:w="4515"/>
          </w:tcPr>
          <w:p>
            <w:r/>
            <w:r>
              <w:rPr>
                <w:b w:val="0"/>
                <w:sz w:val="18"/>
              </w:rPr>
              <w:t>Development team plus a KPMG Responsible-AI reviewer monitor accuracy and regression; IT Operations monitors availability and latency.</w:t>
            </w:r>
          </w:p>
        </w:tc>
      </w:tr>
      <w:tr>
        <w:tc>
          <w:tcPr>
            <w:tcW w:type="dxa" w:w="4515"/>
          </w:tcPr>
          <w:p>
            <w:r/>
            <w:r>
              <w:rPr>
                <w:b/>
                <w:sz w:val="18"/>
              </w:rPr>
              <w:t>Model confidence</w:t>
            </w:r>
          </w:p>
        </w:tc>
        <w:tc>
          <w:tcPr>
            <w:tcW w:type="dxa" w:w="4515"/>
          </w:tcPr>
          <w:p>
            <w:r/>
            <w:r>
              <w:rPr>
                <w:b w:val="0"/>
                <w:sz w:val="18"/>
              </w:rPr>
              <w:t>GPT-4o does not emit calibrated probabilities; confidence is handled by design — the deterministic tool outputs are authoritative. Uncertain or unanswerable questions cause the assistant to ask for clarification or state it cannot answer rather than guessing; temperature 0.1 reduces variance.</w:t>
            </w:r>
          </w:p>
        </w:tc>
      </w:tr>
    </w:tbl>
    <w:p/>
    <w:p>
      <w:r>
        <w:rPr>
          <w:b/>
          <w:color w:val="00338D"/>
          <w:sz w:val="24"/>
        </w:rPr>
        <w:t>Operation &amp; Monitoring (AI)</w:t>
      </w:r>
    </w:p>
    <w:tbl>
      <w:tblPr>
        <w:tblW w:type="auto" w:w="0"/>
        <w:tblLook w:firstColumn="1" w:firstRow="1" w:lastColumn="0" w:lastRow="0" w:noHBand="0" w:noVBand="1" w:val="04A0"/>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type="dxa" w:w="4515"/>
          </w:tcPr>
          <w:p>
            <w:r/>
            <w:r>
              <w:rPr>
                <w:b/>
                <w:sz w:val="18"/>
              </w:rPr>
              <w:t>Components to be monitored</w:t>
            </w:r>
          </w:p>
        </w:tc>
        <w:tc>
          <w:tcPr>
            <w:tcW w:type="dxa" w:w="4515"/>
          </w:tcPr>
          <w:p>
            <w:r/>
            <w:r>
              <w:rPr>
                <w:b w:val="0"/>
                <w:sz w:val="18"/>
              </w:rPr>
              <w:t>AI request / response logs, tool-call logs (tools_used), LLM latency and error rate, token usage / cost, database query performance, chat-endpoint uptime, and Azure OpenAI service health.</w:t>
            </w:r>
          </w:p>
        </w:tc>
      </w:tr>
      <w:tr>
        <w:tc>
          <w:tcPr>
            <w:tcW w:type="dxa" w:w="4515"/>
          </w:tcPr>
          <w:p>
            <w:r/>
            <w:r>
              <w:rPr>
                <w:b/>
                <w:sz w:val="18"/>
              </w:rPr>
              <w:t>Training programs for AI users</w:t>
            </w:r>
          </w:p>
        </w:tc>
        <w:tc>
          <w:tcPr>
            <w:tcW w:type="dxa" w:w="4515"/>
          </w:tcPr>
          <w:p>
            <w:r/>
            <w:r>
              <w:rPr>
                <w:b w:val="0"/>
                <w:sz w:val="18"/>
              </w:rPr>
              <w:t>In-app guidance and tooltips explain that the assistant is advisory and that figures should be verified against dashboards; onboarding notes cover its limitations (read-only, data-grounded).</w:t>
            </w:r>
          </w:p>
        </w:tc>
      </w:tr>
      <w:tr>
        <w:tc>
          <w:tcPr>
            <w:tcW w:type="dxa" w:w="4515"/>
          </w:tcPr>
          <w:p>
            <w:r/>
            <w:r>
              <w:rPr>
                <w:b/>
                <w:sz w:val="18"/>
              </w:rPr>
              <w:t>Decision-making power of AI</w:t>
            </w:r>
          </w:p>
        </w:tc>
        <w:tc>
          <w:tcPr>
            <w:tcW w:type="dxa" w:w="4515"/>
          </w:tcPr>
          <w:p>
            <w:r/>
            <w:r>
              <w:rPr>
                <w:b w:val="0"/>
                <w:sz w:val="18"/>
              </w:rPr>
              <w:t>None autonomous — advisory only. The assistant never executes a business action.</w:t>
            </w:r>
          </w:p>
        </w:tc>
      </w:tr>
      <w:tr>
        <w:tc>
          <w:tcPr>
            <w:tcW w:type="dxa" w:w="4515"/>
          </w:tcPr>
          <w:p>
            <w:r/>
            <w:r>
              <w:rPr>
                <w:b/>
                <w:sz w:val="18"/>
              </w:rPr>
              <w:t>Process to overrule AI decisions</w:t>
            </w:r>
          </w:p>
        </w:tc>
        <w:tc>
          <w:tcPr>
            <w:tcW w:type="dxa" w:w="4515"/>
          </w:tcPr>
          <w:p>
            <w:r/>
            <w:r>
              <w:rPr>
                <w:b w:val="0"/>
                <w:sz w:val="18"/>
              </w:rPr>
              <w:t>Inherent: because the AI never executes anything, the user simply disregards or verifies an answer. No action-override mechanism is required since no actions are taken.</w:t>
            </w:r>
          </w:p>
        </w:tc>
      </w:tr>
      <w:tr>
        <w:tc>
          <w:tcPr>
            <w:tcW w:type="dxa" w:w="4515"/>
          </w:tcPr>
          <w:p>
            <w:r/>
            <w:r>
              <w:rPr>
                <w:b/>
                <w:sz w:val="18"/>
              </w:rPr>
              <w:t>Monitoring input and output quality</w:t>
            </w:r>
          </w:p>
        </w:tc>
        <w:tc>
          <w:tcPr>
            <w:tcW w:type="dxa" w:w="4515"/>
          </w:tcPr>
          <w:p>
            <w:r/>
            <w:r>
              <w:rPr>
                <w:b w:val="0"/>
                <w:sz w:val="18"/>
              </w:rPr>
              <w:t>Yes — prompts and answers are logged; periodic sampling reviews answers against source data; error responses are captured.</w:t>
            </w:r>
          </w:p>
        </w:tc>
      </w:tr>
      <w:tr>
        <w:tc>
          <w:tcPr>
            <w:tcW w:type="dxa" w:w="4515"/>
          </w:tcPr>
          <w:p>
            <w:r/>
            <w:r>
              <w:rPr>
                <w:b/>
                <w:sz w:val="18"/>
              </w:rPr>
              <w:t>Detecting drift in input data</w:t>
            </w:r>
          </w:p>
        </w:tc>
        <w:tc>
          <w:tcPr>
            <w:tcW w:type="dxa" w:w="4515"/>
          </w:tcPr>
          <w:p>
            <w:r/>
            <w:r>
              <w:rPr>
                <w:b w:val="0"/>
                <w:sz w:val="18"/>
              </w:rPr>
              <w:t>The model is externally hosted and managed (Azure OpenAI); model drift is managed by the provider plus version pinning of the deployment. Data drift is not applicable (no fine-tuning). A question-bank regression is run on any model-version change to trigger re-validation.</w:t>
            </w:r>
          </w:p>
        </w:tc>
      </w:tr>
      <w:tr>
        <w:tc>
          <w:tcPr>
            <w:tcW w:type="dxa" w:w="4515"/>
          </w:tcPr>
          <w:p>
            <w:r/>
            <w:r>
              <w:rPr>
                <w:b/>
                <w:sz w:val="18"/>
              </w:rPr>
              <w:t>Versioned code repository</w:t>
            </w:r>
          </w:p>
        </w:tc>
        <w:tc>
          <w:tcPr>
            <w:tcW w:type="dxa" w:w="4515"/>
          </w:tcPr>
          <w:p>
            <w:r/>
            <w:r>
              <w:rPr>
                <w:b w:val="0"/>
                <w:sz w:val="18"/>
              </w:rPr>
              <w:t>Yes — all AI code (chat_engine, chat_tools, prompts, tool schemas) is version-controlled in GitHub, and the model deployment version is pinned in configuration.</w:t>
            </w:r>
          </w:p>
        </w:tc>
      </w:tr>
      <w:tr>
        <w:tc>
          <w:tcPr>
            <w:tcW w:type="dxa" w:w="4515"/>
          </w:tcPr>
          <w:p>
            <w:r/>
            <w:r>
              <w:rPr>
                <w:b/>
                <w:sz w:val="18"/>
              </w:rPr>
              <w:t>Maintenance and update schedule</w:t>
            </w:r>
          </w:p>
        </w:tc>
        <w:tc>
          <w:tcPr>
            <w:tcW w:type="dxa" w:w="4515"/>
          </w:tcPr>
          <w:p>
            <w:r/>
            <w:r>
              <w:rPr>
                <w:b w:val="0"/>
                <w:sz w:val="18"/>
              </w:rPr>
              <w:t>Model deployment reviewed on Azure OpenAI version updates; code follows the standard release cycle; prompt changes are change-controlled.</w:t>
            </w:r>
          </w:p>
        </w:tc>
      </w:tr>
      <w:tr>
        <w:tc>
          <w:tcPr>
            <w:tcW w:type="dxa" w:w="4515"/>
          </w:tcPr>
          <w:p>
            <w:r/>
            <w:r>
              <w:rPr>
                <w:b/>
                <w:sz w:val="18"/>
              </w:rPr>
              <w:t>Responsibilities for updates</w:t>
            </w:r>
          </w:p>
        </w:tc>
        <w:tc>
          <w:tcPr>
            <w:tcW w:type="dxa" w:w="4515"/>
          </w:tcPr>
          <w:p>
            <w:r/>
            <w:r>
              <w:rPr>
                <w:b w:val="0"/>
                <w:sz w:val="18"/>
              </w:rPr>
              <w:t>Development team (code / prompts); IT Operations (Azure OpenAI deployment); Responsible-AI reviewer (sign-off on prompt or model changes).</w:t>
            </w:r>
          </w:p>
        </w:tc>
      </w:tr>
      <w:tr>
        <w:tc>
          <w:tcPr>
            <w:tcW w:type="dxa" w:w="4515"/>
          </w:tcPr>
          <w:p>
            <w:r/>
            <w:r>
              <w:rPr>
                <w:b/>
                <w:sz w:val="18"/>
              </w:rPr>
              <w:t>Software tests</w:t>
            </w:r>
          </w:p>
        </w:tc>
        <w:tc>
          <w:tcPr>
            <w:tcW w:type="dxa" w:w="4515"/>
          </w:tcPr>
          <w:p>
            <w:r/>
            <w:r>
              <w:rPr>
                <w:b w:val="0"/>
                <w:sz w:val="18"/>
              </w:rPr>
              <w:t>Yes — question-bank regression, read-only guard tests, and integration tests run before deploy.</w:t>
            </w:r>
          </w:p>
        </w:tc>
      </w:tr>
      <w:tr>
        <w:tc>
          <w:tcPr>
            <w:tcW w:type="dxa" w:w="4515"/>
          </w:tcPr>
          <w:p>
            <w:r/>
            <w:r>
              <w:rPr>
                <w:b/>
                <w:sz w:val="18"/>
              </w:rPr>
              <w:t>Stability period before deployment</w:t>
            </w:r>
          </w:p>
        </w:tc>
        <w:tc>
          <w:tcPr>
            <w:tcW w:type="dxa" w:w="4515"/>
          </w:tcPr>
          <w:p>
            <w:r/>
            <w:r>
              <w:rPr>
                <w:b w:val="0"/>
                <w:sz w:val="18"/>
              </w:rPr>
              <w:t>A defined soak / monitoring period in QA precedes promotion to Production.</w:t>
            </w:r>
          </w:p>
        </w:tc>
      </w:tr>
      <w:tr>
        <w:tc>
          <w:tcPr>
            <w:tcW w:type="dxa" w:w="4515"/>
          </w:tcPr>
          <w:p>
            <w:r/>
            <w:r>
              <w:rPr>
                <w:b/>
                <w:sz w:val="18"/>
              </w:rPr>
              <w:t>Reporting AI output concerns</w:t>
            </w:r>
          </w:p>
        </w:tc>
        <w:tc>
          <w:tcPr>
            <w:tcW w:type="dxa" w:w="4515"/>
          </w:tcPr>
          <w:p>
            <w:r/>
            <w:r>
              <w:rPr>
                <w:b w:val="0"/>
                <w:sz w:val="18"/>
              </w:rPr>
              <w:t>In-app feedback and the service desk route concerns to the development team and the Responsible-AI reviewer; an incident process covers material errors.</w:t>
            </w:r>
          </w:p>
        </w:tc>
      </w:tr>
    </w:tbl>
    <w:p/>
    <w:p>
      <w:r>
        <w:rPr>
          <w:b/>
          <w:color w:val="00338D"/>
          <w:sz w:val="24"/>
        </w:rPr>
        <w:t>AI — System Impact Assessment (AISIA)</w:t>
      </w:r>
    </w:p>
    <w:tbl>
      <w:tblPr>
        <w:tblW w:type="auto" w:w="0"/>
        <w:tblLook w:firstColumn="1" w:firstRow="1" w:lastColumn="0" w:lastRow="0" w:noHBand="0" w:noVBand="1" w:val="04A0"/>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type="dxa" w:w="4515"/>
          </w:tcPr>
          <w:p>
            <w:r/>
            <w:r>
              <w:rPr>
                <w:b/>
                <w:sz w:val="18"/>
              </w:rPr>
              <w:t>Requirements ID</w:t>
            </w:r>
          </w:p>
        </w:tc>
        <w:tc>
          <w:tcPr>
            <w:tcW w:type="dxa" w:w="4515"/>
          </w:tcPr>
          <w:p>
            <w:r/>
            <w:r>
              <w:rPr>
                <w:b/>
                <w:sz w:val="18"/>
              </w:rPr>
              <w:t>Assessment</w:t>
            </w:r>
          </w:p>
        </w:tc>
      </w:tr>
      <w:tr>
        <w:tc>
          <w:tcPr>
            <w:tcW w:type="dxa" w:w="4515"/>
          </w:tcPr>
          <w:p>
            <w:r/>
            <w:r>
              <w:rPr>
                <w:b w:val="0"/>
                <w:sz w:val="18"/>
              </w:rPr>
              <w:t>AISIA 01</w:t>
            </w:r>
          </w:p>
        </w:tc>
        <w:tc>
          <w:tcPr>
            <w:tcW w:type="dxa" w:w="4515"/>
          </w:tcPr>
          <w:p>
            <w:r/>
            <w:r>
              <w:rPr>
                <w:b w:val="0"/>
                <w:sz w:val="18"/>
              </w:rPr>
              <w:t>System: Ask IntelliSource — natural-language P2P analytics assistant.</w:t>
            </w:r>
          </w:p>
          <w:p>
            <w:r>
              <w:rPr>
                <w:b w:val="0"/>
                <w:sz w:val="18"/>
              </w:rPr>
              <w:t>Purpose: answer procurement questions grounded on live internal data.</w:t>
            </w:r>
          </w:p>
          <w:p>
            <w:r>
              <w:rPr>
                <w:b w:val="0"/>
                <w:sz w:val="18"/>
              </w:rPr>
              <w:t>Autonomy: advisory and read-only; human-in-the-loop for every decision.</w:t>
            </w:r>
          </w:p>
          <w:p>
            <w:r>
              <w:rPr>
                <w:b w:val="0"/>
                <w:sz w:val="18"/>
              </w:rPr>
              <w:t>Data: internal KPMG procurement transactions only; no personal or special-category data; no data is used to train the model.</w:t>
            </w:r>
          </w:p>
          <w:p>
            <w:r>
              <w:rPr>
                <w:b w:val="0"/>
                <w:sz w:val="18"/>
              </w:rPr>
              <w:t>Model &amp; hosting: Azure OpenAI GPT-4o in the KPMG tenant over Private Link (target); the pilot uses OpenRouter GPT-4o (external, US-hosted) which must be retired before production due to data-egress risk.</w:t>
            </w:r>
          </w:p>
          <w:p>
            <w:r>
              <w:rPr>
                <w:b w:val="0"/>
                <w:sz w:val="18"/>
              </w:rPr>
              <w:t>Key risks: hallucination, incorrect SQL generation, prompt injection, and external data egress (pilot).</w:t>
            </w:r>
          </w:p>
          <w:p>
            <w:r>
              <w:rPr>
                <w:b w:val="0"/>
                <w:sz w:val="18"/>
              </w:rPr>
              <w:t>Mitigations: mandatory tool-grounding, read-only database role, LIMIT and result caps, low temperature (0.1), Azure OpenAI content filters, and in-tenant hosting for production.</w:t>
            </w:r>
          </w:p>
          <w:p>
            <w:r>
              <w:rPr>
                <w:b w:val="0"/>
                <w:sz w:val="18"/>
              </w:rPr>
              <w:t>Impact classification: Low-to-Medium — an advisory internal tool with no automated decisions and no PII.</w:t>
            </w:r>
          </w:p>
          <w:p>
            <w:r>
              <w:rPr>
                <w:b w:val="0"/>
                <w:sz w:val="18"/>
              </w:rPr>
              <w:t>Residual risk: acceptable for the pilot; migration to Azure OpenAI plus robustness testing is required before production.</w:t>
            </w:r>
          </w:p>
        </w:tc>
      </w:tr>
    </w:tbl>
    <w:p/>
    <w:p>
      <w:pPr>
        <w:spacing w:after="120" w:before="120" w:line="259" w:lineRule="auto"/>
        <w:ind w:firstLine="0" w:start="0"/>
        <w:jc w:val="start"/>
      </w:pPr>
      <w:r>
        <w:rPr>
          <w:rFonts w:ascii="Dosis" w:hAnsi="Dosis" w:cs="Dosis" w:eastAsia="Dosis"/>
          <w:color w:val="1f3763"/>
          <w:sz w:val="24"/>
          <w:szCs w:val="24"/>
        </w:rPr>
        <w:t>*Compliance and Standard Requirement</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997"/>
        <w:gridCol w:w="5267"/>
        <w:gridCol w:w="1765"/>
      </w:tblGrid>
      <w:tr>
        <w:tc>
          <w:tcPr>
            <w:tcW w:w="1997"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Requirements ID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267"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Requirements Name and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765"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Impacted Countries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99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CSR01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26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Internal Data Classification Policy — Procurement data classified as KPMG Confidential. Data must not leave approved hosting boundaries without encryption.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7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India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99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CSR02</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26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MSMED Act Compliance (India) — MSME vendor flags tracked; overdue payment monitoring (&gt;45 days) per MSME payment regulations.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7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India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99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CSR03</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26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 xml:space="preserve">KPMG Password Policy — Passwords must meet KPMG minimum complexity requirements.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7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India (global standard)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99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CSR04</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26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Audit Trail Requirements — Full audit log for all user actions per KPMG internal audit standards. Retained for minimum 5 years.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76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India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26"/>
          <w:szCs w:val="26"/>
        </w:rPr>
        <w:t>Business Architecture</w:t>
      </w: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1f3763"/>
          <w:sz w:val="24"/>
          <w:szCs w:val="24"/>
        </w:rPr>
        <w:t>*Business Process (To-Be)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33386" cy="4002589"/>
                  <wp:docPr id="2" name="Drawing 2" descr="2accafb1f2cc2d6d6b6e6c29765daf3e.png"/>
                  <wp:cNvGraphicFramePr>
                    <a:graphicFrameLocks noChangeAspect="true"/>
                  </wp:cNvGraphicFramePr>
                  <a:graphic>
                    <a:graphicData uri="http://schemas.openxmlformats.org/drawingml/2006/picture">
                      <pic:pic xmlns:pic="http://schemas.openxmlformats.org/drawingml/2006/picture">
                        <pic:nvPicPr>
                          <pic:cNvPr id="0" name="Picture 2" descr="2accafb1f2cc2d6d6b6e6c29765daf3e.png"/>
                          <pic:cNvPicPr>
                            <a:picLocks noChangeAspect="true"/>
                          </pic:cNvPicPr>
                        </pic:nvPicPr>
                        <pic:blipFill>
                          <a:blip r:embed="rId5"/>
                          <a:srcRect l="0" t="0" r="0" b="0"/>
                          <a:stretch>
                            <a:fillRect/>
                          </a:stretch>
                        </pic:blipFill>
                        <pic:spPr>
                          <a:xfrm flipH="false" flipV="false">
                            <a:off x="0" y="0"/>
                            <a:ext cx="5633386" cy="4002589"/>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1f3763"/>
          <w:sz w:val="24"/>
          <w:szCs w:val="24"/>
        </w:rPr>
        <w:t>Business Process (As-Is)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33386" cy="3683900"/>
                  <wp:docPr id="3" name="Drawing 3" descr="023ae05685121ff094b12b0a22903be5.png"/>
                  <wp:cNvGraphicFramePr>
                    <a:graphicFrameLocks noChangeAspect="true"/>
                  </wp:cNvGraphicFramePr>
                  <a:graphic>
                    <a:graphicData uri="http://schemas.openxmlformats.org/drawingml/2006/picture">
                      <pic:pic xmlns:pic="http://schemas.openxmlformats.org/drawingml/2006/picture">
                        <pic:nvPicPr>
                          <pic:cNvPr id="0" name="Picture 3" descr="023ae05685121ff094b12b0a22903be5.png"/>
                          <pic:cNvPicPr>
                            <a:picLocks noChangeAspect="true"/>
                          </pic:cNvPicPr>
                        </pic:nvPicPr>
                        <pic:blipFill>
                          <a:blip r:embed="rId6"/>
                          <a:srcRect l="0" t="0" r="0" b="0"/>
                          <a:stretch>
                            <a:fillRect/>
                          </a:stretch>
                        </pic:blipFill>
                        <pic:spPr>
                          <a:xfrm flipH="false" flipV="false">
                            <a:off x="0" y="0"/>
                            <a:ext cx="5633386" cy="3683900"/>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1f3763"/>
          <w:sz w:val="24"/>
          <w:szCs w:val="24"/>
        </w:rPr>
        <w:t>*Business Domain/Firm Impacted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668"/>
        <w:gridCol w:w="804"/>
        <w:gridCol w:w="4751"/>
        <w:gridCol w:w="804"/>
      </w:tblGrid>
      <w:tr>
        <w:tc>
          <w:tcPr>
            <w:tcW w:w="2668"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Domain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04"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751"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Domain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04"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66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Tax</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04"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751"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Advisory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04"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66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Corporate Functions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04"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751"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Information Technology Division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04"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000000"/>
          <w:sz w:val="24"/>
          <w:szCs w:val="24"/>
        </w:rPr>
        <w:t>*Countries/Location Impacted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864"/>
        <w:gridCol w:w="893"/>
        <w:gridCol w:w="3673"/>
        <w:gridCol w:w="1598"/>
      </w:tblGrid>
      <w:tr>
        <w:tc>
          <w:tcPr>
            <w:tcW w:w="2864"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Location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93"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673"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 xml:space="preserve">Location Name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98"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86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 India - Bangalore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93"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67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 India - Gurgaon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98"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86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KGS - India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93"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67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 IGS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98"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86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 India - Hyderabad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93"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67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 South Africa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98"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86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 Germany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93"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67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 Canada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98"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1f3763"/>
          <w:sz w:val="24"/>
          <w:szCs w:val="24"/>
        </w:rPr>
        <w:t>Channels Impacted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761"/>
        <w:gridCol w:w="843"/>
        <w:gridCol w:w="4608"/>
        <w:gridCol w:w="816"/>
      </w:tblGrid>
      <w:tr>
        <w:tc>
          <w:tcPr>
            <w:tcW w:w="2761"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Channel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43"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608"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 xml:space="preserve">Channel Name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16"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761"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Web</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43"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60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Social Media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16"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761"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Mobile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43"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60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SMS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16"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761"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Email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43"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60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Instant Messaging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16"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761"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USSD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43"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60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WhatsApp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16"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761"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Print Media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43"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60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Desktop Application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816" w:type="dxa"/>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32"/>
          <w:szCs w:val="32"/>
        </w:rPr>
        <w:t>Opportunities And Solutions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26"/>
          <w:szCs w:val="26"/>
        </w:rPr>
        <w:t>*Solution Recommendation – Proposed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913"/>
        <w:gridCol w:w="2141"/>
        <w:gridCol w:w="3974"/>
      </w:tblGrid>
      <w:tr>
        <w:tc>
          <w:tcPr>
            <w:tcW w:w="2913"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 xml:space="preserve">Solution Name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41"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Recommended(</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74"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Reason for selection/rejection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91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IntelliSource Platform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41"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w:t>
            </w:r>
            <w:r>
              <w:rPr>
                <w:rFonts w:ascii="Arimo" w:hAnsi="Arimo" w:cs="Arimo" w:eastAsia="Arimo"/>
                <w:color w:val="000000"/>
                <w:sz w:val="22"/>
                <w:szCs w:val="22"/>
              </w:rPr>
              <w:t>ü</w:t>
            </w:r>
            <w:r>
              <w:rPr>
                <w:rFonts w:ascii="Calibri (MS)" w:hAnsi="Calibri (MS)" w:cs="Calibri (MS)" w:eastAsia="Calibri (M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74" w:type="dxa"/>
            <w:tcMar>
              <w:top w:w="75"/>
              <w:start w:w="75"/>
              <w:bottom w:w="75"/>
              <w:end w:w="75"/>
            </w:tcMar>
          </w:tcPr>
          <w:p>
            <w:pPr>
              <w:spacing w:after="120" w:before="120" w:line="259" w:lineRule="auto"/>
              <w:ind w:firstLine="0" w:start="0"/>
              <w:jc w:val="start"/>
            </w:pPr>
            <w:r>
              <w:rPr>
                <w:rFonts w:ascii="Calibri (MS) Italics" w:hAnsi="Calibri (MS) Italics" w:cs="Calibri (MS) Italics" w:eastAsia="Calibri (MS) Italics"/>
                <w:i/>
                <w:iCs/>
                <w:color w:val="000000"/>
                <w:sz w:val="22"/>
                <w:szCs w:val="22"/>
              </w:rPr>
              <w:t xml:space="preserve">This solution is custom-built as per business requirement as no other solution in the market fulfils all the business requirement.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26"/>
          <w:szCs w:val="26"/>
        </w:rPr>
        <w:t xml:space="preserve">*Solution Acquisition Approach-Proposed </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95"/>
        <w:gridCol w:w="1751"/>
        <w:gridCol w:w="4183"/>
      </w:tblGrid>
      <w:tr>
        <w:tc>
          <w:tcPr>
            <w:tcW w:w="3095"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Acquisition Approach</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751"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Applicable(</w:t>
            </w:r>
            <w:r>
              <w:rPr>
                <w:rFonts w:ascii="Arimo Bold" w:hAnsi="Arimo Bold" w:cs="Arimo Bold" w:eastAsia="Arimo Bold"/>
                <w:b/>
                <w:bCs/>
                <w:color w:val="000000"/>
                <w:sz w:val="22"/>
                <w:szCs w:val="22"/>
              </w:rPr>
              <w:t>ü</w:t>
            </w:r>
            <w:r>
              <w:rPr>
                <w:rFonts w:ascii="Calibri (MS) Bold" w:hAnsi="Calibri (MS) Bold" w:cs="Calibri (MS) Bold" w:eastAsia="Calibri (MS) Bold"/>
                <w:b/>
                <w:bCs/>
                <w:color w:val="000000"/>
                <w:sz w:val="22"/>
                <w:szCs w:val="22"/>
              </w:rPr>
              <w:t>/</w:t>
            </w:r>
            <w:r>
              <w:rPr>
                <w:rFonts w:ascii="Arimo Bold" w:hAnsi="Arimo Bold" w:cs="Arimo Bold" w:eastAsia="Arimo Bold"/>
                <w:b/>
                <w:bCs/>
                <w:color w:val="000000"/>
                <w:sz w:val="22"/>
                <w:szCs w:val="22"/>
              </w:rPr>
              <w:t>û</w:t>
            </w:r>
            <w:r>
              <w:rPr>
                <w:rFonts w:ascii="Calibri (MS) Bold" w:hAnsi="Calibri (MS) Bold" w:cs="Calibri (MS) Bold" w:eastAsia="Calibri (MS) Bold"/>
                <w:b/>
                <w:bCs/>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183"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Solution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309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 xml:space="preserve">Upgrade existing technology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751" w:type="dxa"/>
            <w:tcMar>
              <w:top w:w="75"/>
              <w:start w:w="75"/>
              <w:bottom w:w="75"/>
              <w:end w:w="75"/>
            </w:tcMar>
          </w:tcPr>
          <w:p>
            <w:pPr>
              <w:spacing w:after="120" w:before="120" w:line="259" w:lineRule="auto"/>
              <w:ind w:firstLine="0" w:start="0"/>
              <w:jc w:val="start"/>
            </w:pPr>
            <w:r>
              <w:rPr>
                <w:rFonts w:ascii="Arimo Bold" w:hAnsi="Arimo Bold" w:cs="Arimo Bold" w:eastAsia="Arimo Bold"/>
                <w:b/>
                <w:bCs/>
                <w:color w:val="000000"/>
                <w:sz w:val="22"/>
                <w:szCs w:val="22"/>
              </w:rPr>
              <w:t>ü</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18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KPMG IntelliSource Platform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26"/>
          <w:szCs w:val="26"/>
        </w:rPr>
        <w:t>Roadmap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38800" cy="2303714"/>
                  <wp:docPr id="4" name="Drawing 4" descr="639968f552aa566b4ba05efded2632c7.png"/>
                  <wp:cNvGraphicFramePr>
                    <a:graphicFrameLocks noChangeAspect="true"/>
                  </wp:cNvGraphicFramePr>
                  <a:graphic>
                    <a:graphicData uri="http://schemas.openxmlformats.org/drawingml/2006/picture">
                      <pic:pic xmlns:pic="http://schemas.openxmlformats.org/drawingml/2006/picture">
                        <pic:nvPicPr>
                          <pic:cNvPr id="0" name="Picture 4" descr="639968f552aa566b4ba05efded2632c7.png"/>
                          <pic:cNvPicPr>
                            <a:picLocks noChangeAspect="true"/>
                          </pic:cNvPicPr>
                        </pic:nvPicPr>
                        <pic:blipFill>
                          <a:blip r:embed="rId7"/>
                          <a:srcRect l="0" t="0" r="0" b="0"/>
                          <a:stretch>
                            <a:fillRect/>
                          </a:stretch>
                        </pic:blipFill>
                        <pic:spPr>
                          <a:xfrm flipH="false" flipV="false">
                            <a:off x="0" y="0"/>
                            <a:ext cx="5638800" cy="2303714"/>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076"/>
        <w:gridCol w:w="10"/>
        <w:gridCol w:w="11"/>
        <w:gridCol w:w="6931"/>
      </w:tblGrid>
      <w:tr>
        <w:tc>
          <w:tcPr>
            <w:tcW w:w="9030" w:type="dxa"/>
            <w:gridSpan w:val="4"/>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Baseline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87"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Phase-In (Start)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42" w:type="dxa"/>
            <w:gridSpan w:val="2"/>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18/03/2026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87"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Phase-In (End)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42" w:type="dxa"/>
            <w:gridSpan w:val="2"/>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15/04/2026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87"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Phase-Out(start)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42" w:type="dxa"/>
            <w:gridSpan w:val="2"/>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15/04/2026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87" w:type="dxa"/>
            <w:gridSpan w:val="2"/>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Phase-Out (End)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42" w:type="dxa"/>
            <w:gridSpan w:val="2"/>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06/05/2026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4"/>
            <w:shd w:val="clear" w:color="auto" w:fill="d9e2f3"/>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 xml:space="preserve"> </w:t>
            </w:r>
            <w:r>
              <w:rPr>
                <w:rFonts w:ascii="Calibri (MS) Bold" w:hAnsi="Calibri (MS) Bold" w:cs="Calibri (MS) Bold" w:eastAsia="Calibri (MS) Bold"/>
                <w:b/>
                <w:bCs/>
                <w:color w:val="000000"/>
                <w:sz w:val="22"/>
                <w:szCs w:val="22"/>
              </w:rPr>
              <w:t>Transition Architecture – 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98" w:type="dxa"/>
            <w:gridSpan w:val="3"/>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Phase-In (Start)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3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06/05/2026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98" w:type="dxa"/>
            <w:gridSpan w:val="3"/>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Phase-In (End)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3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27/05/2026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98" w:type="dxa"/>
            <w:gridSpan w:val="3"/>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Phase-Out(start)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3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27/05/2026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98" w:type="dxa"/>
            <w:gridSpan w:val="3"/>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Phase-Out (End)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3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08/06/2026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4"/>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Target Architecture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7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Phase-In (Start)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53" w:type="dxa"/>
            <w:gridSpan w:val="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08/06/2026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7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Phase-In (End)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53" w:type="dxa"/>
            <w:gridSpan w:val="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19/06/2026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7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Phase-Out(start)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53" w:type="dxa"/>
            <w:gridSpan w:val="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19/06/2026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7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Phase-Out (End)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53" w:type="dxa"/>
            <w:gridSpan w:val="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02/07/2026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26"/>
          <w:szCs w:val="26"/>
        </w:rPr>
        <w:t>Solution Architecture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301"/>
        <w:gridCol w:w="6728"/>
      </w:tblGrid>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Attribute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Attribute 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Application Classification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Supporting Technology Solution (internal analytics / intelligence platform)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Deployment/Hosting Model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Hybrid — Frontend SPA hosted on cloud CDN; Backend FastAPI on on-premise / cloud VM; PostgreSQL on on-prem or managed cloud DB</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Current Status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Live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Future Approach (Optional)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Keep and enhance — roadmap to integrate with Azure AD SSO and SAP BAPI</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Strategic Alignment (Optional)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Tactical (6–12 month horizon); roadmap transitions to Long Term with SSO and SAP integration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Business Critical Indicator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No — loss of service impacts internal reporting efficiency; no direct client-facing or revenue impact in current phase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Solution Criticality Tier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Medium (Gold/Silver) — operational inefficiency if unavailable; no immediate financial or reputational damage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Solution Continuity Tier</w:t>
            </w: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Bold" w:hAnsi="Calibri (MS) Bold" w:cs="Calibri (MS) Bold" w:eastAsia="Calibri (MS) Bold"/>
                <w:b/>
                <w:bCs/>
                <w:color w:val="000000"/>
                <w:sz w:val="22"/>
                <w:szCs w:val="22"/>
              </w:rPr>
              <w:t>BCP assessment must be done prior, and the outcome populated here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Non-Critical (Bronze) — RTO: 1–3 days; RPO: 1–3 days. Nightly PostgreSQL backup sufficient for current phase.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DR Required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Not Required in pilot phase. Required (Warm) post Go-Live with full KPMG rollout.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DR Plan Available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7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 xml:space="preserve">No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1f3763"/>
          <w:sz w:val="24"/>
          <w:szCs w:val="24"/>
        </w:rPr>
        <w:t>Information Architecture</w:t>
      </w: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Dashboard 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558"/>
        <w:gridCol w:w="5857"/>
        <w:gridCol w:w="1614"/>
      </w:tblGrid>
      <w:tr>
        <w:tc>
          <w:tcPr>
            <w:tcW w:w="1558"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Dashboard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857"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Bold" w:hAnsi="Calibri (MS) Bold" w:cs="Calibri (MS) Bold" w:eastAsia="Calibri (MS) Bold"/>
                <w:b/>
                <w:bCs/>
                <w:color w:val="000000"/>
                <w:sz w:val="22"/>
                <w:szCs w:val="22"/>
              </w:rPr>
              <w:t>Source, Destination, New/Update/Remove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 xml:space="preserve">Impacted User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Procurement Dashboard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85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po_dump, pr_dump, kpi_results, audit_log, process_mining_events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Procurement Manager, Admin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P2P Lifecycle Tracker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85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pr_po_grn_invoice (fact table), grn_dump, po_invoice_dump, payment_dump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All roles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Financial Dashboard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85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po_dump (CAPEX/OPEX flag), kpi_results, Budget_Master.csv</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Finance User, CXO</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Vendor Performance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85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vendor_master, po_dump, grn_dump, po_invoice_dump, kpi_results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Procurement Manager, Compliance Officer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Leadership Dashboard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85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kpi_results (all dashboards), pr_po_grn_invoice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Leadership, Partner, CXO, Director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Utilization Analytics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85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po_dump (created_by), pr_dump, kpi_results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Delivery Manager, Admin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5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Profit Centre Analytics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5857"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po_dump (profit_center), kpi_results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Finance User, Director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Reports Details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558"/>
        <w:gridCol w:w="2131"/>
        <w:gridCol w:w="2014"/>
        <w:gridCol w:w="1712"/>
        <w:gridCol w:w="1614"/>
      </w:tblGrid>
      <w:tr>
        <w:tc>
          <w:tcPr>
            <w:tcW w:w="1558"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Report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31"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Report Explanation(Attribute list, format, etc.…)</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014"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Frequency/Schedule (weekly, daily/ On Demand reports/ad-hoc reports)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712"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Distribution List (team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Standard / customized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58"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31"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014"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712"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14"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 xml:space="preserve">*Entity/Data Details / Data Source, Structure of the Data, </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There will be a list of data classification provided by the EA team along with the description. It entails the type of information or the attributes which it is comprised of.</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325"/>
        <w:gridCol w:w="2738"/>
        <w:gridCol w:w="3966"/>
      </w:tblGrid>
      <w:tr>
        <w:tc>
          <w:tcPr>
            <w:tcW w:w="2325"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Data/Information Class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Business Function Association/Description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Purchase Requisition (pr_dump)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 header and line items from SAP MM module. Fields: PR number, item, material, quantity, value, release status, company code, created_on.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P2P initiation, PR aging analysis, PR→PO conversion tracking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Purchase Order (po_dump)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 header and line items. Fields: PO number, item, vendor, net_order_value, document_date, company_code, plant, material_group, deletion_indicator, CAPEX/OPEX flag.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Core procurement transaction; KPI computation; anomaly detection; spend analytics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 Delivery Schedule (po_delivery_dump)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Expected delivery dates and quantities per PO item.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Delivery compliance; on-time delivery KPI</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Goods Receipt (grn_dump)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GRN postings against POs. Fields: material document, purchasing_document, quantity, posting_date, movement type.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Three-way match; GRN-without-PO detection; P2P lifecycle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 Invoice (po_invoice_dump)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Invoice postings linked to POs. Fields: invoice_doc, posting_date, amount_local_ccy, reference_doc.</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Invoice processing; payment matching; duplicate invoice detection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Invoice (invoice_dump)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Standalone invoices from vendors. Fields: invoice_doc, vendor, document_type, posting_date, due_date, amount.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Payment overdue tracking; vendor payables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Payment (payment_dump)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Payment documents clearing invoices. Fields: payment_doc, vendor, amount_local_ccy, posting_date, clearing_date, cleared_invoice, payment_method.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Payment cycle time; MSME compliance; cash flow analytics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Vendor Master (vendor_master)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Vendor reference data. Fields: vendor code, name, country, city, account_group, posting_block, MSME flag.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Vendor performance; compliance; spend concentration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Change Log (change_log)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SAP object change history. Fields: object_class, object_id, change_number, username, change_date, field_name.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 amendment detection; approval cycle tracking; audit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KPI Results (kpi_results)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Pre-computed KPI values. Fields: kpi_code, kpi_name, value_numeric, value_text, unit, dashboard, company_code.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All dashboard KPI displays; trend analysis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Anomaly / Process Mining (process_mining_events)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Per-PO anomaly classifications. Fields: purchasing_document, anomaly_flags (comma-separated), anomaly_count, variant_class.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Anomaly alert center; compliance monitoring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P2P Fact Table (pr_po_grn_invoice)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Denormalised P2P fact. Fields: PR, PO, vendor, cycle times (pr_to_po_days, po_to_grn_days, etc.), amounts, CAPEX/OPEX flag, is_maverick.</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P2P lifecycle analytics; cycle time KPIs; AI assistant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Users (users)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Internal user accounts. Fields: user_id (UUID), email, full_name, role, password, is_active, created_at.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Authentication; authorization; user management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Audit Log (audit_log)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System-wide event log. Fields: user_id, action, entity_type, details, created_at.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Compliance; session tracking; admin audit trail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2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Budget Master (Budget_Master.csv)</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7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Budget allocations by company code and cost category.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66"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Financial dashboard budget vs actuals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*Information Architecture – Conceptual Data Model</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946852" cy="5924266"/>
                  <wp:docPr id="5" name="Drawing 5" descr="b3aef68869985be6ee2601b5cb84f43d.png"/>
                  <wp:cNvGraphicFramePr>
                    <a:graphicFrameLocks noChangeAspect="true"/>
                  </wp:cNvGraphicFramePr>
                  <a:graphic>
                    <a:graphicData uri="http://schemas.openxmlformats.org/drawingml/2006/picture">
                      <pic:pic xmlns:pic="http://schemas.openxmlformats.org/drawingml/2006/picture">
                        <pic:nvPicPr>
                          <pic:cNvPr id="0" name="Picture 5" descr="b3aef68869985be6ee2601b5cb84f43d.png"/>
                          <pic:cNvPicPr>
                            <a:picLocks noChangeAspect="true"/>
                          </pic:cNvPicPr>
                        </pic:nvPicPr>
                        <pic:blipFill>
                          <a:blip r:embed="rId8"/>
                          <a:srcRect l="0" t="0" r="0" b="0"/>
                          <a:stretch>
                            <a:fillRect/>
                          </a:stretch>
                        </pic:blipFill>
                        <pic:spPr>
                          <a:xfrm flipH="false" flipV="false">
                            <a:off x="0" y="0"/>
                            <a:ext cx="1946852" cy="5924266"/>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*Data Archiving, Migration and Retention 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338"/>
        <w:gridCol w:w="2238"/>
        <w:gridCol w:w="3949"/>
        <w:gridCol w:w="1503"/>
      </w:tblGrid>
      <w:tr>
        <w:tc>
          <w:tcPr>
            <w:tcW w:w="1338"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Requirement ID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238"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Data/Information Class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49"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Archiving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03"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Retention Requirement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3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DAR01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2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Procurement transactional data (po_dump, pr_dump, grn_dump, invoices, payments)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49" w:type="dxa"/>
            <w:tcMar>
              <w:top w:w="75"/>
              <w:start w:w="75"/>
              <w:bottom w:w="75"/>
              <w:end w:w="75"/>
            </w:tcMar>
          </w:tcPr>
          <w:p>
            <w:pPr>
              <w:spacing w:after="120" w:before="120" w:line="259" w:lineRule="auto"/>
              <w:ind w:firstLine="0" w:start="0"/>
              <w:jc w:val="start"/>
            </w:pPr>
            <w:r>
              <w:rPr>
                <w:rFonts w:ascii="Segoe UI" w:hAnsi="Segoe UI" w:cs="Segoe UI" w:eastAsia="Segoe UI"/>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0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7 years (KPMG audit retention)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3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DAR02</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2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Audit Log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49" w:type="dxa"/>
            <w:tcMar>
              <w:top w:w="75"/>
              <w:start w:w="75"/>
              <w:bottom w:w="75"/>
              <w:end w:w="75"/>
            </w:tcMar>
          </w:tcPr>
          <w:p>
            <w:pPr>
              <w:spacing w:after="120" w:before="120" w:line="259" w:lineRule="auto"/>
              <w:ind w:firstLine="0" w:start="0"/>
              <w:jc w:val="start"/>
            </w:pPr>
            <w:r>
              <w:rPr>
                <w:rFonts w:ascii="Segoe UI" w:hAnsi="Segoe UI" w:cs="Segoe UI" w:eastAsia="Segoe UI"/>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0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5 years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3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DAR03</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2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KPI Results (kpi_results)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49" w:type="dxa"/>
            <w:tcMar>
              <w:top w:w="75"/>
              <w:start w:w="75"/>
              <w:bottom w:w="75"/>
              <w:end w:w="75"/>
            </w:tcMar>
          </w:tcPr>
          <w:p>
            <w:pPr>
              <w:spacing w:after="120" w:before="120" w:line="259" w:lineRule="auto"/>
              <w:ind w:firstLine="0" w:start="0"/>
              <w:jc w:val="start"/>
            </w:pPr>
            <w:r>
              <w:rPr>
                <w:rFonts w:ascii="Segoe UI" w:hAnsi="Segoe UI" w:cs="Segoe UI" w:eastAsia="Segoe UI"/>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0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Rolling 36 months; recomputable from source data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3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DAR04</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2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User accounts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49" w:type="dxa"/>
            <w:tcMar>
              <w:top w:w="75"/>
              <w:start w:w="75"/>
              <w:bottom w:w="75"/>
              <w:end w:w="75"/>
            </w:tcMar>
          </w:tcPr>
          <w:p>
            <w:pPr>
              <w:spacing w:after="120" w:before="120" w:line="259" w:lineRule="auto"/>
              <w:ind w:firstLine="0" w:start="0"/>
              <w:jc w:val="start"/>
            </w:pPr>
            <w:r>
              <w:rPr>
                <w:rFonts w:ascii="Segoe UI" w:hAnsi="Segoe UI" w:cs="Segoe UI" w:eastAsia="Segoe UI"/>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0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Duration of employment + 2 years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3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DAR05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23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Change Log (change_log)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949" w:type="dxa"/>
            <w:tcMar>
              <w:top w:w="75"/>
              <w:start w:w="75"/>
              <w:bottom w:w="75"/>
              <w:end w:w="75"/>
            </w:tcMar>
          </w:tcPr>
          <w:p>
            <w:pPr>
              <w:spacing w:after="120" w:before="120" w:line="259" w:lineRule="auto"/>
              <w:ind w:firstLine="0" w:start="0"/>
              <w:jc w:val="start"/>
            </w:pPr>
            <w:r>
              <w:rPr>
                <w:rFonts w:ascii="Segoe UI" w:hAnsi="Segoe UI" w:cs="Segoe UI" w:eastAsia="Segoe UI"/>
                <w:color w:val="000000"/>
                <w:sz w:val="22"/>
                <w:szCs w:val="22"/>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03"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7 years (mirrors SAP change log retention)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1f3763"/>
          <w:sz w:val="24"/>
          <w:szCs w:val="24"/>
        </w:rPr>
        <w:t>Application Architecture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 xml:space="preserve">*Conceptual/Logical application architecture </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 xml:space="preserve"> </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633386" cy="7352138"/>
                  <wp:docPr id="6" name="Drawing 6" descr="6626330dbf7a9260b28ab3ecdf2a36e9.png"/>
                  <wp:cNvGraphicFramePr>
                    <a:graphicFrameLocks noChangeAspect="true"/>
                  </wp:cNvGraphicFramePr>
                  <a:graphic>
                    <a:graphicData uri="http://schemas.openxmlformats.org/drawingml/2006/picture">
                      <pic:pic xmlns:pic="http://schemas.openxmlformats.org/drawingml/2006/picture">
                        <pic:nvPicPr>
                          <pic:cNvPr id="0" name="Picture 6" descr="6626330dbf7a9260b28ab3ecdf2a36e9.png"/>
                          <pic:cNvPicPr>
                            <a:picLocks noChangeAspect="true"/>
                          </pic:cNvPicPr>
                        </pic:nvPicPr>
                        <pic:blipFill>
                          <a:blip r:embed="rId9"/>
                          <a:srcRect l="0" t="0" r="0" b="0"/>
                          <a:stretch>
                            <a:fillRect/>
                          </a:stretch>
                        </pic:blipFill>
                        <pic:spPr>
                          <a:xfrm flipH="false" flipV="false">
                            <a:off x="0" y="0"/>
                            <a:ext cx="5633386" cy="7352138"/>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385"/>
        <w:gridCol w:w="6644"/>
      </w:tblGrid>
      <w:tr>
        <w:tc>
          <w:tcPr>
            <w:tcW w:w="2385"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Application Component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644"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Application Component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85" w:type="dxa"/>
            <w:shd w:val="clear" w:color="auto" w:fill="d9e2f3"/>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416954" cy="181952"/>
                  <wp:docPr id="7" name="Drawing 7" descr="17065b67b-8ce0-4182-adbe-7b004c592ad0.png"/>
                  <wp:cNvGraphicFramePr>
                    <a:graphicFrameLocks noChangeAspect="true"/>
                  </wp:cNvGraphicFramePr>
                  <a:graphic>
                    <a:graphicData uri="http://schemas.openxmlformats.org/drawingml/2006/picture">
                      <pic:pic xmlns:pic="http://schemas.openxmlformats.org/drawingml/2006/picture">
                        <pic:nvPicPr>
                          <pic:cNvPr id="0" name="Picture 7" descr="17065b67b-8ce0-4182-adbe-7b004c592ad0.png"/>
                          <pic:cNvPicPr>
                            <a:picLocks noChangeAspect="true"/>
                          </pic:cNvPicPr>
                        </pic:nvPicPr>
                        <pic:blipFill>
                          <a:blip r:embed="rId10"/>
                          <a:stretch>
                            <a:fillRect/>
                          </a:stretch>
                        </pic:blipFill>
                        <pic:spPr>
                          <a:xfrm>
                            <a:off x="0" y="0"/>
                            <a:ext cx="1416954" cy="181952"/>
                          </a:xfrm>
                          <a:prstGeom prst="rect">
                            <a:avLst/>
                          </a:prstGeom>
                        </pic:spPr>
                      </pic:pic>
                    </a:graphicData>
                  </a:graphic>
                </wp:inline>
              </w:drawing>
            </w:r>
          </w:p>
          <w:p>
            <w:pPr>
              <w:spacing w:after="120" w:before="120" w:line="259" w:lineRule="auto"/>
              <w:ind w:firstLine="0" w:start="0"/>
              <w:jc w:val="center"/>
            </w:pPr>
            <w:r>
              <w:rPr>
                <w:rFonts w:ascii="Calibri (MS)" w:hAnsi="Calibri (MS)" w:cs="Calibri (MS)" w:eastAsia="Calibri (MS)"/>
                <w:color w:val="000000"/>
                <w:sz w:val="22"/>
                <w:szCs w:val="22"/>
              </w:rPr>
              <w:t>Application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64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IntelliSource is an internal Procure-to-Pay (P2P) intelligence and analytics platform built for KPMG. It ingests SAP procurement data (Purchase Requisitions, Purchase Orders, Goods Receipts, Invoices, Payments, Vendor Master, and Change Logs) via structured CSV uploads, computes pre-defined KPIs across five dashboards (Procurement, Financial, Vendor, Leadership, Utilization) and detects procurement anomalies in real-time.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85"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Web Frontend (React SPA)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64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Single-page application built with React 18, TypeScript, Vite. Routes: /dashboard, /p2p, /financial, /vendors, /leadership, /utilization, /profit-center, /upload, /ask, /actions, /history, /admin/*, /login, /signup. State management: TanStack Query (server state) + React Context (auth/theme).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85"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FastAPI Backend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64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Python 3.11 REST API. 8 routers: upload, kpi, p2p, events, actions, auth, chat, profit_center. Async lifespan with DB pre-warming (8 connections). CORS configured for localhost and Vercel production URL.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85"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KPI Engine (kpi_engine.py)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64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Computes 90+ KPIs across 5 dashboards (procurement, financial, vendor, leadership, utilization) via direct PostgreSQL. Stores results in kpi_results table. Triggered on data upload and on-demand via /api/kpi/recompute.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85"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ETL Pipeline (etl.py, fact_builder.py, parser.py, validator.py)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64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Validates and ingests CSV uploads. Maps 9 SAP file types to PostgreSQL tables. Builds pr_po_grn_invoice fact table. Triggers KPI recomputation post-load.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85"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Anomaly / Process Mining Engine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64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Classifies each PO into risk variants and populates process_mining_events table. Detects: MAVERICK_BUY, SPLIT_PO, RETRO_PO, PRICE_VARIANCE, DUPLICATE_INVOICE, THREE_WAY_MISMATCH, GRN_WITHOUT_PO, PAYMENT_BEFORE_GRN, VENDOR_BLOCK, LATE_DELIVERY,  OVERDUE_INVOICE, DELETED_AFTER_GRN.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85"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PostgreSQL Database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64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Primary data store. Schema managed via schema.sql (init_db on startup). Connection pool: thread-local (8 pre-warmed). Adapter: psycopg3 with sqlite3-compatible HybridRow wrapper.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385"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Auth &amp; Session Module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644"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Custom email/password auth. UUID user IDs. Role-based access. Audit logging on all auth events. Password reset by admin generates random 12-char password.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Application Architecture – Application Data Storage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001"/>
        <w:gridCol w:w="7028"/>
      </w:tblGrid>
      <w:tr>
        <w:tc>
          <w:tcPr>
            <w:tcW w:w="200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 xml:space="preserve"> Application Data Storage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702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Application Data Storage 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01"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PostgreSQL (Primary)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173504" cy="90414"/>
                  <wp:docPr id="8" name="Drawing 8" descr="1e3791ad5-8248-4b3c-89ef-4eb5a6011730.png"/>
                  <wp:cNvGraphicFramePr>
                    <a:graphicFrameLocks noChangeAspect="true"/>
                  </wp:cNvGraphicFramePr>
                  <a:graphic>
                    <a:graphicData uri="http://schemas.openxmlformats.org/drawingml/2006/picture">
                      <pic:pic xmlns:pic="http://schemas.openxmlformats.org/drawingml/2006/picture">
                        <pic:nvPicPr>
                          <pic:cNvPr id="0" name="Picture 8" descr="1e3791ad5-8248-4b3c-89ef-4eb5a6011730.png"/>
                          <pic:cNvPicPr>
                            <a:picLocks noChangeAspect="true"/>
                          </pic:cNvPicPr>
                        </pic:nvPicPr>
                        <pic:blipFill>
                          <a:blip r:embed="rId11"/>
                          <a:stretch>
                            <a:fillRect/>
                          </a:stretch>
                        </pic:blipFill>
                        <pic:spPr>
                          <a:xfrm>
                            <a:off x="0" y="0"/>
                            <a:ext cx="1173504" cy="90414"/>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70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All procurement data, KPI results, user accounts, audit log. Local or managed cloud PostgreSQL 15+. Connection URL via DATABASE_URL env var. Default: postgresql://postgres:1234@localhost:5432/intellisource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01" w:type="dxa"/>
            <w:shd w:val="clear" w:color="auto" w:fill="d9e2f3"/>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173504" cy="90414"/>
                  <wp:docPr id="9" name="Drawing 9" descr="1a133b9a7-16be-4c2c-96c5-2cf4a4e34205.png"/>
                  <wp:cNvGraphicFramePr>
                    <a:graphicFrameLocks noChangeAspect="true"/>
                  </wp:cNvGraphicFramePr>
                  <a:graphic>
                    <a:graphicData uri="http://schemas.openxmlformats.org/drawingml/2006/picture">
                      <pic:pic xmlns:pic="http://schemas.openxmlformats.org/drawingml/2006/picture">
                        <pic:nvPicPr>
                          <pic:cNvPr id="0" name="Picture 9" descr="1a133b9a7-16be-4c2c-96c5-2cf4a4e34205.png"/>
                          <pic:cNvPicPr>
                            <a:picLocks noChangeAspect="true"/>
                          </pic:cNvPicPr>
                        </pic:nvPicPr>
                        <pic:blipFill>
                          <a:blip r:embed="rId12"/>
                          <a:stretch>
                            <a:fillRect/>
                          </a:stretch>
                        </pic:blipFill>
                        <pic:spPr>
                          <a:xfrm>
                            <a:off x="0" y="0"/>
                            <a:ext cx="1173504" cy="90414"/>
                          </a:xfrm>
                          <a:prstGeom prst="rect">
                            <a:avLst/>
                          </a:prstGeom>
                        </pic:spPr>
                      </pic:pic>
                    </a:graphicData>
                  </a:graphic>
                </wp:inline>
              </w:drawing>
            </w:r>
          </w:p>
          <w:p>
            <w:pPr>
              <w:spacing w:after="120" w:before="120" w:line="259" w:lineRule="auto"/>
              <w:ind w:firstLine="0" w:start="0"/>
              <w:jc w:val="center"/>
            </w:pPr>
            <w:r>
              <w:rPr>
                <w:rFonts w:ascii="Calibri (MS)" w:hAnsi="Calibri (MS)" w:cs="Calibri (MS)" w:eastAsia="Calibri (MS)"/>
                <w:color w:val="000000"/>
                <w:sz w:val="22"/>
                <w:szCs w:val="22"/>
              </w:rPr>
              <w:t xml:space="preserve"> Local Filesystem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7028"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Seed CSV files (data/ directory) for initial data load. Not used in production upload flow.</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*Application Architecture – Technology Stack</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2485075" cy="6929124"/>
                  <wp:docPr id="10" name="Drawing 10" descr="d4f226a7a717c6b04077d47b2493b4e7.png"/>
                  <wp:cNvGraphicFramePr>
                    <a:graphicFrameLocks noChangeAspect="true"/>
                  </wp:cNvGraphicFramePr>
                  <a:graphic>
                    <a:graphicData uri="http://schemas.openxmlformats.org/drawingml/2006/picture">
                      <pic:pic xmlns:pic="http://schemas.openxmlformats.org/drawingml/2006/picture">
                        <pic:nvPicPr>
                          <pic:cNvPr id="0" name="Picture 10" descr="d4f226a7a717c6b04077d47b2493b4e7.png"/>
                          <pic:cNvPicPr>
                            <a:picLocks noChangeAspect="true"/>
                          </pic:cNvPicPr>
                        </pic:nvPicPr>
                        <pic:blipFill>
                          <a:blip r:embed="rId13"/>
                          <a:srcRect l="0" t="0" r="0" b="0"/>
                          <a:stretch>
                            <a:fillRect/>
                          </a:stretch>
                        </pic:blipFill>
                        <pic:spPr>
                          <a:xfrm flipH="false" flipV="false">
                            <a:off x="0" y="0"/>
                            <a:ext cx="2485075" cy="6929124"/>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*Integration Architecture – Solution Context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236020" cy="3166225"/>
                  <wp:docPr id="11" name="Drawing 11" descr="93028cd787e636b5cd68035a43e9961b.png"/>
                  <wp:cNvGraphicFramePr>
                    <a:graphicFrameLocks noChangeAspect="true"/>
                  </wp:cNvGraphicFramePr>
                  <a:graphic>
                    <a:graphicData uri="http://schemas.openxmlformats.org/drawingml/2006/picture">
                      <pic:pic xmlns:pic="http://schemas.openxmlformats.org/drawingml/2006/picture">
                        <pic:nvPicPr>
                          <pic:cNvPr id="0" name="Picture 11" descr="93028cd787e636b5cd68035a43e9961b.png"/>
                          <pic:cNvPicPr>
                            <a:picLocks noChangeAspect="true"/>
                          </pic:cNvPicPr>
                        </pic:nvPicPr>
                        <pic:blipFill>
                          <a:blip r:embed="rId14"/>
                          <a:srcRect l="0" t="0" r="0" b="0"/>
                          <a:stretch>
                            <a:fillRect/>
                          </a:stretch>
                        </pic:blipFill>
                        <pic:spPr>
                          <a:xfrm flipH="false" flipV="false">
                            <a:off x="0" y="0"/>
                            <a:ext cx="5236020" cy="3166225"/>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001"/>
        <w:gridCol w:w="2219"/>
        <w:gridCol w:w="2195"/>
        <w:gridCol w:w="2612"/>
      </w:tblGrid>
      <w:tr>
        <w:tc>
          <w:tcPr>
            <w:tcW w:w="9030" w:type="dxa"/>
            <w:gridSpan w:val="4"/>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Integration 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01" w:type="dxa"/>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Source/Provider Solution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219" w:type="dxa"/>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Target /Consumer Solution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195" w:type="dxa"/>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2612" w:type="dxa"/>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New/Update/Remove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01" w:type="dxa"/>
            <w:tcMar>
              <w:top w:w="75"/>
              <w:start w:w="75"/>
              <w:bottom w:w="75"/>
              <w:end w:w="75"/>
            </w:tcMar>
          </w:tcPr>
          <w:p>
            <w:r/>
            <w:r>
              <w:rPr>
                <w:b w:val="0"/>
                <w:sz w:val="18"/>
              </w:rPr>
              <w:t>IntelliSource Platform (FastAPI backend)</w:t>
            </w:r>
          </w:p>
        </w:tc>
        <w:tc>
          <w:tcPr>
            <w:tcW w:w="2219" w:type="dxa"/>
            <w:tcMar>
              <w:top w:w="75"/>
              <w:start w:w="75"/>
              <w:bottom w:w="75"/>
              <w:end w:w="75"/>
            </w:tcMar>
          </w:tcPr>
          <w:p>
            <w:r/>
            <w:r>
              <w:rPr>
                <w:b w:val="0"/>
                <w:sz w:val="18"/>
              </w:rPr>
              <w:t>Azure OpenAI — GPT-4o (KPMG tenant)</w:t>
            </w:r>
          </w:p>
        </w:tc>
        <w:tc>
          <w:tcPr>
            <w:tcW w:w="2195" w:type="dxa"/>
            <w:tcMar>
              <w:top w:w="75"/>
              <w:start w:w="75"/>
              <w:bottom w:w="75"/>
              <w:end w:w="75"/>
            </w:tcMar>
          </w:tcPr>
          <w:p>
            <w:r/>
            <w:r>
              <w:rPr>
                <w:b w:val="0"/>
                <w:sz w:val="18"/>
              </w:rPr>
              <w:t>NL question + tool schemas sent over HTTPS/JSON via Private Link; model returns tool calls / final answer. Only query-scoped result rows and the schema are shared — no bulk data. Pilot: OpenRouter GPT-4o (external) — to be replaced before production.</w:t>
            </w:r>
          </w:p>
        </w:tc>
        <w:tc>
          <w:tcPr>
            <w:tcW w:w="2612" w:type="dxa"/>
            <w:tcMar>
              <w:top w:w="75"/>
              <w:start w:w="75"/>
              <w:bottom w:w="75"/>
              <w:end w:w="75"/>
            </w:tcMar>
          </w:tcPr>
          <w:p>
            <w:r/>
            <w:r>
              <w:rPr>
                <w:b w:val="0"/>
                <w:sz w:val="18"/>
              </w:rPr>
              <w:t>New</w:t>
            </w:r>
          </w:p>
        </w:tc>
      </w:tr>
      <w:tr>
        <w:tc>
          <w:tcPr>
            <w:tcW w:w="2001" w:type="dxa"/>
            <w:tcMar>
              <w:top w:w="75"/>
              <w:start w:w="75"/>
              <w:bottom w:w="75"/>
              <w:end w:w="75"/>
            </w:tcMar>
          </w:tcPr>
          <w:p>
            <w:r/>
            <w:r>
              <w:rPr>
                <w:b w:val="0"/>
                <w:sz w:val="18"/>
              </w:rPr>
              <w:t>Azure Active Directory</w:t>
            </w:r>
          </w:p>
        </w:tc>
        <w:tc>
          <w:tcPr>
            <w:tcW w:w="2219" w:type="dxa"/>
            <w:tcMar>
              <w:top w:w="75"/>
              <w:start w:w="75"/>
              <w:bottom w:w="75"/>
              <w:end w:w="75"/>
            </w:tcMar>
          </w:tcPr>
          <w:p>
            <w:r/>
            <w:r>
              <w:rPr>
                <w:b w:val="0"/>
                <w:sz w:val="18"/>
              </w:rPr>
              <w:t>IntelliSource Platform</w:t>
            </w:r>
          </w:p>
        </w:tc>
        <w:tc>
          <w:tcPr>
            <w:tcW w:w="2195" w:type="dxa"/>
            <w:tcMar>
              <w:top w:w="75"/>
              <w:start w:w="75"/>
              <w:bottom w:w="75"/>
              <w:end w:w="75"/>
            </w:tcMar>
          </w:tcPr>
          <w:p>
            <w:r/>
            <w:r>
              <w:rPr>
                <w:b w:val="0"/>
                <w:sz w:val="18"/>
              </w:rPr>
              <w:t>SSO / OAuth 2.0 identity and role tokens (Target Architecture).</w:t>
            </w:r>
          </w:p>
        </w:tc>
        <w:tc>
          <w:tcPr>
            <w:tcW w:w="2612" w:type="dxa"/>
            <w:tcMar>
              <w:top w:w="75"/>
              <w:start w:w="75"/>
              <w:bottom w:w="75"/>
              <w:end w:w="75"/>
            </w:tcMar>
          </w:tcPr>
          <w:p>
            <w:r/>
            <w:r>
              <w:rPr>
                <w:b w:val="0"/>
                <w:sz w:val="18"/>
              </w:rPr>
              <w:t>New</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1f3763"/>
          <w:sz w:val="24"/>
          <w:szCs w:val="24"/>
        </w:rPr>
        <w:t>Technology Architecture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*Technology Architecture – Hosting / Deployment Architecture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27353" cy="4490556"/>
                  <wp:docPr id="12" name="Drawing 12" descr="77658dd16cac0471a3275ce0b90416ec.png"/>
                  <wp:cNvGraphicFramePr>
                    <a:graphicFrameLocks noChangeAspect="true"/>
                  </wp:cNvGraphicFramePr>
                  <a:graphic>
                    <a:graphicData uri="http://schemas.openxmlformats.org/drawingml/2006/picture">
                      <pic:pic xmlns:pic="http://schemas.openxmlformats.org/drawingml/2006/picture">
                        <pic:nvPicPr>
                          <pic:cNvPr id="0" name="Picture 12" descr="77658dd16cac0471a3275ce0b90416ec.png"/>
                          <pic:cNvPicPr>
                            <a:picLocks noChangeAspect="true"/>
                          </pic:cNvPicPr>
                        </pic:nvPicPr>
                        <pic:blipFill>
                          <a:blip r:embed="rId15"/>
                          <a:srcRect l="0" t="0" r="0" b="0"/>
                          <a:stretch>
                            <a:fillRect/>
                          </a:stretch>
                        </pic:blipFill>
                        <pic:spPr>
                          <a:xfrm flipH="false" flipV="false">
                            <a:off x="0" y="0"/>
                            <a:ext cx="5627353" cy="4490556"/>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*Technology Architecture – Deployment/Environment 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048"/>
        <w:gridCol w:w="6981"/>
      </w:tblGrid>
      <w:tr>
        <w:tc>
          <w:tcPr>
            <w:tcW w:w="9030" w:type="dxa"/>
            <w:gridSpan w:val="2"/>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Development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Developer local machines. Vite dev server (:8080) + FastAPI (:8000) + local PostgreSQL.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Availability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Weekly 8 AM – 8PM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Availability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 xml:space="preserve">It should be available only for working hours.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2"/>
            <w:shd w:val="clear" w:color="auto" w:fill="d9e2f3"/>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QA / Staging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This is to use for CIT/SIT/Performance/Load and stress testing purpose.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Availability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24X7X365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Availability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It must be available be available 24X7X365 with 15 days hours (per annum) for  support and maintenance. To be set up on cloud VM with PostgreSQL managed service.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gridSpan w:val="2"/>
            <w:shd w:val="clear" w:color="auto" w:fill="d9e2f3"/>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Production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End User or consumer environment.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Availability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24X7X365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04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Availability Description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98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It must be available be available 24X7X365 with 72 hours (about 3 days) for support and maintenance.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*Ops Support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38800" cy="2526013"/>
                  <wp:docPr id="13" name="Drawing 13" descr="58ffa888422afc1f2238d6045653dd2f.png"/>
                  <wp:cNvGraphicFramePr>
                    <a:graphicFrameLocks noChangeAspect="true"/>
                  </wp:cNvGraphicFramePr>
                  <a:graphic>
                    <a:graphicData uri="http://schemas.openxmlformats.org/drawingml/2006/picture">
                      <pic:pic xmlns:pic="http://schemas.openxmlformats.org/drawingml/2006/picture">
                        <pic:nvPicPr>
                          <pic:cNvPr id="0" name="Picture 13" descr="58ffa888422afc1f2238d6045653dd2f.png"/>
                          <pic:cNvPicPr>
                            <a:picLocks noChangeAspect="true"/>
                          </pic:cNvPicPr>
                        </pic:nvPicPr>
                        <pic:blipFill>
                          <a:blip r:embed="rId16"/>
                          <a:srcRect l="0" t="0" r="0" b="0"/>
                          <a:stretch>
                            <a:fillRect/>
                          </a:stretch>
                        </pic:blipFill>
                        <pic:spPr>
                          <a:xfrm flipH="false" flipV="false">
                            <a:off x="0" y="0"/>
                            <a:ext cx="5638800" cy="2526013"/>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Calibri (MS)" w:hAnsi="Calibri (MS)" w:cs="Calibri (MS)" w:eastAsia="Calibri (MS)"/>
          <w:color w:val="000000"/>
          <w:sz w:val="22"/>
          <w:szCs w:val="22"/>
        </w:rPr>
        <w:t xml:space="preserve">  </w:t>
      </w: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i/>
          <w:iCs/>
          <w:color w:val="2f5496"/>
          <w:sz w:val="22"/>
          <w:szCs w:val="22"/>
        </w:rPr>
        <w:t>Security Architecture</w:t>
      </w: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22"/>
          <w:szCs w:val="22"/>
        </w:rPr>
        <w:t>*Security – Authentication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36375" cy="5868312"/>
                  <wp:docPr id="14" name="Drawing 14" descr="04ff657be82e09034452b198aadfed6d.png"/>
                  <wp:cNvGraphicFramePr>
                    <a:graphicFrameLocks noChangeAspect="true"/>
                  </wp:cNvGraphicFramePr>
                  <a:graphic>
                    <a:graphicData uri="http://schemas.openxmlformats.org/drawingml/2006/picture">
                      <pic:pic xmlns:pic="http://schemas.openxmlformats.org/drawingml/2006/picture">
                        <pic:nvPicPr>
                          <pic:cNvPr id="0" name="Picture 14" descr="04ff657be82e09034452b198aadfed6d.png"/>
                          <pic:cNvPicPr>
                            <a:picLocks noChangeAspect="true"/>
                          </pic:cNvPicPr>
                        </pic:nvPicPr>
                        <pic:blipFill>
                          <a:blip r:embed="rId17"/>
                          <a:srcRect l="0" t="0" r="0" b="0"/>
                          <a:stretch>
                            <a:fillRect/>
                          </a:stretch>
                        </pic:blipFill>
                        <pic:spPr>
                          <a:xfrm flipH="false" flipV="false">
                            <a:off x="0" y="0"/>
                            <a:ext cx="5636375" cy="5868312"/>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22"/>
          <w:szCs w:val="22"/>
        </w:rPr>
        <w:t>*Security – Authorization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36375" cy="3623039"/>
                  <wp:docPr id="15" name="Drawing 15" descr="071c857989c57b1f6bca53bd69c889b6.png"/>
                  <wp:cNvGraphicFramePr>
                    <a:graphicFrameLocks noChangeAspect="true"/>
                  </wp:cNvGraphicFramePr>
                  <a:graphic>
                    <a:graphicData uri="http://schemas.openxmlformats.org/drawingml/2006/picture">
                      <pic:pic xmlns:pic="http://schemas.openxmlformats.org/drawingml/2006/picture">
                        <pic:nvPicPr>
                          <pic:cNvPr id="0" name="Picture 15" descr="071c857989c57b1f6bca53bd69c889b6.png"/>
                          <pic:cNvPicPr>
                            <a:picLocks noChangeAspect="true"/>
                          </pic:cNvPicPr>
                        </pic:nvPicPr>
                        <pic:blipFill>
                          <a:blip r:embed="rId18"/>
                          <a:srcRect l="0" t="0" r="0" b="0"/>
                          <a:stretch>
                            <a:fillRect/>
                          </a:stretch>
                        </pic:blipFill>
                        <pic:spPr>
                          <a:xfrm flipH="false" flipV="false">
                            <a:off x="0" y="0"/>
                            <a:ext cx="5636375" cy="3623039"/>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1f3763"/>
          <w:sz w:val="24"/>
          <w:szCs w:val="24"/>
        </w:rPr>
        <w:t>Application Architecture – Bill of Materials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546"/>
        <w:gridCol w:w="1670"/>
        <w:gridCol w:w="1670"/>
        <w:gridCol w:w="1546"/>
        <w:gridCol w:w="1298"/>
        <w:gridCol w:w="1298"/>
      </w:tblGrid>
      <w:tr>
        <w:tc>
          <w:tcPr>
            <w:tcW w:w="1546"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Item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OEM / Vendor/Publisher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Name</w:t>
            </w: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Bold" w:hAnsi="Calibri (MS) Bold" w:cs="Calibri (MS) Bold" w:eastAsia="Calibri (MS) Bold"/>
                <w:b/>
                <w:bCs/>
                <w:color w:val="000000"/>
                <w:sz w:val="22"/>
                <w:szCs w:val="22"/>
              </w:rPr>
              <w:t xml:space="preserve"> (Non-Production)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46"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Environment Name</w:t>
            </w: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Bold" w:hAnsi="Calibri (MS) Bold" w:cs="Calibri (MS) Bold" w:eastAsia="Calibri (MS) Bold"/>
                <w:b/>
                <w:bCs/>
                <w:color w:val="000000"/>
                <w:sz w:val="22"/>
                <w:szCs w:val="22"/>
              </w:rPr>
              <w:t>(Production)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Software End of Life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Support End Date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4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React + TypeScript + Vite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Meta / Microsoft / Evan You</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5.x</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46"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5.x</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MIT — Open 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React + TypeScript + Vite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4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Tailwind CSS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Tailwind Labs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v3</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46"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v3</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MIT — Open 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Tailwind CSS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4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Recharts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Recharts Team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2.x</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46"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2.x</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MIT — Open 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Recharts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4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FastAPI</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Sebastián Ramírez</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Latest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46"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Latest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MIT — Open 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FastAPI</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4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Python 3.11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Python Software Foundation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3.11+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46"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3.11+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PSF License — Open 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Python 3.11</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4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psycopg3</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Daniele Varrazzo</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3.x</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46"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3.x</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LGPL — Open 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psycopg3</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4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PostgreSQL 15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PostgreSQL Global Dev Group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15+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46"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15+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PostgreSQL License — Open 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PostgreSQL 15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54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Uvicorn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Encode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70"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Latest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546"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Latest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BSD — Open Source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9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Uvicorn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type="dxa" w:w="1546"/>
          </w:tcPr>
          <w:p>
            <w:r/>
            <w:r>
              <w:rPr>
                <w:b w:val="0"/>
                <w:sz w:val="18"/>
              </w:rPr>
              <w:t>Azure OpenAI (GPT-4o)</w:t>
            </w:r>
          </w:p>
        </w:tc>
        <w:tc>
          <w:tcPr>
            <w:tcW w:type="dxa" w:w="1670"/>
          </w:tcPr>
          <w:p>
            <w:r/>
            <w:r>
              <w:rPr>
                <w:b w:val="0"/>
                <w:sz w:val="18"/>
              </w:rPr>
              <w:t>Microsoft Azure</w:t>
            </w:r>
          </w:p>
        </w:tc>
        <w:tc>
          <w:tcPr>
            <w:tcW w:type="dxa" w:w="1670"/>
          </w:tcPr>
          <w:p>
            <w:r/>
            <w:r>
              <w:rPr>
                <w:b w:val="0"/>
                <w:sz w:val="18"/>
              </w:rPr>
              <w:t>GPT-4o (deployment)</w:t>
            </w:r>
          </w:p>
        </w:tc>
        <w:tc>
          <w:tcPr>
            <w:tcW w:type="dxa" w:w="1546"/>
          </w:tcPr>
          <w:p>
            <w:r/>
            <w:r>
              <w:rPr>
                <w:b w:val="0"/>
                <w:sz w:val="18"/>
              </w:rPr>
              <w:t>GPT-4o (deployment)</w:t>
            </w:r>
          </w:p>
        </w:tc>
        <w:tc>
          <w:tcPr>
            <w:tcW w:type="dxa" w:w="1298"/>
          </w:tcPr>
          <w:p>
            <w:r/>
            <w:r>
              <w:rPr>
                <w:b w:val="0"/>
                <w:sz w:val="18"/>
              </w:rPr>
              <w:t>Managed cloud service</w:t>
            </w:r>
          </w:p>
        </w:tc>
        <w:tc>
          <w:tcPr>
            <w:tcW w:type="dxa" w:w="1298"/>
          </w:tcPr>
          <w:p>
            <w:r/>
            <w:r>
              <w:rPr>
                <w:b w:val="0"/>
                <w:sz w:val="18"/>
              </w:rPr>
              <w:t>Azure OpenAI</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1f3763"/>
          <w:sz w:val="24"/>
          <w:szCs w:val="24"/>
        </w:rPr>
        <w:t>Licensing</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29"/>
        <w:gridCol w:w="1218"/>
        <w:gridCol w:w="1334"/>
        <w:gridCol w:w="1273"/>
        <w:gridCol w:w="1321"/>
        <w:gridCol w:w="1652"/>
      </w:tblGrid>
      <w:tr>
        <w:tc>
          <w:tcPr>
            <w:tcW w:w="2229"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License Requirements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1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Number Of Licenses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34"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License Model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73"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License Used</w:t>
            </w: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Bold" w:hAnsi="Calibri (MS) Bold" w:cs="Calibri (MS) Bold" w:eastAsia="Calibri (MS) Bold"/>
                <w:b/>
                <w:bCs/>
                <w:color w:val="000000"/>
                <w:sz w:val="22"/>
                <w:szCs w:val="22"/>
              </w:rPr>
              <w:t>(KPMG Entity)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21"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License Support Start Date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52"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License Support End Date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React + TypeScript + Vite – Used as the frontend application framework and build tooling for developing responsive web user interfaces. License Type: Open Source (MIT). No commercial features, freeware, shareware, or trial components are used.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1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34"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Open Source (MIT)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73"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 BSR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2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52"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Tailwind CSS – Used for application styling, responsive layouts, and UI customization. License Type: Open Source (MIT). No commercial features, freeware, shareware, or trial components are used.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1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34"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Open Source (MIT)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73"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 BSR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2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52"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Recharts – Used for charts, dashboards, and data visualization within the application. License Type: Open Source (MIT). No commercial features, freeware, shareware, or trial components are used.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1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34"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Open Source (MIT)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73"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 BSR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2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52"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FastAPI – Used as the backend framework for developing REST APIs and business services. License Type: Open Source (MIT). No commercial features, freeware, shareware, or trial components are used.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1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34"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Open Source (MIT)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73"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 BSR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2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52"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Python 3.11 – Used as the backend programming language runtime supporting application services and integrations. License Type: Open Source (PSF License). No commercial features, freeware, shareware, or trial components are used.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1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34"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Open Source (PSF License)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73"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 BSR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2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52"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psycopg3 – Used as the PostgreSQL database adapter enabling connectivity between the FastAPI application and PostgreSQL database. License Type: Open Source (LGPL). No commercial features, freeware, shareware, or trial components are used.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1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34"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Open Source (LGPL)</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73"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 BSR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2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52"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PostgreSQL 15 – Used as the relational database management system for secure storage, retrieval, and management of application data. License Type: Open Source (PostgreSQL License). No commercial features, freeware, shareware, or trial components are used.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1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34"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Open Source (PostgreSQL License)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73"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 BSR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2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52"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Uvicorn – Used as the ASGI web server to host and run FastAPI backend services. License Type: Open Source (BSD). No commercial features, freeware, shareware, or trial components are used.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18"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34"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Open Source (BSD)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273"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 BSR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321"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1652"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N/A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type="dxa" w:w="2229"/>
          </w:tcPr>
          <w:p>
            <w:r/>
            <w:r>
              <w:rPr>
                <w:b w:val="0"/>
                <w:sz w:val="18"/>
              </w:rPr>
              <w:t>Azure OpenAI Service (GPT-4o) — hosted LLM inference for the Ask IntelliSource assistant. Consumption-based (per 1K tokens) under Azure Enterprise Agreement. Pilot used OpenRouter (pay-per-use, external) — to be retired before production.</w:t>
            </w:r>
          </w:p>
        </w:tc>
        <w:tc>
          <w:tcPr>
            <w:tcW w:type="dxa" w:w="1218"/>
          </w:tcPr>
          <w:p>
            <w:r/>
            <w:r>
              <w:rPr>
                <w:b w:val="0"/>
                <w:sz w:val="18"/>
              </w:rPr>
              <w:t>Consumption-based</w:t>
            </w:r>
          </w:p>
        </w:tc>
        <w:tc>
          <w:tcPr>
            <w:tcW w:type="dxa" w:w="1334"/>
          </w:tcPr>
          <w:p>
            <w:r/>
            <w:r>
              <w:rPr>
                <w:b w:val="0"/>
                <w:sz w:val="18"/>
              </w:rPr>
              <w:t>Per 1K tokens (Azure EA)</w:t>
            </w:r>
          </w:p>
        </w:tc>
        <w:tc>
          <w:tcPr>
            <w:tcW w:type="dxa" w:w="1273"/>
          </w:tcPr>
          <w:p>
            <w:r/>
            <w:r>
              <w:rPr>
                <w:b w:val="0"/>
                <w:sz w:val="18"/>
              </w:rPr>
              <w:t>KPMG</w:t>
            </w:r>
          </w:p>
        </w:tc>
        <w:tc>
          <w:tcPr>
            <w:tcW w:type="dxa" w:w="1321"/>
          </w:tcPr>
          <w:p>
            <w:r/>
            <w:r>
              <w:rPr>
                <w:b w:val="0"/>
                <w:sz w:val="18"/>
              </w:rPr>
              <w:t>N/A</w:t>
            </w:r>
          </w:p>
        </w:tc>
        <w:tc>
          <w:tcPr>
            <w:tcW w:type="dxa" w:w="1652"/>
          </w:tcPr>
          <w:p>
            <w:r/>
            <w:r>
              <w:rPr>
                <w:b w:val="0"/>
                <w:sz w:val="18"/>
              </w:rPr>
              <w:t>N/A</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32"/>
          <w:szCs w:val="32"/>
        </w:rPr>
        <w:t>Technical Dependencies, Risks, Issues, Constraints, Assumptions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Technical Dependencies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Platform requires manual CSV exports from SAP ECC/S4HANA. Quality and completeness of data depends on SAP configuration at each KPMG entity.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All analytics depend on PostgreSQL availability. Connection URL must be configured via DATABASE_URL env var.</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Backend requires Python 3.11+ for psycopg3 async features.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Risks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SAP CSV schema changes break ETL pipeline.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Thread-local PostgreSQL connection pooling may cause connection leaks under high concurrency.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Constraints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Borders>
              <w:end w:color="000000" w:sz="4" w:val="single"/>
            </w:tcBorders>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PostgreSQL must support psycopg3 (PostgreSQL 12+; tested on 15).</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Borders>
              <w:end w:color="000000" w:sz="4" w:val="single"/>
            </w:tcBorders>
            <w:shd w:val="clear" w:color="auto" w:fill="d9e2f3"/>
            <w:tcMar>
              <w:top w:w="75"/>
              <w:start w:w="75"/>
              <w:bottom w:w="75"/>
              <w:end w:w="75"/>
            </w:tcMar>
          </w:tcPr>
          <w:p>
            <w:pPr>
              <w:spacing w:after="120" w:before="120" w:line="259" w:lineRule="auto"/>
              <w:ind w:firstLine="0" w:start="0"/>
              <w:jc w:val="start"/>
            </w:pPr>
            <w:r>
              <w:rPr>
                <w:rFonts w:ascii="Calibri (MS) Bold" w:hAnsi="Calibri (MS) Bold" w:cs="Calibri (MS) Bold" w:eastAsia="Calibri (MS) Bold"/>
                <w:b/>
                <w:bCs/>
                <w:color w:val="000000"/>
                <w:sz w:val="22"/>
                <w:szCs w:val="22"/>
              </w:rPr>
              <w:t>Assumptions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Borders>
              <w:end w:color="000000" w:sz="4" w:val="single"/>
            </w:tcBorders>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SAP data exports are provided in standard KPMG SAP table format as documented in the Upload module.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Borders>
              <w:end w:color="000000" w:sz="4" w:val="single"/>
            </w:tcBorders>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IT will provision a managed PostgreSQL instance for production (Azure Database for PostgreSQL or equivalent).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Borders>
              <w:end w:color="000000" w:sz="4" w:val="single"/>
            </w:tcBorders>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All users access IntelliSource via a modern web browser (Chrome 110+, Edge 110+, Firefox 110+).</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9030" w:type="dxa"/>
            <w:tcBorders>
              <w:end w:color="000000" w:sz="4" w:val="single"/>
            </w:tcBorders>
            <w:shd w:val="clear" w:color="auto" w:fill="ffffff"/>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INR (Indian Rupee) is the primary currency for all financial figures in the current deployment scope.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type="dxa" w:w="9030"/>
          </w:tcPr>
          <w:p>
            <w:r/>
            <w:r>
              <w:rPr>
                <w:b w:val="0"/>
                <w:sz w:val="18"/>
              </w:rPr>
              <w:t>AI — Hallucination / incorrect SQL: the LLM may generate a wrong figure or query. Mitigated by mandatory tool-grounding, the read-only guard, the 'never invent numbers' rule, and temperature 0.1; robustness testing required before production.</w:t>
            </w:r>
          </w:p>
        </w:tc>
      </w:tr>
      <w:tr>
        <w:tc>
          <w:tcPr>
            <w:tcW w:type="dxa" w:w="9030"/>
          </w:tcPr>
          <w:p>
            <w:r/>
            <w:r>
              <w:rPr>
                <w:b w:val="0"/>
                <w:sz w:val="18"/>
              </w:rPr>
              <w:t>AI — Data egress: the pilot sends query results to the external OpenRouter / OpenAI API (US-hosted). Procurement data is KPMG Confidential — must migrate to Azure OpenAI (KPMG tenant, Private Link) before production.</w:t>
            </w:r>
          </w:p>
        </w:tc>
      </w:tr>
      <w:tr>
        <w:tc>
          <w:tcPr>
            <w:tcW w:type="dxa" w:w="9030"/>
          </w:tcPr>
          <w:p>
            <w:r/>
            <w:r>
              <w:rPr>
                <w:b w:val="0"/>
                <w:sz w:val="18"/>
              </w:rPr>
              <w:t>AI — Prompt injection: malicious strings embedded in uploaded data could attempt to manipulate the model. Mitigated by parameterised structured tools and a read-only database role — no tool can perform a write.</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32"/>
          <w:szCs w:val="32"/>
        </w:rPr>
        <w:t>* Team Dependencies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366"/>
        <w:gridCol w:w="3828"/>
        <w:gridCol w:w="3835"/>
      </w:tblGrid>
      <w:tr>
        <w:tc>
          <w:tcPr>
            <w:tcW w:w="1366"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Team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828"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Tick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835"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Services Required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36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IT Infrastructure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828" w:type="dxa"/>
            <w:tcMar>
              <w:top w:w="75"/>
              <w:start w:w="75"/>
              <w:bottom w:w="75"/>
              <w:end w:w="75"/>
            </w:tcMar>
          </w:tcPr>
          <w:p>
            <w:pPr>
              <w:spacing w:after="120" w:before="120" w:line="259" w:lineRule="auto"/>
              <w:ind w:firstLine="0" w:start="0"/>
              <w:jc w:val="center"/>
            </w:pPr>
            <w:r>
              <w:rPr>
                <w:rFonts w:ascii="Arimo" w:hAnsi="Arimo" w:cs="Arimo" w:eastAsia="Arimo"/>
                <w:color w:val="000000"/>
                <w:sz w:val="22"/>
                <w:szCs w:val="22"/>
              </w:rPr>
              <w:t>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835"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Provision production PostgreSQL instance; server/VM provisioning for backend.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1366"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KPMG IT Security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828" w:type="dxa"/>
            <w:tcMar>
              <w:top w:w="75"/>
              <w:start w:w="75"/>
              <w:bottom w:w="75"/>
              <w:end w:w="75"/>
            </w:tcMar>
          </w:tcPr>
          <w:p>
            <w:pPr>
              <w:spacing w:after="120" w:before="120" w:line="259" w:lineRule="auto"/>
              <w:ind w:firstLine="0" w:start="0"/>
              <w:jc w:val="center"/>
            </w:pPr>
            <w:r>
              <w:rPr>
                <w:rFonts w:ascii="Arimo" w:hAnsi="Arimo" w:cs="Arimo" w:eastAsia="Arimo"/>
                <w:color w:val="000000"/>
                <w:sz w:val="22"/>
                <w:szCs w:val="22"/>
              </w:rPr>
              <w:t>P</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835"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Security review of auth implementation; penetration testing before go-live; secrets management (Azure Key Vault).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type="dxa" w:w="1366"/>
          </w:tcPr>
          <w:p>
            <w:r/>
            <w:r>
              <w:rPr>
                <w:b w:val="0"/>
                <w:sz w:val="18"/>
              </w:rPr>
              <w:t>KPMG Responsible AI / AI Governance</w:t>
            </w:r>
          </w:p>
        </w:tc>
        <w:tc>
          <w:tcPr>
            <w:tcW w:type="dxa" w:w="3828"/>
          </w:tcPr>
          <w:p>
            <w:r/>
            <w:r>
              <w:rPr>
                <w:b w:val="0"/>
                <w:sz w:val="18"/>
              </w:rPr>
              <w:t>P</w:t>
            </w:r>
          </w:p>
        </w:tc>
        <w:tc>
          <w:tcPr>
            <w:tcW w:type="dxa" w:w="3835"/>
          </w:tcPr>
          <w:p>
            <w:r/>
            <w:r>
              <w:rPr>
                <w:b w:val="0"/>
                <w:sz w:val="18"/>
              </w:rPr>
              <w:t>Review of Ask IntelliSource against KPMG AI policy; AI System Impact Assessment (AISIA) sign-off and Azure OpenAI data-handling review before production go-live.</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32"/>
          <w:szCs w:val="32"/>
        </w:rPr>
        <w:t>Document Distribution and Reviewer Details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Bold" w:hAnsi="Calibri (MS) Bold" w:cs="Calibri (MS) Bold" w:eastAsia="Calibri (MS) Bold"/>
          <w:b/>
          <w:bCs/>
          <w:color w:val="000000"/>
          <w:sz w:val="22"/>
          <w:szCs w:val="22"/>
        </w:rPr>
        <w:t>Note: Please don’t edit/delete below reviewer details table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10"/>
        <w:gridCol w:w="3010"/>
        <w:gridCol w:w="3010"/>
      </w:tblGrid>
      <w:tr>
        <w:tc>
          <w:tcPr>
            <w:tcW w:w="3010" w:type="dxa"/>
            <w:tcBorders>
              <w:top w:color="000000" w:sz="8" w:val="single"/>
              <w:start w:color="000000" w:sz="8" w:val="single"/>
              <w:bottom w:color="000000" w:sz="8" w:val="single"/>
              <w:end w:color="000000" w:sz="8" w:val="single"/>
            </w:tcBorders>
            <w:shd w:val="clear" w:color="auto" w:fill="5b9bd5"/>
            <w:tcMar>
              <w:top w:w="75"/>
              <w:start w:w="75"/>
              <w:bottom w:w="75"/>
              <w:end w:w="75"/>
            </w:tcMar>
          </w:tcPr>
          <w:p>
            <w:pPr>
              <w:spacing w:after="120" w:before="120" w:line="259" w:lineRule="auto"/>
              <w:ind w:firstLine="0" w:start="0"/>
              <w:jc w:val="center"/>
            </w:pPr>
            <w:r>
              <w:rPr>
                <w:rFonts w:ascii="Times New Roman Bold" w:hAnsi="Times New Roman Bold" w:cs="Times New Roman Bold" w:eastAsia="Times New Roman Bold"/>
                <w:b/>
                <w:bCs/>
                <w:color w:val="ffffff"/>
                <w:sz w:val="24"/>
                <w:szCs w:val="24"/>
              </w:rPr>
              <w:t>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010" w:type="dxa"/>
            <w:tcBorders>
              <w:top w:color="000000" w:sz="8" w:val="single"/>
              <w:start w:color="000000" w:sz="8" w:val="single"/>
              <w:bottom w:color="000000" w:sz="8" w:val="single"/>
              <w:end w:color="000000" w:sz="8" w:val="single"/>
            </w:tcBorders>
            <w:shd w:val="clear" w:color="auto" w:fill="5b9bd5"/>
            <w:tcMar>
              <w:top w:w="75"/>
              <w:start w:w="75"/>
              <w:bottom w:w="75"/>
              <w:end w:w="75"/>
            </w:tcMar>
          </w:tcPr>
          <w:p>
            <w:pPr>
              <w:spacing w:after="120" w:before="120" w:line="259" w:lineRule="auto"/>
              <w:ind w:firstLine="0" w:start="0"/>
              <w:jc w:val="center"/>
            </w:pPr>
            <w:r>
              <w:rPr>
                <w:rFonts w:ascii="Times New Roman Bold" w:hAnsi="Times New Roman Bold" w:cs="Times New Roman Bold" w:eastAsia="Times New Roman Bold"/>
                <w:b/>
                <w:bCs/>
                <w:color w:val="ffffff"/>
                <w:sz w:val="24"/>
                <w:szCs w:val="24"/>
              </w:rPr>
              <w:t>Signature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010" w:type="dxa"/>
            <w:tcBorders>
              <w:top w:color="000000" w:sz="8" w:val="single"/>
              <w:start w:color="000000" w:sz="8" w:val="single"/>
              <w:bottom w:color="000000" w:sz="8" w:val="single"/>
              <w:end w:color="000000" w:sz="8" w:val="single"/>
            </w:tcBorders>
            <w:shd w:val="clear" w:color="auto" w:fill="5b9bd5"/>
            <w:tcMar>
              <w:top w:w="75"/>
              <w:start w:w="75"/>
              <w:bottom w:w="75"/>
              <w:end w:w="75"/>
            </w:tcMar>
          </w:tcPr>
          <w:p>
            <w:pPr>
              <w:spacing w:after="120" w:before="120" w:line="259" w:lineRule="auto"/>
              <w:ind w:firstLine="0" w:start="0"/>
              <w:jc w:val="center"/>
            </w:pPr>
            <w:r>
              <w:rPr>
                <w:rFonts w:ascii="Times New Roman Bold" w:hAnsi="Times New Roman Bold" w:cs="Times New Roman Bold" w:eastAsia="Times New Roman Bold"/>
                <w:b/>
                <w:bCs/>
                <w:color w:val="ffffff"/>
                <w:sz w:val="24"/>
                <w:szCs w:val="24"/>
              </w:rPr>
              <w:t>Date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Dosis" w:hAnsi="Dosis" w:cs="Dosis" w:eastAsia="Dosis"/>
          <w:color w:val="2f5496"/>
          <w:sz w:val="32"/>
          <w:szCs w:val="32"/>
        </w:rPr>
        <w:t>References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20"/>
        <w:gridCol w:w="6809"/>
      </w:tblGrid>
      <w:tr>
        <w:tc>
          <w:tcPr>
            <w:tcW w:w="2220" w:type="dxa"/>
            <w:shd w:val="clear" w:color="auto" w:fill="d9e2f3"/>
            <w:tcMar>
              <w:top w:w="75"/>
              <w:start w:w="75"/>
              <w:bottom w:w="75"/>
              <w:end w:w="75"/>
            </w:tcMar>
          </w:tcPr>
          <w:p>
            <w:pPr>
              <w:spacing w:after="120" w:before="120" w:line="259" w:lineRule="auto"/>
              <w:ind w:firstLine="0" w:start="0"/>
              <w:jc w:val="center"/>
            </w:pPr>
            <w:r>
              <w:rPr>
                <w:rFonts w:ascii="Calibri (MS) Bold" w:hAnsi="Calibri (MS) Bold" w:cs="Calibri (MS) Bold" w:eastAsia="Calibri (MS) Bold"/>
                <w:b/>
                <w:bCs/>
                <w:color w:val="000000"/>
                <w:sz w:val="22"/>
                <w:szCs w:val="22"/>
              </w:rPr>
              <w:t>Team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809" w:type="dxa"/>
            <w:shd w:val="clear" w:color="auto" w:fill="d9e2f3"/>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0"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TCO</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80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TCO Link</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0"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Business Case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80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Business Case Link</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2220" w:type="dxa"/>
            <w:shd w:val="clear" w:color="auto" w:fill="d9e2f3"/>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BRD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6809" w:type="dxa"/>
            <w:tcMar>
              <w:top w:w="75"/>
              <w:start w:w="75"/>
              <w:bottom w:w="75"/>
              <w:end w:w="75"/>
            </w:tcMar>
          </w:tcPr>
          <w:p>
            <w:pPr>
              <w:spacing w:after="120" w:before="120" w:line="259" w:lineRule="auto"/>
              <w:ind w:firstLine="0" w:start="0"/>
              <w:jc w:val="center"/>
            </w:pPr>
            <w:r>
              <w:rPr>
                <w:rFonts w:ascii="Calibri (MS)" w:hAnsi="Calibri (MS)" w:cs="Calibri (MS)" w:eastAsia="Calibri (MS)"/>
                <w:color w:val="000000"/>
                <w:sz w:val="22"/>
                <w:szCs w:val="22"/>
              </w:rPr>
              <w:t>BRD Link</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w:hAnsi="Times New Roman" w:cs="Times New Roman" w:eastAsia="Times New Roman"/>
          <w:color w:val="2f5496"/>
          <w:sz w:val="32"/>
          <w:szCs w:val="32"/>
        </w:rPr>
        <w:t>Glossary</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RAG</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Red/Amber/Green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AD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Active Directory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IAM</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Identity and Access Management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MFA</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Multi-Factor Assessment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SSO</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59" w:lineRule="auto"/>
              <w:ind w:firstLine="0" w:start="0"/>
              <w:jc w:val="start"/>
            </w:pPr>
            <w:r>
              <w:rPr>
                <w:rFonts w:ascii="Times New Roman" w:hAnsi="Times New Roman" w:cs="Times New Roman" w:eastAsia="Times New Roman"/>
                <w:color w:val="000000"/>
                <w:sz w:val="22"/>
                <w:szCs w:val="22"/>
              </w:rPr>
              <w:t>Single Sign-On</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10"/>
        <w:gridCol w:w="3010"/>
        <w:gridCol w:w="3010"/>
      </w:tblGrid>
      <w:tr>
        <w:tc>
          <w:tcPr>
            <w:tcW w:w="301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3010" w:type="dxa"/>
            <w:tcMar>
              <w:top w:w="75"/>
              <w:start w:w="75"/>
              <w:bottom w:w="75"/>
              <w:end w:w="75"/>
            </w:tcMar>
          </w:tcPr>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Bold Italics">
    <w:panose1 w:val="020B0704020202090204"/>
    <w:charset w:characterSet="1"/>
    <w:embedBoldItalic r:id="rId2"/>
  </w:font>
  <w:font w:name="Arimo">
    <w:panose1 w:val="020B0604020202020204"/>
    <w:charset w:characterSet="1"/>
    <w:embedRegular r:id="rId3"/>
  </w:font>
  <w:font w:name="Arimo Italics">
    <w:panose1 w:val="020B0604020202090204"/>
    <w:charset w:characterSet="1"/>
    <w:embedItalic r:id="rId4"/>
  </w:font>
  <w:font w:name="Calibri (MS) Bold">
    <w:panose1 w:val="020F0702030404030204"/>
    <w:charset w:characterSet="1"/>
  </w:font>
  <w:font w:name="Calibri (MS)">
    <w:panose1 w:val="020F0502020204030204"/>
    <w:charset w:characterSet="1"/>
  </w:font>
  <w:font w:name="Calibri (MS) Italics">
    <w:panose1 w:val="020F05020202040A0204"/>
    <w:charset w:characterSet="1"/>
  </w:font>
  <w:font w:name="Segoe UI">
    <w:panose1 w:val="020B0502040204020203"/>
    <w:charset w:characterSet="1"/>
  </w:font>
  <w:font w:name="Times New Roman Bold">
    <w:panose1 w:val="02020803070505020304"/>
    <w:charset w:characterSet="1"/>
  </w:font>
  <w:font w:name="Times New Roman Bold Italics">
    <w:panose1 w:val="02020703060505090304"/>
    <w:charset w:characterSet="1"/>
  </w:font>
  <w:font w:name="Times New Roman">
    <w:panose1 w:val="02020603050405020304"/>
    <w:charset w:characterSet="1"/>
  </w:font>
  <w:font w:name="Times New Roman Italics">
    <w:panose1 w:val="02020503050405090304"/>
    <w:charset w:characterSet="1"/>
  </w:font>
  <w:font w:name="Dosis Bold">
    <w:panose1 w:val="00000000000000000000"/>
    <w:charset w:characterSet="1"/>
    <w:embedBold r:id="rId13"/>
  </w:font>
  <w:font w:name="Dosis Light">
    <w:panose1 w:val="00000000000000000000"/>
    <w:charset w:characterSet="1"/>
    <w:embedRegular r:id="rId14"/>
  </w:font>
  <w:font w:name="Dosis Extra-Light">
    <w:panose1 w:val="00000000000000000000"/>
    <w:charset w:characterSet="1"/>
    <w:embedRegular r:id="rId15"/>
  </w:font>
  <w:font w:name="Dosis Ultra-Bold">
    <w:panose1 w:val="00000000000000000000"/>
    <w:charset w:characterSet="1"/>
    <w:embedBold r:id="rId16"/>
  </w:font>
  <w:font w:name="Dosis Medium">
    <w:panose1 w:val="00000000000000000000"/>
    <w:charset w:characterSet="1"/>
    <w:embedBold r:id="rId17"/>
  </w:font>
  <w:font w:name="Dosis">
    <w:panose1 w:val="00000000000000000000"/>
    <w:charset w:characterSet="1"/>
    <w:embedRegular r:id="rId18"/>
  </w:font>
  <w:font w:name="Dosis Semi-Bold">
    <w:panose1 w:val="00000000000000000000"/>
    <w:charset w:characterSet="1"/>
    <w:embedBold r:id="rId19"/>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2" Type="http://schemas.openxmlformats.org/officeDocument/2006/relationships/fontTable" Target="fontTable.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9"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2026-07-29T07:46:37Z</dcterms:created>
  <dc:creator>Apache POI</dc:creator>
  <dc:title>ARB Solution Review - Intellisource.docx</dc:title>
</cp:coreProperties>
</file>