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698380"/>
            <wp:docPr id="0" name="Drawing 0" descr="1c8eb56a7-f444-4e36-bc88-4814798b5ae8.png"/>
            <wp:cNvGraphicFramePr>
              <a:graphicFrameLocks noChangeAspect="true"/>
            </wp:cNvGraphicFramePr>
            <a:graphic>
              <a:graphicData uri="http://schemas.openxmlformats.org/drawingml/2006/picture">
                <pic:pic xmlns:pic="http://schemas.openxmlformats.org/drawingml/2006/picture">
                  <pic:nvPicPr>
                    <pic:cNvPr id="0" name="Picture 0" descr="1c8eb56a7-f444-4e36-bc88-4814798b5ae8.png"/>
                    <pic:cNvPicPr>
                      <a:picLocks noChangeAspect="true"/>
                    </pic:cNvPicPr>
                  </pic:nvPicPr>
                  <pic:blipFill>
                    <a:blip r:embed="rId3"/>
                    <a:stretch>
                      <a:fillRect/>
                    </a:stretch>
                  </pic:blipFill>
                  <pic:spPr>
                    <a:xfrm>
                      <a:off x="0" y="0"/>
                      <a:ext cx="5724875" cy="698380"/>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56"/>
          <w:szCs w:val="56"/>
        </w:rPr>
        <w:t>ARB Solution Review Specification</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52"/>
          <w:szCs w:val="52"/>
        </w:rPr>
        <w:t>Solution Name: 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1543787"/>
            <wp:docPr id="1" name="Drawing 1" descr="1652efa73-4f35-4e0a-8f3b-c6114125afe7.png"/>
            <wp:cNvGraphicFramePr>
              <a:graphicFrameLocks noChangeAspect="true"/>
            </wp:cNvGraphicFramePr>
            <a:graphic>
              <a:graphicData uri="http://schemas.openxmlformats.org/drawingml/2006/picture">
                <pic:pic xmlns:pic="http://schemas.openxmlformats.org/drawingml/2006/picture">
                  <pic:nvPicPr>
                    <pic:cNvPr id="0" name="Picture 1" descr="1652efa73-4f35-4e0a-8f3b-c6114125afe7.png"/>
                    <pic:cNvPicPr>
                      <a:picLocks noChangeAspect="true"/>
                    </pic:cNvPicPr>
                  </pic:nvPicPr>
                  <pic:blipFill>
                    <a:blip r:embed="rId4"/>
                    <a:stretch>
                      <a:fillRect/>
                    </a:stretch>
                  </pic:blipFill>
                  <pic:spPr>
                    <a:xfrm>
                      <a:off x="0" y="0"/>
                      <a:ext cx="5724875" cy="1543787"/>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1906"/>
        <w:gridCol w:w="1907"/>
        <w:gridCol w:w="2645"/>
      </w:tblGrid>
      <w:tr>
        <w:tc>
          <w:tcPr>
            <w:tcW w:w="9030" w:type="dxa"/>
            <w:gridSpan w:val="4"/>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Version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Version Number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6"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7"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Change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5"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Author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Draft 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30 Jun 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7"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Initial ARB submission for IntelliSource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Aryan Sharma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6"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5"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Stakeholders Sign-Off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0"/>
                <w:szCs w:val="20"/>
              </w:rPr>
              <w:t>I’ve read and agreed on the content of this document. This version of the document suffices all the requirements. Any amendments to this document will be handled through the agreed “Architecture Work Request” process and must be presented to the “Architecture Review Board” forum.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Note: Please don’t edit/delete below Stakeholders Sign-Off table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2127"/>
        <w:gridCol w:w="2642"/>
        <w:gridCol w:w="1688"/>
      </w:tblGrid>
      <w:tr>
        <w:tc>
          <w:tcPr>
            <w:tcW w:w="2571"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Full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27"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Designation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2"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Signature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88"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ARB Feedback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ARB Feedback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Calibri (MS) Italics" w:hAnsi="Calibri (MS) Italics" w:cs="Calibri (MS) Italics" w:eastAsia="Calibri (MS) Italics"/>
                <w:i/>
                <w:iCs/>
                <w:color w:val="8eaadb"/>
                <w:sz w:val="20"/>
                <w:szCs w:val="20"/>
              </w:rPr>
              <w:t>Please list down the feedback received from the ARB review process. This can be any agreement, assumptions, suggestions, roadmap etc received from the end to end ARB review process.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Dosis" w:hAnsi="Dosis" w:cs="Dosis" w:eastAsia="Dosis"/>
          <w:color w:val="2f5496"/>
          <w:sz w:val="32"/>
          <w:szCs w:val="32"/>
        </w:rPr>
        <w:t>*Background and Business Vision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6458"/>
      </w:tblGrid>
      <w:tr>
        <w:tc>
          <w:tcPr>
            <w:tcW w:w="257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Solution Name &amp; Brief</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IntelliSource is an internal Procure-to-Pay (P2P) intelligence and analytics platform built for KPMG. It ingests SAP procurement data (Purchase Requisitions, Purchase Orders, Goods Receipts, Invoices, Payments, Vendor Master, and Change Logs) via structured CSV uploads, computes pre-defined KPIs across five dashboards (Procurement, Financial, Vendor, Leadership, Utilization) and detects procurement anomalies in real-time.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problem / Opportunity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teams currently rely on manual SAP report extracts to assess P2P performance. This creates several operational gaps: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No unified, real-time visibility into the end-to-end P2P lifecycle (PR → PO → GRN → Invoice → Payment).</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Anomaly detection (maverick buys, duplicate invoices, split POs, price deviations, GRN mismatches) is reactive — issues surface only in audits or month-end reviews.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Vendor performance, delivery compliance, and spend concentration are tracked in disconnected spreadsheets.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Leadership lacks a consolidated view of CAPEX vs OPEX spend, budget utilization, and approval cycle times.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motivation and Justification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IntelliSource addresses the above gaps by: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Reducing procurement reporting effort from days to seconds via pre-computed, auto-refreshing KPIs.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Enabling proactive anomaly resolution — Procurement Managers are alerted to high-risk POs (deletion anomalies, maverick buys, three-way mismatches) before month-close.</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Providing a single source of truth across 3 company codes (1001, 1002, 1003) with company-level drill-down.</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Empowering leadership with real-time CAPEX/OPEX split, budget vs. actuals, and vendor risk heatmaps.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Reducing dependency on SAP report specialists through an AI assistant that interprets natural-language procurement questions against the live PostgreSQL database.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The platform directly supports KPMG's internal efficiency agenda and procurement compliance objectives.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End User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KPMG Clients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Analyst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Manu Mohanan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Owner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Manu Mohanan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Architect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Satyam Barnwal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Lead/Delivery Manager/BRM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Project Summary (To capture project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Below section captures the project details including project delivery approach.</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6458"/>
      </w:tblGrid>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Name and Number (PRMS / Rekonnect/Jira)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Initiation, Phase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Delivery Approach</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Agile (iterative sprint-based delivery)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Manager/Product Owner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*Strategic Focus Areas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xml:space="preserve">The following strategic focus areas are being supported by the expected business benefits above. These are the listed strategic focus areas defined by the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385"/>
        <w:gridCol w:w="608"/>
        <w:gridCol w:w="4345"/>
        <w:gridCol w:w="690"/>
      </w:tblGrid>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Improve Operational Efficiencies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future 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new business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Legal or Regulatory compliance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Technological sustainability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Cost savings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Enable new/alternative revenue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new/future business channels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Improve Operational Efficiencies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significantly improves operational efficiency by automating KPI calculations, data ingestion, and analytics workflows. It reduces reliance on manual spreadsheet-based reporting, minimizes operational errors, and provides centralized dashboards with near real-time visibility into business performance. Automated data processing and standardized KPI calculations enable users to make faster, data-driven decisions, improving productivity and operational effectiveness across the organization.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Technological Sustainability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Built on modern open-source technologies including React, FastAPI, Python, and PostgreSQL, the solution provides a scalable and sustainable technology foundation. The modular architecture allows for future enhancements, integrations, and expansion of analytics capabilities without significant redevelopment effort. Interactive dashboards, modern user experience design, and AI-assisted insights ensure the platform remains aligned with evolving business and technology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new business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enables new business opportunities by providing actionable KPI insights, trend analysis, and intelligent recommendations that help identify performance gaps, operational inefficiencies, and revenue improvement opportunities. Its flexible KPI framework can be adapted across multiple business functions and industries, allowing organizations to monitor key metrics, improve performance management, and support strategic decision-making based on data-driven evidence.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future 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forms the foundation for a future procurement optimization platform by providing centralized visibility into procurement-related KPIs, supplier performance metrics, spend analytics, and operational bottlenecks. As the platform evolves, it can be enhanced with predictive analytics, AI-driven recommendations, procurement risk monitoring, demand forecasting, and supplier benchmarking capabilities. This future-state vision will help procurement teams improve sourcing decisions, increase process transparency, reduce procurement cycle times, optimize costs, and drive greater value from procurement operations through data-driven decision-making.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Cost savings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By automating data processing, KPI generation, reporting, and analytical workflows, the solution reduces manual effort and operational overhead. Centralized data management and self-service dashboards decrease the time spent on report preparation and data reconciliation while improving data accuracy. The use of open-source technologies further reduces licensing costs and increases overall return on investment.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new/future business channels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platform's scalable architecture supports future integration with additional enterprise systems, data sources, and advanced analytics capabilities. AI-powered insights, customizable KPI frameworks, and extensible reporting features position the solution to support evolving business needs and future digital transformation initiatives. The solution enables organizations to leverage data as a strategic asset and expand analytical capabilities as business requirements grow.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Business Specific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*Functional Requirement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65"/>
        <w:gridCol w:w="2104"/>
        <w:gridCol w:w="3769"/>
        <w:gridCol w:w="1490"/>
      </w:tblGrid>
      <w:tr>
        <w:tc>
          <w:tcPr>
            <w:tcW w:w="166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shd w:val="clear" w:color="auto" w:fill="d9e2f3"/>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Must Have</w:t>
            </w:r>
            <w:r>
              <w:rPr>
                <w:rFonts w:ascii="Calibri (MS) Bold" w:hAnsi="Calibri (MS) Bold" w:cs="Calibri (MS) Bold" w:eastAsia="Calibri (MS) Bold"/>
                <w:b/>
                <w:bC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Good to Have</w:t>
            </w:r>
            <w:r>
              <w:rPr>
                <w:rFonts w:ascii="Calibri (MS) Bold" w:hAnsi="Calibri (MS) Bold" w:cs="Calibri (MS) Bold" w:eastAsia="Calibri (MS) Bold"/>
                <w:b/>
                <w:bC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Not Available for now</w:t>
            </w:r>
            <w:r>
              <w:rPr>
                <w:rFonts w:ascii="Calibri (MS) Bold" w:hAnsi="Calibri (MS) Bold" w:cs="Calibri (MS) Bold" w:eastAsia="Calibri (MS) Bold"/>
                <w:b/>
                <w:bCs/>
                <w:color w:val="000000"/>
                <w:sz w:val="22"/>
                <w:szCs w:val="22"/>
              </w:rPr>
              <w:t xml:space="preserve"> (NA)</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Optional</w:t>
            </w:r>
            <w:r>
              <w:rPr>
                <w:rFonts w:ascii="Calibri (MS) Bold" w:hAnsi="Calibri (MS) Bold" w:cs="Calibri (MS) Bold" w:eastAsia="Calibri (MS) Bold"/>
                <w:b/>
                <w:bCs/>
                <w:color w:val="000000"/>
                <w:sz w:val="22"/>
                <w:szCs w:val="22"/>
              </w:rPr>
              <w:t>(O)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Onboard 3’rd party employees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This process enables the 3’rd party employees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Data Upload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Upload 9 SAP CSV file types (PR, PO, PO Delivery, GRN, PO Invoice, Invoice, Payment, Vendor Master, Change Log) via drag-and-drop or file picker. Validate schema on upload.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Display 8 real-time procurement KPIs (PO Value MTD, Active PO Count, High-Value POs, Open PR Aging, PR→PO Time, PO Cycle Time, PO Deletions, PO Amendment Rate). Charts: PO Value Trend, PO Count vs Maverick Spend.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Visual funnel of P2P stages (PR → RFQ → PO → GRN → Invoice → Payment) with stage counts, conversion rates, avg days to next stage, RAG status, and monthly funnel chart.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CAPEX/OPEX split, budget vs actuals, month-wise spend trend, top spending categories, and financial KPIs (Total Spend, CAPEX%, OPEX%, Budget Utilisation).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KPIs (on-time delivery, compliance score, spend concentration). Vendor risk heatmap. Top vendors by spend. MSME compliance tracking.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Executive summary KPIs across all domains. Profit-centre-level spend. Approval cycle benchmarks. Year-over-year trends.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FR07</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Utilization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Buyer workload, PO processing throughput by user, resource utilisation trends.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FR08</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Profit Centre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Spend breakdown by SAP profit centre with budget allocation vs actuals.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FR09</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AI Assistant (Ask IntelliSource)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Natural-language query interface powered by GPT-4o via OpenRouter API. Tools: query_database, get_kpis, find_document, get_anomalies, get_vendor_info, get_p2p_stage_summary. Always queries live PostgreSQL before responding.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Detection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Real-time classification of POs into risk variants: MAVERICK_BUY, DUPLICATE_INVOICE, SPLIT_PO, PRICE_DEVIATION, THREE_WAY_MISMATCH, GRN_WITHOUT_PO, PAYMENT_BEFORE_GRN, LATE_DELIVERY, VENDOR_BLOCK, RETRO_PO, DELETED_AFTER_GRN.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Deletion Monitor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Tabular view of POs with deletion_indicator = L, showing anomaly flags, vendor, material, value, and created-by user.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Admin can create, update, deactivate users, and reset passwords. Roles: 12 predefined roles. Self-registration supported.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user actions (LOGIN, LOGOUT, ROLE_SWITCH, USER_CREATED, USER_UPDATED, PASSWORD_RESET) logged with timestamp, user ID, and detail string.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Admin Settings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Configurable KPI thresholds (e.g., high-value PO threshold), company code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Dashboard PDF Export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One-click PDF export of any dashboard (use html2canvas/jsPDF in browser).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Company Code Filter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dashboards are filterable by SAP company code (1001, 1002, 1003, ALL).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FR17</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Repository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Master list of vendors with enriched metadata (MSME flag, posting block, city, country).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FR18</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Actions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Log and track remediation actions raised against procurement anomalies.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*Non-Functional Requirements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12"/>
        <w:gridCol w:w="6759"/>
      </w:tblGrid>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Compatibility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Co-Existence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Must co-exist with SAP ECC / S4HANA on-premise systems. Data extracted from SAP as CSV; IntelliSource does not modify SAP data - IntelliSource is additive.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Interoperability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REST API (FastAPI) with JSON responses. Frontend communicates via HTTP/HTTPS. OpenRouter API (HTTPS/JSON) for AI. Future: SAP BAPI / RFC or OData API for real-time data pull.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Maintainability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Extensibility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Yes — KPI engine (designed with pluggable KPI definitions. New dashboards added as FastAPI router modules. Frontend routes auto-registered via TanStack Router file-based routing.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Monitoring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Currently: FastAPI /api/health endpoint. Audit log provides user activity trail. Production requirements: application performance monitoring (APM), PostgreSQL slow-query logging, Vercel analytics for frontend. 24×7 monitoring not required in pilot; required post-production rollout.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Support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Tier 1: Self-service via AI assistant and dashboard tooltips. Tier 2: IT support via KPMG service desk. Tier 3: Development team via GitHub issues.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Reusability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engine and ETL pipeline reusable for additional KPMG procurement entities. REST API designed for potential future integration with KPMG client-facing tools.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Portability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Adaptability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Backend: any Linux/Windows host with Python 3.11+ and PostgreSQL 15+. Frontend: deployable to any static host or CDN (Azure Static Web Apps, AWS S3+CloudFront).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Installability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Standard KPMG software stack compatible. Requires: Python 3.11+, Node.js 18+/Bun, PostgreSQL 15+. No proprietary runtime dependencies. Docker containerization planned for Transition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Reliability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Archiving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Annual archival of procurement data older than 36 months to cold storage. Archiving mechanism TBD in Target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Backup Configuration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PostgreSQL: nightly full backup. Transaction log backup every 4 hours in production.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Data Retention Period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transactional data: 7 years (aligned with KPMG audit retention policy). Audit logs: 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Downtime for Servicing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Maintenance window: Sundays 00:00–04:00 IST. Aligned with low-usage window.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Hours of Operation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24×7×365 (production). Pilot: 08:00–20:00 IST weekdays.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Mean Time to Repair (MTTR)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Target: &lt; 4 hours for production incidents. Pilot: best effort.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Recovery point objective (RPO)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Production: 4 hours (aligned with transaction log backup frequency). Pilot: 24 hours.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Recovery time objective (RTO)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Production: 8 hours (Gold tier). Pilot: 1–3 days (Bronze tier).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Owner (RTO/RPO)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Security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Accountability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Full audit log in audit_log table. All state-changing operations (login, logout, user CRUD, data upload) are logged with user_id, action, entity_type, details, and created_at timestamp.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Authenticity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Custom email + password authentication. Passwords stored as plain text in current pilot — MUST be hashed (bcrypt) before production. Login endpoint: POST /api/auth/login. Session state maintained in browser localStorage (AppContext).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Authorization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Role-Based Access Control (RBAC). 12 roles. Admin role has user management and settings access. Role checked at frontend route level. Backend currently trusts frontend-supplied role — JWT or server-side session required for 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Legislation and Governance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Audit trail supports internal KPMG governance. MSME vendor compliance tracked per Indian MSMED Act. No PII of external parties stored; procurement data is internal KPMG operational data.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Policies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Password policy: minimum 8 characters enforced at registration. Production must align with KPMG password policy (complexity, expiry). Current plaintext storage is a pre-production limitation — bcrypt hashing required before go-live.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Usability and Accessibility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Accessibility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 specific WCAG compliance built in current version. Keyboard navigation is partially supported via shadcn/ui components. Screen reader support is not validated. To be addressed in Transition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Channels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Web browser (Chrome, Edge, Firefox). Responsive layout but not optimised for mobile. Desktop-first design.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Localization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English only. Indian Rupee (INR ₹) as primary currency. No multi-language support planned in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Usability Constraints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Users require basic procurement domain knowledge to interpret KPIs. AI assistant reduces barrier for ad-hoc queries. No offline mode — requires live backend connection.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Performance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Messaging schedule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Business hours peak usage, typically during procurement data uploads, dashboard reviews, and KPI analysis cycles. Highest activity expected during month-end and reporting periods.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time simultaneous users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20–50 concurrent users (internal KPMG pilot scope)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time simultaneous connections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8 pre-warmed PostgreSQL connections per worker; connection pooling via thread-local pattern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Solution Usage Growth (Projected)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Expected 2× growth within 12 months as rollout expands.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Solution scalability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Up &amp; Out (supports both vertical scaling through larger PostgreSQL instances and horizontal scaling through load balancer and multiple FastAPI workers)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Storage Space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Estimated 5–20 GB per year for procurement data (9 table types × 3 company codes); PostgreSQL tablespace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Minimum network bandwidth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1 Mbps per user for dashboard interactions; 10 Mbps for initial bulk CSV uploads (SAP export files up to 500 MB)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Network QoS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Minimum 10 Mbps reliable connectivity between users, application servers, database, and external AI service endpoints; low-latency, business-grade connectivity recommended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Network QoS (internal WAN)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Minimum 1 Mbps per active user session across internal WAN; low-latency connectivity between application and database components for KPI/dashboard response targets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*Compliance and Standard Requirement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97"/>
        <w:gridCol w:w="5267"/>
        <w:gridCol w:w="1765"/>
      </w:tblGrid>
      <w:tr>
        <w:tc>
          <w:tcPr>
            <w:tcW w:w="199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Requirements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Requirements Name and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Impacted Countries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Internal Data Classification Policy — Procurement data classified as KPMG Confidential. Data must not leave approved hosting boundaries without encryption.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MSMED Act Compliance (India) — MSME vendor flags tracked; overdue payment monitoring (&gt;45 days) per MSME payment regulations.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KPMG Password Policy — Passwords must meet KPMG minimum complexity requirements.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 (global standard)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Trail Requirements — Full audit log for all user actions per KPMG internal audit standards. Retained for minimum 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Business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Process (To-Be)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3386" cy="4002589"/>
                  <wp:docPr id="2" name="Drawing 2" descr="2accafb1f2cc2d6d6b6e6c29765daf3e.png"/>
                  <wp:cNvGraphicFramePr>
                    <a:graphicFrameLocks noChangeAspect="true"/>
                  </wp:cNvGraphicFramePr>
                  <a:graphic>
                    <a:graphicData uri="http://schemas.openxmlformats.org/drawingml/2006/picture">
                      <pic:pic xmlns:pic="http://schemas.openxmlformats.org/drawingml/2006/picture">
                        <pic:nvPicPr>
                          <pic:cNvPr id="0" name="Picture 2" descr="2accafb1f2cc2d6d6b6e6c29765daf3e.png"/>
                          <pic:cNvPicPr>
                            <a:picLocks noChangeAspect="true"/>
                          </pic:cNvPicPr>
                        </pic:nvPicPr>
                        <pic:blipFill>
                          <a:blip r:embed="rId5"/>
                          <a:srcRect l="0" t="0" r="0" b="0"/>
                          <a:stretch>
                            <a:fillRect/>
                          </a:stretch>
                        </pic:blipFill>
                        <pic:spPr>
                          <a:xfrm flipH="false" flipV="false">
                            <a:off x="0" y="0"/>
                            <a:ext cx="5633386" cy="4002589"/>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Process (As-Is)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3386" cy="3683900"/>
                  <wp:docPr id="3" name="Drawing 3" descr="023ae05685121ff094b12b0a22903be5.png"/>
                  <wp:cNvGraphicFramePr>
                    <a:graphicFrameLocks noChangeAspect="true"/>
                  </wp:cNvGraphicFramePr>
                  <a:graphic>
                    <a:graphicData uri="http://schemas.openxmlformats.org/drawingml/2006/picture">
                      <pic:pic xmlns:pic="http://schemas.openxmlformats.org/drawingml/2006/picture">
                        <pic:nvPicPr>
                          <pic:cNvPr id="0" name="Picture 3" descr="023ae05685121ff094b12b0a22903be5.png"/>
                          <pic:cNvPicPr>
                            <a:picLocks noChangeAspect="true"/>
                          </pic:cNvPicPr>
                        </pic:nvPicPr>
                        <pic:blipFill>
                          <a:blip r:embed="rId6"/>
                          <a:srcRect l="0" t="0" r="0" b="0"/>
                          <a:stretch>
                            <a:fillRect/>
                          </a:stretch>
                        </pic:blipFill>
                        <pic:spPr>
                          <a:xfrm flipH="false" flipV="false">
                            <a:off x="0" y="0"/>
                            <a:ext cx="5633386" cy="3683900"/>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Domain/Firm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668"/>
        <w:gridCol w:w="804"/>
        <w:gridCol w:w="4751"/>
        <w:gridCol w:w="804"/>
      </w:tblGrid>
      <w:tr>
        <w:tc>
          <w:tcPr>
            <w:tcW w:w="266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Domain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Domain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66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Advisory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66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Corporate Functions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Information Technology Division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000000"/>
          <w:sz w:val="24"/>
          <w:szCs w:val="24"/>
        </w:rPr>
        <w:t>*Countries/Location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864"/>
        <w:gridCol w:w="893"/>
        <w:gridCol w:w="3673"/>
        <w:gridCol w:w="1598"/>
      </w:tblGrid>
      <w:tr>
        <w:tc>
          <w:tcPr>
            <w:tcW w:w="286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Location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Location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Bangalore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Gurgaon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KGS - 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Hyderabad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South Africa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Germany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Canada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Channels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61"/>
        <w:gridCol w:w="843"/>
        <w:gridCol w:w="4608"/>
        <w:gridCol w:w="816"/>
      </w:tblGrid>
      <w:tr>
        <w:tc>
          <w:tcPr>
            <w:tcW w:w="276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Channel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Channel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Web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Social Media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Mobile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SMS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Email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Instant Messaging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USSD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WhatsApp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Print Media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Desktop Application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Opportunities And Solutions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*Solution Recommendation – Proposed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913"/>
        <w:gridCol w:w="2141"/>
        <w:gridCol w:w="3974"/>
      </w:tblGrid>
      <w:tr>
        <w:tc>
          <w:tcPr>
            <w:tcW w:w="291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Solution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4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Recommended(</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7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Reason for selection/rejection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91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4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t>
            </w:r>
            <w:r>
              <w:rPr>
                <w:rFonts w:ascii="Arimo" w:hAnsi="Arimo" w:cs="Arimo" w:eastAsia="Arimo"/>
                <w:color w:val="000000"/>
                <w:sz w:val="22"/>
                <w:szCs w:val="22"/>
              </w:rPr>
              <w:t>ü</w:t>
            </w:r>
            <w:r>
              <w:rPr>
                <w:rFonts w:ascii="Calibri (MS)" w:hAnsi="Calibri (MS)" w:cs="Calibri (MS)" w:eastAsia="Calibri (M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74" w:type="dxa"/>
            <w:tcMar>
              <w:top w:w="75"/>
              <w:start w:w="75"/>
              <w:bottom w:w="75"/>
              <w:end w:w="75"/>
            </w:tcMar>
          </w:tcPr>
          <w:p>
            <w:pPr>
              <w:spacing w:after="120" w:before="120" w:line="259" w:lineRule="auto"/>
              <w:ind w:firstLine="0" w:start="0"/>
              <w:jc w:val="start"/>
            </w:pPr>
            <w:r>
              <w:rPr>
                <w:rFonts w:ascii="Calibri (MS) Italics" w:hAnsi="Calibri (MS) Italics" w:cs="Calibri (MS) Italics" w:eastAsia="Calibri (MS) Italics"/>
                <w:i/>
                <w:iCs/>
                <w:color w:val="000000"/>
                <w:sz w:val="22"/>
                <w:szCs w:val="22"/>
              </w:rPr>
              <w:t xml:space="preserve">This solution is custom-built as per business requirement as no other solution in the market fulfils all the business requirement.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 xml:space="preserve">*Solution Acquisition Approach-Proposed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95"/>
        <w:gridCol w:w="1751"/>
        <w:gridCol w:w="4183"/>
      </w:tblGrid>
      <w:tr>
        <w:tc>
          <w:tcPr>
            <w:tcW w:w="309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Acquisition Approach</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5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Applicable(</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183"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09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Upgrade existing technology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51" w:type="dxa"/>
            <w:tcMar>
              <w:top w:w="75"/>
              <w:start w:w="75"/>
              <w:bottom w:w="75"/>
              <w:end w:w="75"/>
            </w:tcMar>
          </w:tcPr>
          <w:p>
            <w:pPr>
              <w:spacing w:after="120" w:before="120" w:line="259" w:lineRule="auto"/>
              <w:ind w:firstLine="0" w:start="0"/>
              <w:jc w:val="start"/>
            </w:pPr>
            <w:r>
              <w:rPr>
                <w:rFonts w:ascii="Arimo Bold" w:hAnsi="Arimo Bold" w:cs="Arimo Bold" w:eastAsia="Arimo Bold"/>
                <w:b/>
                <w:bCs/>
                <w:color w:val="000000"/>
                <w:sz w:val="22"/>
                <w:szCs w:val="22"/>
              </w:rPr>
              <w:t>ü</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18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Roadmap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8800" cy="2303714"/>
                  <wp:docPr id="4" name="Drawing 4" descr="639968f552aa566b4ba05efded2632c7.png"/>
                  <wp:cNvGraphicFramePr>
                    <a:graphicFrameLocks noChangeAspect="true"/>
                  </wp:cNvGraphicFramePr>
                  <a:graphic>
                    <a:graphicData uri="http://schemas.openxmlformats.org/drawingml/2006/picture">
                      <pic:pic xmlns:pic="http://schemas.openxmlformats.org/drawingml/2006/picture">
                        <pic:nvPicPr>
                          <pic:cNvPr id="0" name="Picture 4" descr="639968f552aa566b4ba05efded2632c7.png"/>
                          <pic:cNvPicPr>
                            <a:picLocks noChangeAspect="true"/>
                          </pic:cNvPicPr>
                        </pic:nvPicPr>
                        <pic:blipFill>
                          <a:blip r:embed="rId7"/>
                          <a:srcRect l="0" t="0" r="0" b="0"/>
                          <a:stretch>
                            <a:fillRect/>
                          </a:stretch>
                        </pic:blipFill>
                        <pic:spPr>
                          <a:xfrm flipH="false" flipV="false">
                            <a:off x="0" y="0"/>
                            <a:ext cx="5638800" cy="230371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76"/>
        <w:gridCol w:w="10"/>
        <w:gridCol w:w="11"/>
        <w:gridCol w:w="6931"/>
      </w:tblGrid>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Baseline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18/03/2026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15/04/2026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15/04/2026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06/05/2026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Transition Architecture –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06/05/2026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27/05/2026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27/05/2026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08/06/2026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Target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08/06/2026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19/06/2026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19/06/2026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02/07/2026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Solution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01"/>
        <w:gridCol w:w="6728"/>
      </w:tblGrid>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Attribute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Attribute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Classification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Supporting Technology Solution (internal analytics / intelligence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Deployment/Hosting Model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Hybrid — Frontend SPA hosted on cloud CDN; Backend FastAPI on on-premise / cloud VM; PostgreSQL on on-prem or managed cloud DB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Current Status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Future Approach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Keep and enhance — roadmap to integrate with Azure AD SSO and SAP BAPI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Strategic Alignment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Tactical (6–12 month horizon); roadmap transitions to Long Term with SSO and SAP integration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Critical Indicator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 — loss of service impacts internal reporting efficiency; no direct client-facing or revenue impact in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Criticality Tier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Medium (Gold/Silver) — operational inefficiency if unavailable; no immediate financial or reputational damage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Continuity Tier</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BCP assessment must be done prior, and the outcome populated here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Non-Critical (Bronze) — RTO: 1–3 days; RPO: 1–3 days. Nightly PostgreSQL backup sufficient for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DR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Not Required in pilot phase. Required (Warm) post Go-Live with full KPMG rollout.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DR Plan Available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No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Information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Dashboard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58"/>
        <w:gridCol w:w="5857"/>
        <w:gridCol w:w="1614"/>
      </w:tblGrid>
      <w:tr>
        <w:tc>
          <w:tcPr>
            <w:tcW w:w="155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Dashboard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Source, Destination, New/Update/Remove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Impacted User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pr_dump, kpi_results, audit_log, process_mining_events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Manager, Admin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pr_po_grn_invoice (fact table), grn_dump, po_invoice_dump, payment_dump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roles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(CAPEX/OPEX flag), kpi_results, Budget_Master.csv</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Finance User, CXO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vendor_master, po_dump, grn_dump, po_invoice_dump,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Manager, Compliance Officer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kpi_results (all dashboards), pr_po_grn_invoice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Partner, CXO, Director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Utilization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(created_by), pr_dump,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Delivery Manager, Admin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Profit Centre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(profit_center),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Finance User, Director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Reports Details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58"/>
        <w:gridCol w:w="2131"/>
        <w:gridCol w:w="2014"/>
        <w:gridCol w:w="1712"/>
        <w:gridCol w:w="1614"/>
      </w:tblGrid>
      <w:tr>
        <w:tc>
          <w:tcPr>
            <w:tcW w:w="155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Report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3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Report Explanation(Attribute list, format, etc.…)</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0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Frequency/Schedule (weekly, daily/ On Demand reports/ad-hoc reports)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12"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Distribution List (team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Standard / customized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31"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014"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12"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 xml:space="preserve">*Entity/Data Details / Data Source, Structure of the Data, </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There will be a list of data classification provided by the EA team along with the description. It entails the type of information or the attributes which it is comprised of.</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25"/>
        <w:gridCol w:w="2738"/>
        <w:gridCol w:w="3966"/>
      </w:tblGrid>
      <w:tr>
        <w:tc>
          <w:tcPr>
            <w:tcW w:w="232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Data/Information 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Business Function Association/Description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Purchase Requisition (pr_dump)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 header and line items from SAP MM module. Fields: PR number, item, material, quantity, value, release status, company code, created_on.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initiation, PR aging analysis, PR→PO conversion tracking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Purchase Order (po_dump)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header and line items. Fields: PO number, item, vendor, net_order_value, document_date, company_code, plant, material_group, deletion_indicator, CAPEX/OPEX flag.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Core procurement transaction; KPI computation; anomaly detection; spend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Delivery Schedule (po_delivery_dump)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Expected delivery dates and quantities per PO item.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Delivery compliance; on-time delivery KPI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Goods Receipt (grn_dump)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GRN postings against POs. Fields: material document, purchasing_document, quantity, posting_date, movement type.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Three-way match; GRN-without-PO detection; P2P lifecycle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Invoice (po_invoice_dump)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postings linked to POs. Fields: invoice_doc, posting_date, amount_local_ccy, reference_doc.</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processing; payment matching; duplicate invoice detection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(invoice_dump)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Standalone invoices from vendors. Fields: invoice_doc, vendor, document_type, posting_date, due_date, amount.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overdue tracking; vendor payables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(payment_dump)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documents clearing invoices. Fields: payment_doc, vendor, amount_local_ccy, posting_date, clearing_date, cleared_invoice, payment_method.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cycle time; MSME compliance; cash flow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Master (vendor_master)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reference data. Fields: vendor code, name, country, city, account_group, posting_block, MSME flag.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 compliance; spend concentration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Change Log (change_log)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object change history. Fields: object_class, object_id, change_number, username, change_date, field_name.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amendment detection; approval cycle tracking; audit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Results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Pre-computed KPI values. Fields: kpi_code, kpi_name, value_numeric, value_text, unit, dashboard, company_code.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dashboard KPI displays; trend analysis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 Process Mining (process_mining_events)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Per-PO anomaly classifications. Fields: purchasing_document, anomaly_flags (comma-separated), anomaly_count, variant_class.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alert center; compliance monitoring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Fact Table (pr_po_grn_invoice)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Denormalised P2P fact. Fields: PR, PO, vendor, cycle times (pr_to_po_days, po_to_grn_days, etc.), amounts, CAPEX/OPEX flag, is_maverick.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analytics; cycle time KPIs; AI assistant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Users (users)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Internal user accounts. Fields: user_id (UUID), email, full_name, role, password, is_active, created_at.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Authentication; authorization; user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 (audit_log)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System-wide event log. Fields: user_id, action, entity_type, details, created_at.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Compliance; session tracking; admin audit trail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Budget Master (Budget_Master.csv)</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Budget allocations by company code and cost category.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 budget vs actuals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*Information Architecture – Conceptual Data Model</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946852" cy="5924266"/>
                  <wp:docPr id="5" name="Drawing 5" descr="b3aef68869985be6ee2601b5cb84f43d.png"/>
                  <wp:cNvGraphicFramePr>
                    <a:graphicFrameLocks noChangeAspect="true"/>
                  </wp:cNvGraphicFramePr>
                  <a:graphic>
                    <a:graphicData uri="http://schemas.openxmlformats.org/drawingml/2006/picture">
                      <pic:pic xmlns:pic="http://schemas.openxmlformats.org/drawingml/2006/picture">
                        <pic:nvPicPr>
                          <pic:cNvPr id="0" name="Picture 5" descr="b3aef68869985be6ee2601b5cb84f43d.png"/>
                          <pic:cNvPicPr>
                            <a:picLocks noChangeAspect="true"/>
                          </pic:cNvPicPr>
                        </pic:nvPicPr>
                        <pic:blipFill>
                          <a:blip r:embed="rId8"/>
                          <a:srcRect l="0" t="0" r="0" b="0"/>
                          <a:stretch>
                            <a:fillRect/>
                          </a:stretch>
                        </pic:blipFill>
                        <pic:spPr>
                          <a:xfrm flipH="false" flipV="false">
                            <a:off x="0" y="0"/>
                            <a:ext cx="1946852" cy="5924266"/>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*Data Archiving, Migration and Retention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338"/>
        <w:gridCol w:w="2238"/>
        <w:gridCol w:w="3949"/>
        <w:gridCol w:w="1503"/>
      </w:tblGrid>
      <w:tr>
        <w:tc>
          <w:tcPr>
            <w:tcW w:w="13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Data/Information 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Archiving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Retention Requirement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transactional data (po_dump, pr_dump, grn_dump, invoices, payments)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7 years (KPMG audit retention)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Results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Rolling 36 months; recomputable from source data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 accounts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Duration of employment + 2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Change Log (change_log)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7 years (mirrors SAP change log retention)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Application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 xml:space="preserve">*Conceptual/Logical application architecture </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633386" cy="7352138"/>
                  <wp:docPr id="6" name="Drawing 6" descr="6626330dbf7a9260b28ab3ecdf2a36e9.png"/>
                  <wp:cNvGraphicFramePr>
                    <a:graphicFrameLocks noChangeAspect="true"/>
                  </wp:cNvGraphicFramePr>
                  <a:graphic>
                    <a:graphicData uri="http://schemas.openxmlformats.org/drawingml/2006/picture">
                      <pic:pic xmlns:pic="http://schemas.openxmlformats.org/drawingml/2006/picture">
                        <pic:nvPicPr>
                          <pic:cNvPr id="0" name="Picture 6" descr="6626330dbf7a9260b28ab3ecdf2a36e9.png"/>
                          <pic:cNvPicPr>
                            <a:picLocks noChangeAspect="true"/>
                          </pic:cNvPicPr>
                        </pic:nvPicPr>
                        <pic:blipFill>
                          <a:blip r:embed="rId9"/>
                          <a:srcRect l="0" t="0" r="0" b="0"/>
                          <a:stretch>
                            <a:fillRect/>
                          </a:stretch>
                        </pic:blipFill>
                        <pic:spPr>
                          <a:xfrm flipH="false" flipV="false">
                            <a:off x="0" y="0"/>
                            <a:ext cx="5633386" cy="7352138"/>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85"/>
        <w:gridCol w:w="6644"/>
      </w:tblGrid>
      <w:tr>
        <w:tc>
          <w:tcPr>
            <w:tcW w:w="2385"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Component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Component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416954" cy="181952"/>
                  <wp:docPr id="7" name="Drawing 7" descr="17065b67b-8ce0-4182-adbe-7b004c592ad0.png"/>
                  <wp:cNvGraphicFramePr>
                    <a:graphicFrameLocks noChangeAspect="true"/>
                  </wp:cNvGraphicFramePr>
                  <a:graphic>
                    <a:graphicData uri="http://schemas.openxmlformats.org/drawingml/2006/picture">
                      <pic:pic xmlns:pic="http://schemas.openxmlformats.org/drawingml/2006/picture">
                        <pic:nvPicPr>
                          <pic:cNvPr id="0" name="Picture 7" descr="17065b67b-8ce0-4182-adbe-7b004c592ad0.png"/>
                          <pic:cNvPicPr>
                            <a:picLocks noChangeAspect="true"/>
                          </pic:cNvPicPr>
                        </pic:nvPicPr>
                        <pic:blipFill>
                          <a:blip r:embed="rId10"/>
                          <a:stretch>
                            <a:fillRect/>
                          </a:stretch>
                        </pic:blipFill>
                        <pic:spPr>
                          <a:xfrm>
                            <a:off x="0" y="0"/>
                            <a:ext cx="1416954" cy="181952"/>
                          </a:xfrm>
                          <a:prstGeom prst="rect">
                            <a:avLst/>
                          </a:prstGeom>
                        </pic:spPr>
                      </pic:pic>
                    </a:graphicData>
                  </a:graphic>
                </wp:inline>
              </w:drawing>
            </w:r>
          </w:p>
          <w:p>
            <w:pPr>
              <w:spacing w:after="120" w:before="120" w:line="259" w:lineRule="auto"/>
              <w:ind w:firstLine="0" w:start="0"/>
              <w:jc w:val="center"/>
            </w:pPr>
            <w:r>
              <w:rPr>
                <w:rFonts w:ascii="Calibri (MS)" w:hAnsi="Calibri (MS)" w:cs="Calibri (MS)" w:eastAsia="Calibri (MS)"/>
                <w:color w:val="000000"/>
                <w:sz w:val="22"/>
                <w:szCs w:val="22"/>
              </w:rPr>
              <w:t>Application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IntelliSource is an internal Procure-to-Pay (P2P) intelligence and analytics platform built for KPMG. It ingests SAP procurement data (Purchase Requisitions, Purchase Orders, Goods Receipts, Invoices, Payments, Vendor Master, and Change Logs) via structured CSV uploads, computes pre-defined KPIs across five dashboards (Procurement, Financial, Vendor, Leadership, Utilization) and detects procurement anomalies in real-time.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Web Frontend (React SPA)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Single-page application built with React 18, TypeScript, Vite. Routes: /dashboard, /p2p, /financial, /vendors, /leadership, /utilization, /profit-center, /upload, /ask, /actions, /history, /admin/*, /login, /signup. State management: TanStack Query (server state) + React Context (auth/theme).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 Backend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Python 3.11 REST API. 8 routers: upload, kpi, p2p, events, actions, auth, chat, profit_center. Async lifespan with DB pre-warming (8 connections). CORS configured for localhost and Vercel production URL.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KPI Engine (kpi_engine.py)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Computes 90+ KPIs across 5 dashboards (procurement, financial, vendor, leadership, utilization) via direct PostgreSQL. Stores results in kpi_results table. Triggered on data upload and on-demand via /api/kpi/recompute.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ETL Pipeline (etl.py, fact_builder.py, parser.py, validator.py)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Validates and ingests CSV uploads. Maps 9 SAP file types to PostgreSQL tables. Builds pr_po_grn_invoice fact table. Triggers KPI recomputation post-load.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Anomaly / Process Mining Engine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Classifies each PO into risk variants and populates process_mining_events table. Detects: MAVERICK_BUY, SPLIT_PO, RETRO_PO, PRICE_VARIANCE, DUPLICATE_INVOICE, THREE_WAY_MISMATCH, GRN_WITHOUT_PO, PAYMENT_BEFORE_GRN, VENDOR_BLOCK, LATE_DELIVERY,  OVERDUE_INVOICE, DELETED_AFTER_GRN.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Database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Primary data store. Schema managed via schema.sql (init_db on startup). Connection pool: thread-local (8 pre-warmed). Adapter: psycopg3 with sqlite3-compatible HybridRow wrapper.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 &amp; Session Module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Custom email/password auth. UUID user IDs. Role-based access. Audit logging on all auth events. Password reset by admin generates random 12-char password.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Application Architecture – Application Data Storage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01"/>
        <w:gridCol w:w="7028"/>
      </w:tblGrid>
      <w:tr>
        <w:tc>
          <w:tcPr>
            <w:tcW w:w="20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 Application Data Storage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Data Storage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(Primary)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173504" cy="90414"/>
                  <wp:docPr id="8" name="Drawing 8" descr="1e3791ad5-8248-4b3c-89ef-4eb5a6011730.png"/>
                  <wp:cNvGraphicFramePr>
                    <a:graphicFrameLocks noChangeAspect="true"/>
                  </wp:cNvGraphicFramePr>
                  <a:graphic>
                    <a:graphicData uri="http://schemas.openxmlformats.org/drawingml/2006/picture">
                      <pic:pic xmlns:pic="http://schemas.openxmlformats.org/drawingml/2006/picture">
                        <pic:nvPicPr>
                          <pic:cNvPr id="0" name="Picture 8" descr="1e3791ad5-8248-4b3c-89ef-4eb5a6011730.png"/>
                          <pic:cNvPicPr>
                            <a:picLocks noChangeAspect="true"/>
                          </pic:cNvPicPr>
                        </pic:nvPicPr>
                        <pic:blipFill>
                          <a:blip r:embed="rId11"/>
                          <a:stretch>
                            <a:fillRect/>
                          </a:stretch>
                        </pic:blipFill>
                        <pic:spPr>
                          <a:xfrm>
                            <a:off x="0" y="0"/>
                            <a:ext cx="1173504" cy="9041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procurement data, KPI results, user accounts, audit log. Local or managed cloud PostgreSQL 15+. Connection URL via DATABASE_URL env var. Default: postgresql://postgres:1234@localhost:5432/intellisource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173504" cy="90414"/>
                  <wp:docPr id="9" name="Drawing 9" descr="1a133b9a7-16be-4c2c-96c5-2cf4a4e34205.png"/>
                  <wp:cNvGraphicFramePr>
                    <a:graphicFrameLocks noChangeAspect="true"/>
                  </wp:cNvGraphicFramePr>
                  <a:graphic>
                    <a:graphicData uri="http://schemas.openxmlformats.org/drawingml/2006/picture">
                      <pic:pic xmlns:pic="http://schemas.openxmlformats.org/drawingml/2006/picture">
                        <pic:nvPicPr>
                          <pic:cNvPr id="0" name="Picture 9" descr="1a133b9a7-16be-4c2c-96c5-2cf4a4e34205.png"/>
                          <pic:cNvPicPr>
                            <a:picLocks noChangeAspect="true"/>
                          </pic:cNvPicPr>
                        </pic:nvPicPr>
                        <pic:blipFill>
                          <a:blip r:embed="rId12"/>
                          <a:stretch>
                            <a:fillRect/>
                          </a:stretch>
                        </pic:blipFill>
                        <pic:spPr>
                          <a:xfrm>
                            <a:off x="0" y="0"/>
                            <a:ext cx="1173504" cy="90414"/>
                          </a:xfrm>
                          <a:prstGeom prst="rect">
                            <a:avLst/>
                          </a:prstGeom>
                        </pic:spPr>
                      </pic:pic>
                    </a:graphicData>
                  </a:graphic>
                </wp:inline>
              </w:drawing>
            </w:r>
          </w:p>
          <w:p>
            <w:pPr>
              <w:spacing w:after="120" w:before="120" w:line="259" w:lineRule="auto"/>
              <w:ind w:firstLine="0" w:start="0"/>
              <w:jc w:val="center"/>
            </w:pPr>
            <w:r>
              <w:rPr>
                <w:rFonts w:ascii="Calibri (MS)" w:hAnsi="Calibri (MS)" w:cs="Calibri (MS)" w:eastAsia="Calibri (MS)"/>
                <w:color w:val="000000"/>
                <w:sz w:val="22"/>
                <w:szCs w:val="22"/>
              </w:rPr>
              <w:t xml:space="preserve"> Local Filesystem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Seed CSV files (data/ directory) for initial data load. Not used in production upload flow.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*Application Architecture – Technology Stack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2485075" cy="6929124"/>
                  <wp:docPr id="10" name="Drawing 10" descr="d4f226a7a717c6b04077d47b2493b4e7.png"/>
                  <wp:cNvGraphicFramePr>
                    <a:graphicFrameLocks noChangeAspect="true"/>
                  </wp:cNvGraphicFramePr>
                  <a:graphic>
                    <a:graphicData uri="http://schemas.openxmlformats.org/drawingml/2006/picture">
                      <pic:pic xmlns:pic="http://schemas.openxmlformats.org/drawingml/2006/picture">
                        <pic:nvPicPr>
                          <pic:cNvPr id="0" name="Picture 10" descr="d4f226a7a717c6b04077d47b2493b4e7.png"/>
                          <pic:cNvPicPr>
                            <a:picLocks noChangeAspect="true"/>
                          </pic:cNvPicPr>
                        </pic:nvPicPr>
                        <pic:blipFill>
                          <a:blip r:embed="rId13"/>
                          <a:srcRect l="0" t="0" r="0" b="0"/>
                          <a:stretch>
                            <a:fillRect/>
                          </a:stretch>
                        </pic:blipFill>
                        <pic:spPr>
                          <a:xfrm flipH="false" flipV="false">
                            <a:off x="0" y="0"/>
                            <a:ext cx="2485075" cy="692912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*Integration Architecture – Solution Context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236020" cy="3166225"/>
                  <wp:docPr id="11" name="Drawing 11" descr="93028cd787e636b5cd68035a43e9961b.png"/>
                  <wp:cNvGraphicFramePr>
                    <a:graphicFrameLocks noChangeAspect="true"/>
                  </wp:cNvGraphicFramePr>
                  <a:graphic>
                    <a:graphicData uri="http://schemas.openxmlformats.org/drawingml/2006/picture">
                      <pic:pic xmlns:pic="http://schemas.openxmlformats.org/drawingml/2006/picture">
                        <pic:nvPicPr>
                          <pic:cNvPr id="0" name="Picture 11" descr="93028cd787e636b5cd68035a43e9961b.png"/>
                          <pic:cNvPicPr>
                            <a:picLocks noChangeAspect="true"/>
                          </pic:cNvPicPr>
                        </pic:nvPicPr>
                        <pic:blipFill>
                          <a:blip r:embed="rId14"/>
                          <a:srcRect l="0" t="0" r="0" b="0"/>
                          <a:stretch>
                            <a:fillRect/>
                          </a:stretch>
                        </pic:blipFill>
                        <pic:spPr>
                          <a:xfrm flipH="false" flipV="false">
                            <a:off x="0" y="0"/>
                            <a:ext cx="5236020" cy="3166225"/>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01"/>
        <w:gridCol w:w="2219"/>
        <w:gridCol w:w="2195"/>
        <w:gridCol w:w="2612"/>
      </w:tblGrid>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Integration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Source/Provider Solution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19"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Target /Consumer Solution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95"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12"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New/Update/Remove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tcMar>
              <w:top w:w="75"/>
              <w:start w:w="75"/>
              <w:bottom w:w="75"/>
              <w:end w:w="75"/>
            </w:tcMar>
          </w:tcPr>
          <w:p>
            <w:pPr>
              <w:spacing w:after="120" w:before="120" w:line="259" w:lineRule="auto"/>
              <w:ind w:firstLine="0" w:start="0"/>
              <w:jc w:val="center"/>
            </w:pPr>
            <w:r>
              <w:rPr>
                <w:rFonts w:ascii="Calibri (MS) Italics" w:hAnsi="Calibri (MS) Italics" w:cs="Calibri (MS) Italics" w:eastAsia="Calibri (MS) Italics"/>
                <w:i/>
                <w:iCs/>
                <w:color w:val="8eaadb"/>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95"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12"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tcMar>
              <w:top w:w="75"/>
              <w:start w:w="75"/>
              <w:bottom w:w="75"/>
              <w:end w:w="75"/>
            </w:tcMar>
          </w:tcPr>
          <w:p>
            <w:pPr>
              <w:spacing w:after="120" w:before="120" w:line="259" w:lineRule="auto"/>
              <w:ind w:firstLine="0" w:start="0"/>
              <w:jc w:val="center"/>
            </w:pPr>
            <w:r>
              <w:rPr>
                <w:rFonts w:ascii="Calibri (MS) Italics" w:hAnsi="Calibri (MS) Italics" w:cs="Calibri (MS) Italics" w:eastAsia="Calibri (MS) Italics"/>
                <w:i/>
                <w:iCs/>
                <w:color w:val="8eaadb"/>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95"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12"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Technology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*Technology Architecture – Hosting / Deployment Architecture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7353" cy="4490556"/>
                  <wp:docPr id="12" name="Drawing 12" descr="77658dd16cac0471a3275ce0b90416ec.png"/>
                  <wp:cNvGraphicFramePr>
                    <a:graphicFrameLocks noChangeAspect="true"/>
                  </wp:cNvGraphicFramePr>
                  <a:graphic>
                    <a:graphicData uri="http://schemas.openxmlformats.org/drawingml/2006/picture">
                      <pic:pic xmlns:pic="http://schemas.openxmlformats.org/drawingml/2006/picture">
                        <pic:nvPicPr>
                          <pic:cNvPr id="0" name="Picture 12" descr="77658dd16cac0471a3275ce0b90416ec.png"/>
                          <pic:cNvPicPr>
                            <a:picLocks noChangeAspect="true"/>
                          </pic:cNvPicPr>
                        </pic:nvPicPr>
                        <pic:blipFill>
                          <a:blip r:embed="rId15"/>
                          <a:srcRect l="0" t="0" r="0" b="0"/>
                          <a:stretch>
                            <a:fillRect/>
                          </a:stretch>
                        </pic:blipFill>
                        <pic:spPr>
                          <a:xfrm flipH="false" flipV="false">
                            <a:off x="0" y="0"/>
                            <a:ext cx="5627353" cy="4490556"/>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*Technology Architecture – Deployment/Environment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48"/>
        <w:gridCol w:w="6981"/>
      </w:tblGrid>
      <w:tr>
        <w:tc>
          <w:tcPr>
            <w:tcW w:w="9030" w:type="dxa"/>
            <w:gridSpan w:val="2"/>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Development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Developer local machines. Vite dev server (:8080) + FastAPI (:8000) + local PostgreSQL.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Weekly 8 AM – 8PM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It should be available only for working hours.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2"/>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QA / Staging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This is to use for CIT/SIT/Performance/Load and stress testing purpose.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24X7X365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It must be available be available 24X7X365 with 15 days hours (per annum) for  support and maintenance. To be set up on cloud VM with PostgreSQL managed service.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2"/>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End User or consumer environment.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24X7X365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It must be available be available 24X7X365 with 72 hours (about 3 days) for support and maintenance.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*Ops Support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8800" cy="2526013"/>
                  <wp:docPr id="13" name="Drawing 13" descr="58ffa888422afc1f2238d6045653dd2f.png"/>
                  <wp:cNvGraphicFramePr>
                    <a:graphicFrameLocks noChangeAspect="true"/>
                  </wp:cNvGraphicFramePr>
                  <a:graphic>
                    <a:graphicData uri="http://schemas.openxmlformats.org/drawingml/2006/picture">
                      <pic:pic xmlns:pic="http://schemas.openxmlformats.org/drawingml/2006/picture">
                        <pic:nvPicPr>
                          <pic:cNvPr id="0" name="Picture 13" descr="58ffa888422afc1f2238d6045653dd2f.png"/>
                          <pic:cNvPicPr>
                            <a:picLocks noChangeAspect="true"/>
                          </pic:cNvPicPr>
                        </pic:nvPicPr>
                        <pic:blipFill>
                          <a:blip r:embed="rId16"/>
                          <a:srcRect l="0" t="0" r="0" b="0"/>
                          <a:stretch>
                            <a:fillRect/>
                          </a:stretch>
                        </pic:blipFill>
                        <pic:spPr>
                          <a:xfrm flipH="false" flipV="false">
                            <a:off x="0" y="0"/>
                            <a:ext cx="5638800" cy="2526013"/>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Security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2"/>
          <w:szCs w:val="22"/>
        </w:rPr>
        <w:t>*Security – Authentication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6375" cy="5868312"/>
                  <wp:docPr id="14" name="Drawing 14" descr="04ff657be82e09034452b198aadfed6d.png"/>
                  <wp:cNvGraphicFramePr>
                    <a:graphicFrameLocks noChangeAspect="true"/>
                  </wp:cNvGraphicFramePr>
                  <a:graphic>
                    <a:graphicData uri="http://schemas.openxmlformats.org/drawingml/2006/picture">
                      <pic:pic xmlns:pic="http://schemas.openxmlformats.org/drawingml/2006/picture">
                        <pic:nvPicPr>
                          <pic:cNvPr id="0" name="Picture 14" descr="04ff657be82e09034452b198aadfed6d.png"/>
                          <pic:cNvPicPr>
                            <a:picLocks noChangeAspect="true"/>
                          </pic:cNvPicPr>
                        </pic:nvPicPr>
                        <pic:blipFill>
                          <a:blip r:embed="rId17"/>
                          <a:srcRect l="0" t="0" r="0" b="0"/>
                          <a:stretch>
                            <a:fillRect/>
                          </a:stretch>
                        </pic:blipFill>
                        <pic:spPr>
                          <a:xfrm flipH="false" flipV="false">
                            <a:off x="0" y="0"/>
                            <a:ext cx="5636375" cy="5868312"/>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2"/>
          <w:szCs w:val="22"/>
        </w:rPr>
        <w:t>*Security – Authorization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6375" cy="3623039"/>
                  <wp:docPr id="15" name="Drawing 15" descr="071c857989c57b1f6bca53bd69c889b6.png"/>
                  <wp:cNvGraphicFramePr>
                    <a:graphicFrameLocks noChangeAspect="true"/>
                  </wp:cNvGraphicFramePr>
                  <a:graphic>
                    <a:graphicData uri="http://schemas.openxmlformats.org/drawingml/2006/picture">
                      <pic:pic xmlns:pic="http://schemas.openxmlformats.org/drawingml/2006/picture">
                        <pic:nvPicPr>
                          <pic:cNvPr id="0" name="Picture 15" descr="071c857989c57b1f6bca53bd69c889b6.png"/>
                          <pic:cNvPicPr>
                            <a:picLocks noChangeAspect="true"/>
                          </pic:cNvPicPr>
                        </pic:nvPicPr>
                        <pic:blipFill>
                          <a:blip r:embed="rId18"/>
                          <a:srcRect l="0" t="0" r="0" b="0"/>
                          <a:stretch>
                            <a:fillRect/>
                          </a:stretch>
                        </pic:blipFill>
                        <pic:spPr>
                          <a:xfrm flipH="false" flipV="false">
                            <a:off x="0" y="0"/>
                            <a:ext cx="5636375" cy="3623039"/>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Application Architecture – Bill of Materials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46"/>
        <w:gridCol w:w="1670"/>
        <w:gridCol w:w="1670"/>
        <w:gridCol w:w="1546"/>
        <w:gridCol w:w="1298"/>
        <w:gridCol w:w="1298"/>
      </w:tblGrid>
      <w:tr>
        <w:tc>
          <w:tcPr>
            <w:tcW w:w="154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Item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OEM / Vendor/Publisher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 (Non-Production)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Software End of Life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Support End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Meta / Microsoft / Evan You</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5.x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5.x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Labs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v3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v3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 Team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Sebastián Ramírez</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Software Foundation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PSF License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Daniele Varrazzo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LGPL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Global Dev Group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License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Encode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BSD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Licensing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29"/>
        <w:gridCol w:w="1218"/>
        <w:gridCol w:w="1334"/>
        <w:gridCol w:w="1273"/>
        <w:gridCol w:w="1321"/>
        <w:gridCol w:w="1652"/>
      </w:tblGrid>
      <w:tr>
        <w:tc>
          <w:tcPr>
            <w:tcW w:w="2229"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Number Of Licenses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Model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Used</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(KPMG Entity)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Support Start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Support End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 – Used as the frontend application framework and build tooling for developing responsive web user interfaces.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 – Used for application styling, responsive layouts, and UI customization.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 – Used for charts, dashboards, and data visualization within the application.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 – Used as the backend framework for developing REST APIs and business services.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 – Used as the backend programming language runtime supporting application services and integrations. License Type: Open Source (PSF License).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(PSF License)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 – Used as the PostgreSQL database adapter enabling connectivity between the FastAPI application and PostgreSQL database. License Type: Open Source (LGPL).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(LGPL)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 – Used as the relational database management system for secure storage, retrieval, and management of application data. License Type: Open Source (PostgreSQL License).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(PostgreSQL License)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 – Used as the ASGI web server to host and run FastAPI backend services. License Type: Open Source (BSD).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(BSD)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Technical Dependencies, Risks, Issues, Constraints, Assumptions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Technical Dependencies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Platform requires manual CSV exports from SAP ECC/S4HANA. Quality and completeness of data depends on SAP configuration at each KPMG entity.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analytics depend on PostgreSQL availability. Connection URL must be configured via DATABASE_URL env var.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Backend requires Python 3.11+ for psycopg3 async features.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Risks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CSV schema changes break ETL pipeline.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Thread-local PostgreSQL connection pooling may cause connection leaks under high concurrency.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Constraints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PostgreSQL must support psycopg3 (PostgreSQL 12+; tested on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Assumptions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data exports are provided in standard KPMG SAP table format as documented in the Upload module.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IT will provision a managed PostgreSQL instance for production (Azure Database for PostgreSQL or equivalent).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users access IntelliSource via a modern web browser (Chrome 110+, Edge 110+, Firefox 110+).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INR (Indian Rupee) is the primary currency for all financial figures in the current deployment scope.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 Team Dependencies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366"/>
        <w:gridCol w:w="3828"/>
        <w:gridCol w:w="3835"/>
      </w:tblGrid>
      <w:tr>
        <w:tc>
          <w:tcPr>
            <w:tcW w:w="136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Tick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Services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6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IT Infrastructure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tcMar>
              <w:top w:w="75"/>
              <w:start w:w="75"/>
              <w:bottom w:w="75"/>
              <w:end w:w="75"/>
            </w:tcMar>
          </w:tcPr>
          <w:p>
            <w:pPr>
              <w:spacing w:after="120" w:before="120" w:line="259" w:lineRule="auto"/>
              <w:ind w:firstLine="0" w:start="0"/>
              <w:jc w:val="center"/>
            </w:pPr>
            <w:r>
              <w:rPr>
                <w:rFonts w:ascii="Arimo" w:hAnsi="Arimo" w:cs="Arimo" w:eastAsia="Arimo"/>
                <w:color w:val="000000"/>
                <w:sz w:val="22"/>
                <w:szCs w:val="22"/>
              </w:rPr>
              <w:t>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Provision production PostgreSQL instance; server/VM provisioning for backend.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6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IT Security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tcMar>
              <w:top w:w="75"/>
              <w:start w:w="75"/>
              <w:bottom w:w="75"/>
              <w:end w:w="75"/>
            </w:tcMar>
          </w:tcPr>
          <w:p>
            <w:pPr>
              <w:spacing w:after="120" w:before="120" w:line="259" w:lineRule="auto"/>
              <w:ind w:firstLine="0" w:start="0"/>
              <w:jc w:val="center"/>
            </w:pPr>
            <w:r>
              <w:rPr>
                <w:rFonts w:ascii="Arimo" w:hAnsi="Arimo" w:cs="Arimo" w:eastAsia="Arimo"/>
                <w:color w:val="000000"/>
                <w:sz w:val="22"/>
                <w:szCs w:val="22"/>
              </w:rPr>
              <w:t>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Security review of auth implementation; penetration testing before go-live; secrets management (Azure Key Vault).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Document Distribution and Reviewer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Note: Please don’t edit/delete below reviewer details table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Signature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References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20"/>
        <w:gridCol w:w="6809"/>
      </w:tblGrid>
      <w:tr>
        <w:tc>
          <w:tcPr>
            <w:tcW w:w="222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TCO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TCO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Case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Case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BRD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2f5496"/>
          <w:sz w:val="32"/>
          <w:szCs w:val="32"/>
        </w:rPr>
        <w:t>Glossary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RAG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Red/Amber/Green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Active Directory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IAM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Identity and Access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MFA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Multi-Factor Assessment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SSO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Single Sign-On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Calibri (MS) Bold">
    <w:panose1 w:val="020F0702030404030204"/>
    <w:charset w:characterSet="1"/>
  </w:font>
  <w:font w:name="Calibri (MS)">
    <w:panose1 w:val="020F0502020204030204"/>
    <w:charset w:characterSet="1"/>
  </w:font>
  <w:font w:name="Calibri (MS) Italics">
    <w:panose1 w:val="020F05020202040A0204"/>
    <w:charset w:characterSet="1"/>
  </w:font>
  <w:font w:name="Segoe UI">
    <w:panose1 w:val="020B0502040204020203"/>
    <w:charset w:characterSet="1"/>
  </w:font>
  <w:font w:name="Times New Roman Bold">
    <w:panose1 w:val="02020803070505020304"/>
    <w:charset w:characterSet="1"/>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Dosis Bold">
    <w:panose1 w:val="00000000000000000000"/>
    <w:charset w:characterSet="1"/>
    <w:embedBold r:id="rId13"/>
  </w:font>
  <w:font w:name="Dosis Light">
    <w:panose1 w:val="00000000000000000000"/>
    <w:charset w:characterSet="1"/>
    <w:embedRegular r:id="rId14"/>
  </w:font>
  <w:font w:name="Dosis Extra-Light">
    <w:panose1 w:val="00000000000000000000"/>
    <w:charset w:characterSet="1"/>
    <w:embedRegular r:id="rId15"/>
  </w:font>
  <w:font w:name="Dosis Ultra-Bold">
    <w:panose1 w:val="00000000000000000000"/>
    <w:charset w:characterSet="1"/>
    <w:embedBold r:id="rId16"/>
  </w:font>
  <w:font w:name="Dosis Medium">
    <w:panose1 w:val="00000000000000000000"/>
    <w:charset w:characterSet="1"/>
    <w:embedBold r:id="rId17"/>
  </w:font>
  <w:font w:name="Dosis">
    <w:panose1 w:val="00000000000000000000"/>
    <w:charset w:characterSet="1"/>
    <w:embedRegular r:id="rId18"/>
  </w:font>
  <w:font w:name="Dosis Semi-Bold">
    <w:panose1 w:val="00000000000000000000"/>
    <w:charset w:characterSet="1"/>
    <w:embedBold r:id="rId19"/>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2026-07-29T07:46:37Z</dcterms:created>
  <dc:creator>Apache POI</dc:creator>
  <dc:title>ARB Solution Review - Intellisource.docx</dc:title>
</cp:coreProperties>
</file>