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KPMG ARB – Solution Review Specification</w:t>
      </w:r>
    </w:p>
    <w:p>
      <w:r>
        <w:rPr>
          <w:b/>
        </w:rPr>
        <w:t xml:space="preserve">Solution Name: </w:t>
      </w:r>
      <w:r>
        <w:t>KPMG IntelliSource (P2P Intelligence Platform)</w:t>
      </w:r>
    </w:p>
    <w:p>
      <w:r>
        <w:rPr>
          <w:b/>
        </w:rPr>
        <w:t xml:space="preserve">Document Version: </w:t>
      </w:r>
      <w:r>
        <w:t>Draft 1.0</w:t>
      </w:r>
    </w:p>
    <w:p>
      <w:r>
        <w:rPr>
          <w:b/>
        </w:rPr>
        <w:t xml:space="preserve">Date: </w:t>
      </w:r>
      <w:r>
        <w:t>30 June 2026</w:t>
      </w:r>
    </w:p>
    <w:p>
      <w:r>
        <w:rPr>
          <w:b/>
        </w:rPr>
        <w:t xml:space="preserve">Author: </w:t>
      </w:r>
      <w:r>
        <w:t>Aryan Sharma</w:t>
      </w:r>
    </w:p>
    <w:p/>
    <w:p>
      <w:pPr>
        <w:pStyle w:val="Heading1"/>
      </w:pPr>
      <w:r>
        <w:rPr>
          <w:color w:val="003366"/>
        </w:rPr>
        <w:t>Version Management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Version</w:t>
            </w:r>
          </w:p>
        </w:tc>
        <w:tc>
          <w:tcPr>
            <w:tcW w:type="dxa" w:w="2160"/>
          </w:tcPr>
          <w:p>
            <w:r>
              <w:rPr>
                <w:b/>
              </w:rPr>
              <w:t>Date</w:t>
            </w:r>
          </w:p>
        </w:tc>
        <w:tc>
          <w:tcPr>
            <w:tcW w:type="dxa" w:w="2160"/>
          </w:tcPr>
          <w:p>
            <w:r>
              <w:rPr>
                <w:b/>
              </w:rPr>
              <w:t>Change Description</w:t>
            </w:r>
          </w:p>
        </w:tc>
        <w:tc>
          <w:tcPr>
            <w:tcW w:type="dxa" w:w="2160"/>
          </w:tcPr>
          <w:p>
            <w:r>
              <w:rPr>
                <w:b/>
              </w:rPr>
              <w:t>Author</w:t>
            </w:r>
          </w:p>
        </w:tc>
      </w:tr>
      <w:tr>
        <w:tc>
          <w:tcPr>
            <w:tcW w:type="dxa" w:w="2160"/>
          </w:tcPr>
          <w:p>
            <w:r>
              <w:t>Draft 1.0</w:t>
            </w:r>
          </w:p>
        </w:tc>
        <w:tc>
          <w:tcPr>
            <w:tcW w:type="dxa" w:w="2160"/>
          </w:tcPr>
          <w:p>
            <w:r>
              <w:t>30 Jun 2026</w:t>
            </w:r>
          </w:p>
        </w:tc>
        <w:tc>
          <w:tcPr>
            <w:tcW w:type="dxa" w:w="2160"/>
          </w:tcPr>
          <w:p>
            <w:r>
              <w:t>Initial ARB submission for IntelliSource P2P platform</w:t>
            </w:r>
          </w:p>
        </w:tc>
        <w:tc>
          <w:tcPr>
            <w:tcW w:type="dxa" w:w="2160"/>
          </w:tcPr>
          <w:p>
            <w:r>
              <w:t>Aryan Sharma</w:t>
            </w:r>
          </w:p>
        </w:tc>
      </w:tr>
    </w:tbl>
    <w:p/>
    <w:p>
      <w:pPr>
        <w:pStyle w:val="Heading1"/>
      </w:pPr>
      <w:r>
        <w:rPr>
          <w:color w:val="003366"/>
        </w:rPr>
        <w:t>Stakeholders Sign-Off</w:t>
      </w:r>
    </w:p>
    <w:p>
      <w:r>
        <w:t>I've read and agreed on the content of this document. This version of the document suffices all the requirements. Any amendments will be handled through the agreed Architecture Work Request process.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Full Name</w:t>
            </w:r>
          </w:p>
        </w:tc>
        <w:tc>
          <w:tcPr>
            <w:tcW w:type="dxa" w:w="2160"/>
          </w:tcPr>
          <w:p>
            <w:r>
              <w:rPr>
                <w:b/>
              </w:rPr>
              <w:t>Designation</w:t>
            </w:r>
          </w:p>
        </w:tc>
        <w:tc>
          <w:tcPr>
            <w:tcW w:type="dxa" w:w="2160"/>
          </w:tcPr>
          <w:p>
            <w:r>
              <w:rPr>
                <w:b/>
              </w:rPr>
              <w:t>Signature</w:t>
            </w:r>
          </w:p>
        </w:tc>
        <w:tc>
          <w:tcPr>
            <w:tcW w:type="dxa" w:w="2160"/>
          </w:tcPr>
          <w:p>
            <w:r>
              <w:rPr>
                <w:b/>
              </w:rPr>
              <w:t>Date</w:t>
            </w:r>
          </w:p>
        </w:tc>
      </w:tr>
      <w:tr>
        <w:tc>
          <w:tcPr>
            <w:tcW w:type="dxa" w:w="2160"/>
          </w:tcPr>
          <w:p>
            <w:r>
              <w:t>[TBD]</w:t>
            </w:r>
          </w:p>
        </w:tc>
        <w:tc>
          <w:tcPr>
            <w:tcW w:type="dxa" w:w="2160"/>
          </w:tcPr>
          <w:p>
            <w:r>
              <w:t>Procurement Lead</w:t>
            </w:r>
          </w:p>
        </w:tc>
        <w:tc>
          <w:tcPr>
            <w:tcW w:type="dxa" w:w="2160"/>
          </w:tcPr>
          <w:p>
            <w:r/>
          </w:p>
        </w:tc>
        <w:tc>
          <w:tcPr>
            <w:tcW w:type="dxa" w:w="2160"/>
          </w:tcPr>
          <w:p>
            <w:r/>
          </w:p>
        </w:tc>
      </w:tr>
      <w:tr>
        <w:tc>
          <w:tcPr>
            <w:tcW w:type="dxa" w:w="2160"/>
          </w:tcPr>
          <w:p>
            <w:r>
              <w:t>[TBD]</w:t>
            </w:r>
          </w:p>
        </w:tc>
        <w:tc>
          <w:tcPr>
            <w:tcW w:type="dxa" w:w="2160"/>
          </w:tcPr>
          <w:p>
            <w:r>
              <w:t>Solution Architect</w:t>
            </w:r>
          </w:p>
        </w:tc>
        <w:tc>
          <w:tcPr>
            <w:tcW w:type="dxa" w:w="2160"/>
          </w:tcPr>
          <w:p>
            <w:r/>
          </w:p>
        </w:tc>
        <w:tc>
          <w:tcPr>
            <w:tcW w:type="dxa" w:w="2160"/>
          </w:tcPr>
          <w:p>
            <w:r/>
          </w:p>
        </w:tc>
      </w:tr>
      <w:tr>
        <w:tc>
          <w:tcPr>
            <w:tcW w:type="dxa" w:w="2160"/>
          </w:tcPr>
          <w:p>
            <w:r>
              <w:t>[TBD]</w:t>
            </w:r>
          </w:p>
        </w:tc>
        <w:tc>
          <w:tcPr>
            <w:tcW w:type="dxa" w:w="2160"/>
          </w:tcPr>
          <w:p>
            <w:r>
              <w:t>CXO / Sponsor</w:t>
            </w:r>
          </w:p>
        </w:tc>
        <w:tc>
          <w:tcPr>
            <w:tcW w:type="dxa" w:w="2160"/>
          </w:tcPr>
          <w:p>
            <w:r/>
          </w:p>
        </w:tc>
        <w:tc>
          <w:tcPr>
            <w:tcW w:type="dxa" w:w="2160"/>
          </w:tcPr>
          <w:p>
            <w:r/>
          </w:p>
        </w:tc>
      </w:tr>
    </w:tbl>
    <w:p/>
    <w:p>
      <w:pPr>
        <w:pStyle w:val="Heading1"/>
      </w:pPr>
      <w:r>
        <w:rPr>
          <w:color w:val="003366"/>
        </w:rPr>
        <w:t>ARB Feedback</w:t>
      </w:r>
    </w:p>
    <w:p>
      <w:r>
        <w:t>[To be populated after ARB review session.]</w:t>
      </w:r>
    </w:p>
    <w:p/>
    <w:p>
      <w:pPr>
        <w:pStyle w:val="Heading1"/>
      </w:pPr>
      <w:r>
        <w:rPr>
          <w:color w:val="003366"/>
        </w:rPr>
        <w:t>1. Background and Business Vision</w:t>
      </w:r>
    </w:p>
    <w:p>
      <w:pPr>
        <w:pStyle w:val="Heading2"/>
      </w:pPr>
      <w:r>
        <w:t>1.1 Solution Name &amp; Brief</w:t>
      </w:r>
    </w:p>
    <w:p>
      <w:r>
        <w:t>Solution Name: KPMG IntelliSource (also referred to as IntelliFlow in development artefacts).</w:t>
        <w:br/>
        <w:br/>
        <w:t>IntelliSource is an internal Procure-to-Pay (P2P) intelligence and analytics platform built for KPMG. It ingests SAP procurement data (Purchase Requisitions, Purchase Orders, Goods Receipts, Invoices, Payments, Vendor Master, and Change Logs) via structured CSV uploads, computes 90+ pre-defined KPIs across five dashboards (Procurement, Financial, Vendor, Leadership, Utilization), detects procurement anomalies in real-time, and exposes an AI-powered natural-language assistant for ad-hoc queries against live data.</w:t>
      </w:r>
    </w:p>
    <w:p>
      <w:pPr>
        <w:pStyle w:val="Heading2"/>
      </w:pPr>
      <w:r>
        <w:t>1.2 Business Problem / Opportunity</w:t>
      </w:r>
    </w:p>
    <w:p>
      <w:r>
        <w:t>KPMG procurement teams currently rely on manual SAP report extracts to assess P2P performance. This creates several operational gaps:</w:t>
        <w:br/>
        <w:br/>
        <w:t>• No unified, real-time visibility into the end-to-end P2P lifecycle (PR → PO → GRN → Invoice → Payment).</w:t>
        <w:br/>
        <w:t>• Anomaly detection (maverick buys, duplicate invoices, split POs, price deviations, GRN mismatches) is reactive — issues surface only in audits or month-end reviews.</w:t>
        <w:br/>
        <w:t>• Vendor performance, delivery compliance, and spend concentration are tracked in disconnected spreadsheets.</w:t>
        <w:br/>
        <w:t>• Leadership lacks a consolidated view of CAPEX vs OPEX spend, budget utilisation, and approval cycle times.</w:t>
        <w:br/>
        <w:t>• There is no natural-language interface for procurement officers to interrogate the data without SQL expertise.</w:t>
      </w:r>
    </w:p>
    <w:p>
      <w:pPr>
        <w:pStyle w:val="Heading2"/>
      </w:pPr>
      <w:r>
        <w:t>1.3 Business Motivation and Justification</w:t>
      </w:r>
    </w:p>
    <w:p>
      <w:r>
        <w:t>IntelliSource addresses the above gaps by:</w:t>
        <w:br/>
        <w:br/>
        <w:t>• Reducing procurement reporting effort from days to seconds via pre-computed, auto-refreshing KPIs.</w:t>
        <w:br/>
        <w:t>• Enabling proactive anomaly resolution — Procurement Managers are alerted to high-risk POs (deletion anomalies, maverick buys, three-way mismatches) before month-close.</w:t>
        <w:br/>
        <w:t>• Providing a single source of truth across 3 company codes (1001, 1002, 1003) with company-level drill-down.</w:t>
        <w:br/>
        <w:t>• Empowering leadership with real-time CAPEX/OPEX split, budget vs. actuals, and vendor risk heatmaps.</w:t>
        <w:br/>
        <w:t>• Reducing dependency on SAP report specialists through an AI assistant that interprets natural-language procurement questions against the live PostgreSQL database.</w:t>
        <w:br/>
        <w:br/>
        <w:t>The platform directly supports KPMG's internal efficiency agenda and procurement compliance objectives.</w:t>
      </w:r>
    </w:p>
    <w:p>
      <w:pPr>
        <w:pStyle w:val="Heading2"/>
      </w:pPr>
      <w:r>
        <w:t>1.4 End User</w:t>
      </w:r>
    </w:p>
    <w:p>
      <w:r>
        <w:t>KPMG Internal Employees — specifically procurement, finance, compliance, and leadership roles.</w:t>
        <w:br/>
        <w:br/>
        <w:t>Roles supported: Procurement Manager, Delivery Manager, Finance User, Compliance Officer, CXO, Admin, Leadership, Partner, Consultant, Manager, Director, Associate Director.</w:t>
      </w:r>
    </w:p>
    <w:p>
      <w:pPr>
        <w:pStyle w:val="Heading2"/>
      </w:pPr>
      <w:r>
        <w:t>1.5 Key Stakeholders</w:t>
      </w:r>
    </w:p>
    <w:tbl>
      <w:tblPr>
        <w:tblStyle w:val="TableGrid"/>
        <w:tblW w:type="auto" w:w="0"/>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Person/Team Name</w:t>
            </w:r>
          </w:p>
        </w:tc>
      </w:tr>
      <w:tr>
        <w:tc>
          <w:tcPr>
            <w:tcW w:type="dxa" w:w="4320"/>
          </w:tcPr>
          <w:p>
            <w:r>
              <w:t>Business Analyst</w:t>
            </w:r>
          </w:p>
        </w:tc>
        <w:tc>
          <w:tcPr>
            <w:tcW w:type="dxa" w:w="4320"/>
          </w:tcPr>
          <w:p>
            <w:r>
              <w:t>Aryan Sharma</w:t>
            </w:r>
          </w:p>
        </w:tc>
      </w:tr>
      <w:tr>
        <w:tc>
          <w:tcPr>
            <w:tcW w:type="dxa" w:w="4320"/>
          </w:tcPr>
          <w:p>
            <w:r>
              <w:t>Business Owner</w:t>
            </w:r>
          </w:p>
        </w:tc>
        <w:tc>
          <w:tcPr>
            <w:tcW w:type="dxa" w:w="4320"/>
          </w:tcPr>
          <w:p>
            <w:r>
              <w:t>[KPMG Procurement Lead — TBD]</w:t>
            </w:r>
          </w:p>
        </w:tc>
      </w:tr>
      <w:tr>
        <w:tc>
          <w:tcPr>
            <w:tcW w:type="dxa" w:w="4320"/>
          </w:tcPr>
          <w:p>
            <w:r>
              <w:t>Solution Architect</w:t>
            </w:r>
          </w:p>
        </w:tc>
        <w:tc>
          <w:tcPr>
            <w:tcW w:type="dxa" w:w="4320"/>
          </w:tcPr>
          <w:p>
            <w:r>
              <w:t>Aryan Sharma</w:t>
            </w:r>
          </w:p>
        </w:tc>
      </w:tr>
      <w:tr>
        <w:tc>
          <w:tcPr>
            <w:tcW w:type="dxa" w:w="4320"/>
          </w:tcPr>
          <w:p>
            <w:r>
              <w:t>Team Lead / Delivery Manager / BRM</w:t>
            </w:r>
          </w:p>
        </w:tc>
        <w:tc>
          <w:tcPr>
            <w:tcW w:type="dxa" w:w="4320"/>
          </w:tcPr>
          <w:p>
            <w:r>
              <w:t>[TBD]</w:t>
            </w:r>
          </w:p>
        </w:tc>
      </w:tr>
    </w:tbl>
    <w:p/>
    <w:p>
      <w:pPr>
        <w:pStyle w:val="Heading2"/>
      </w:pPr>
      <w:r>
        <w:t>1.6 Project Summary</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Details</w:t>
            </w:r>
          </w:p>
        </w:tc>
      </w:tr>
      <w:tr>
        <w:tc>
          <w:tcPr>
            <w:tcW w:type="dxa" w:w="4320"/>
          </w:tcPr>
          <w:p>
            <w:r>
              <w:t>Project Name &amp; Number</w:t>
            </w:r>
          </w:p>
        </w:tc>
        <w:tc>
          <w:tcPr>
            <w:tcW w:type="dxa" w:w="4320"/>
          </w:tcPr>
          <w:p>
            <w:r>
              <w:t>KPMG IntelliSource – P2P Intelligence Platform (Jira / internal tracker)</w:t>
            </w:r>
          </w:p>
        </w:tc>
      </w:tr>
      <w:tr>
        <w:tc>
          <w:tcPr>
            <w:tcW w:type="dxa" w:w="4320"/>
          </w:tcPr>
          <w:p>
            <w:r>
              <w:t>Project Phase</w:t>
            </w:r>
          </w:p>
        </w:tc>
        <w:tc>
          <w:tcPr>
            <w:tcW w:type="dxa" w:w="4320"/>
          </w:tcPr>
          <w:p>
            <w:r>
              <w:t>Initiation / Planning and Analysis</w:t>
            </w:r>
          </w:p>
        </w:tc>
      </w:tr>
      <w:tr>
        <w:tc>
          <w:tcPr>
            <w:tcW w:type="dxa" w:w="4320"/>
          </w:tcPr>
          <w:p>
            <w:r>
              <w:t>Project Delivery Approach</w:t>
            </w:r>
          </w:p>
        </w:tc>
        <w:tc>
          <w:tcPr>
            <w:tcW w:type="dxa" w:w="4320"/>
          </w:tcPr>
          <w:p>
            <w:r>
              <w:t>Agile (iterative sprint-based delivery)</w:t>
            </w:r>
          </w:p>
        </w:tc>
      </w:tr>
      <w:tr>
        <w:tc>
          <w:tcPr>
            <w:tcW w:type="dxa" w:w="4320"/>
          </w:tcPr>
          <w:p>
            <w:r>
              <w:t>Project Manager / Product Owner</w:t>
            </w:r>
          </w:p>
        </w:tc>
        <w:tc>
          <w:tcPr>
            <w:tcW w:type="dxa" w:w="4320"/>
          </w:tcPr>
          <w:p>
            <w:r>
              <w:t>Aryan Sharma</w:t>
            </w:r>
          </w:p>
        </w:tc>
      </w:tr>
    </w:tbl>
    <w:p/>
    <w:p>
      <w:pPr>
        <w:pStyle w:val="Heading1"/>
      </w:pPr>
      <w:r>
        <w:rPr>
          <w:color w:val="003366"/>
        </w:rPr>
        <w:t>2. Strategic Focus Areas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Strategic Focus Area</w:t>
            </w:r>
          </w:p>
        </w:tc>
        <w:tc>
          <w:tcPr>
            <w:tcW w:type="dxa" w:w="2880"/>
          </w:tcPr>
          <w:p>
            <w:r>
              <w:rPr>
                <w:b/>
              </w:rPr>
              <w:t>Applicable</w:t>
            </w:r>
          </w:p>
        </w:tc>
        <w:tc>
          <w:tcPr>
            <w:tcW w:type="dxa" w:w="2880"/>
          </w:tcPr>
          <w:p>
            <w:r>
              <w:rPr>
                <w:b/>
              </w:rPr>
              <w:t>Justification</w:t>
            </w:r>
          </w:p>
        </w:tc>
      </w:tr>
      <w:tr>
        <w:tc>
          <w:tcPr>
            <w:tcW w:type="dxa" w:w="2880"/>
          </w:tcPr>
          <w:p>
            <w:r>
              <w:t>Improve Operational Efficiencies</w:t>
            </w:r>
          </w:p>
        </w:tc>
        <w:tc>
          <w:tcPr>
            <w:tcW w:type="dxa" w:w="2880"/>
          </w:tcPr>
          <w:p>
            <w:r>
              <w:t>✓</w:t>
            </w:r>
          </w:p>
        </w:tc>
        <w:tc>
          <w:tcPr>
            <w:tcW w:type="dxa" w:w="2880"/>
          </w:tcPr>
          <w:p>
            <w:r>
              <w:t>Automates manual SAP reporting; reduces PR-to-PO and GRN cycle tracking effort by ~80%.</w:t>
            </w:r>
          </w:p>
        </w:tc>
      </w:tr>
      <w:tr>
        <w:tc>
          <w:tcPr>
            <w:tcW w:type="dxa" w:w="2880"/>
          </w:tcPr>
          <w:p>
            <w:r>
              <w:t>Enable Future Vision</w:t>
            </w:r>
          </w:p>
        </w:tc>
        <w:tc>
          <w:tcPr>
            <w:tcW w:type="dxa" w:w="2880"/>
          </w:tcPr>
          <w:p>
            <w:r>
              <w:t>✓</w:t>
            </w:r>
          </w:p>
        </w:tc>
        <w:tc>
          <w:tcPr>
            <w:tcW w:type="dxa" w:w="2880"/>
          </w:tcPr>
          <w:p>
            <w:r>
              <w:t>AI assistant layer positions platform for GenAI-driven procurement copilot roadmap.</w:t>
            </w:r>
          </w:p>
        </w:tc>
      </w:tr>
      <w:tr>
        <w:tc>
          <w:tcPr>
            <w:tcW w:type="dxa" w:w="2880"/>
          </w:tcPr>
          <w:p>
            <w:r>
              <w:t>Enable New Business</w:t>
            </w:r>
          </w:p>
        </w:tc>
        <w:tc>
          <w:tcPr>
            <w:tcW w:type="dxa" w:w="2880"/>
          </w:tcPr>
          <w:p>
            <w:r>
              <w:t>✗</w:t>
            </w:r>
          </w:p>
        </w:tc>
        <w:tc>
          <w:tcPr>
            <w:tcW w:type="dxa" w:w="2880"/>
          </w:tcPr>
          <w:p>
            <w:r>
              <w:t>Internal productivity tool; does not open new revenue or client engagement channels.</w:t>
            </w:r>
          </w:p>
        </w:tc>
      </w:tr>
      <w:tr>
        <w:tc>
          <w:tcPr>
            <w:tcW w:type="dxa" w:w="2880"/>
          </w:tcPr>
          <w:p>
            <w:r>
              <w:t>Legal or Regulatory Compliance</w:t>
            </w:r>
          </w:p>
        </w:tc>
        <w:tc>
          <w:tcPr>
            <w:tcW w:type="dxa" w:w="2880"/>
          </w:tcPr>
          <w:p>
            <w:r>
              <w:t>✓</w:t>
            </w:r>
          </w:p>
        </w:tc>
        <w:tc>
          <w:tcPr>
            <w:tcW w:type="dxa" w:w="2880"/>
          </w:tcPr>
          <w:p>
            <w:r>
              <w:t>Tracks MSME vendor compliance, GRN-before-payment rules, and full audit trail per KPMG policy.</w:t>
            </w:r>
          </w:p>
        </w:tc>
      </w:tr>
      <w:tr>
        <w:tc>
          <w:tcPr>
            <w:tcW w:type="dxa" w:w="2880"/>
          </w:tcPr>
          <w:p>
            <w:r>
              <w:t>Technological Sustainability</w:t>
            </w:r>
          </w:p>
        </w:tc>
        <w:tc>
          <w:tcPr>
            <w:tcW w:type="dxa" w:w="2880"/>
          </w:tcPr>
          <w:p>
            <w:r>
              <w:t>✓</w:t>
            </w:r>
          </w:p>
        </w:tc>
        <w:tc>
          <w:tcPr>
            <w:tcW w:type="dxa" w:w="2880"/>
          </w:tcPr>
          <w:p>
            <w:r>
              <w:t>Built on open-standard stack (Python, PostgreSQL, React); no proprietary lock-in.</w:t>
            </w:r>
          </w:p>
        </w:tc>
      </w:tr>
      <w:tr>
        <w:tc>
          <w:tcPr>
            <w:tcW w:type="dxa" w:w="2880"/>
          </w:tcPr>
          <w:p>
            <w:r>
              <w:t>Cost Savings</w:t>
            </w:r>
          </w:p>
        </w:tc>
        <w:tc>
          <w:tcPr>
            <w:tcW w:type="dxa" w:w="2880"/>
          </w:tcPr>
          <w:p>
            <w:r>
              <w:t>✓</w:t>
            </w:r>
          </w:p>
        </w:tc>
        <w:tc>
          <w:tcPr>
            <w:tcW w:type="dxa" w:w="2880"/>
          </w:tcPr>
          <w:p>
            <w:r>
              <w:t>Reduces manual reporting, audit-finding remediation costs, and maverick buying losses.</w:t>
            </w:r>
          </w:p>
        </w:tc>
      </w:tr>
      <w:tr>
        <w:tc>
          <w:tcPr>
            <w:tcW w:type="dxa" w:w="2880"/>
          </w:tcPr>
          <w:p>
            <w:r>
              <w:t>Enable New / Alternative Revenue</w:t>
            </w:r>
          </w:p>
        </w:tc>
        <w:tc>
          <w:tcPr>
            <w:tcW w:type="dxa" w:w="2880"/>
          </w:tcPr>
          <w:p>
            <w:r>
              <w:t>✗</w:t>
            </w:r>
          </w:p>
        </w:tc>
        <w:tc>
          <w:tcPr>
            <w:tcW w:type="dxa" w:w="2880"/>
          </w:tcPr>
          <w:p>
            <w:r>
              <w:t>N/A — internal tool only.</w:t>
            </w:r>
          </w:p>
        </w:tc>
      </w:tr>
      <w:tr>
        <w:tc>
          <w:tcPr>
            <w:tcW w:type="dxa" w:w="2880"/>
          </w:tcPr>
          <w:p>
            <w:r>
              <w:t>Enable New / Future Business Channels</w:t>
            </w:r>
          </w:p>
        </w:tc>
        <w:tc>
          <w:tcPr>
            <w:tcW w:type="dxa" w:w="2880"/>
          </w:tcPr>
          <w:p>
            <w:r>
              <w:t>✗</w:t>
            </w:r>
          </w:p>
        </w:tc>
        <w:tc>
          <w:tcPr>
            <w:tcW w:type="dxa" w:w="2880"/>
          </w:tcPr>
          <w:p>
            <w:r>
              <w:t>N/A.</w:t>
            </w:r>
          </w:p>
        </w:tc>
      </w:tr>
    </w:tbl>
    <w:p/>
    <w:p>
      <w:pPr>
        <w:pStyle w:val="Heading1"/>
      </w:pPr>
      <w:r>
        <w:rPr>
          <w:color w:val="003366"/>
        </w:rPr>
        <w:t>3. Countries / Locations Impacted</w:t>
      </w:r>
    </w:p>
    <w:tbl>
      <w:tblPr>
        <w:tblStyle w:val="TableGrid"/>
        <w:tblW w:type="auto" w:w="0"/>
        <w:tblLook w:firstColumn="1" w:firstRow="1" w:lastColumn="0" w:lastRow="0" w:noHBand="0" w:noVBand="1" w:val="04A0"/>
      </w:tblPr>
      <w:tblGrid>
        <w:gridCol w:w="4320"/>
        <w:gridCol w:w="4320"/>
      </w:tblGrid>
      <w:tr>
        <w:tc>
          <w:tcPr>
            <w:tcW w:type="dxa" w:w="4320"/>
          </w:tcPr>
          <w:p>
            <w:r>
              <w:rPr>
                <w:b/>
              </w:rPr>
              <w:t>Location</w:t>
            </w:r>
          </w:p>
        </w:tc>
        <w:tc>
          <w:tcPr>
            <w:tcW w:type="dxa" w:w="4320"/>
          </w:tcPr>
          <w:p>
            <w:r>
              <w:rPr>
                <w:b/>
              </w:rPr>
              <w:t>Impacted</w:t>
            </w:r>
          </w:p>
        </w:tc>
      </w:tr>
      <w:tr>
        <w:tc>
          <w:tcPr>
            <w:tcW w:type="dxa" w:w="4320"/>
          </w:tcPr>
          <w:p>
            <w:r>
              <w:t>KPMG – India – Bangalore</w:t>
            </w:r>
          </w:p>
        </w:tc>
        <w:tc>
          <w:tcPr>
            <w:tcW w:type="dxa" w:w="4320"/>
          </w:tcPr>
          <w:p>
            <w:r>
              <w:t>✓</w:t>
            </w:r>
          </w:p>
        </w:tc>
      </w:tr>
      <w:tr>
        <w:tc>
          <w:tcPr>
            <w:tcW w:type="dxa" w:w="4320"/>
          </w:tcPr>
          <w:p>
            <w:r>
              <w:t>KPMG – India – Gurgaon</w:t>
            </w:r>
          </w:p>
        </w:tc>
        <w:tc>
          <w:tcPr>
            <w:tcW w:type="dxa" w:w="4320"/>
          </w:tcPr>
          <w:p>
            <w:r>
              <w:t>✓</w:t>
            </w:r>
          </w:p>
        </w:tc>
      </w:tr>
      <w:tr>
        <w:tc>
          <w:tcPr>
            <w:tcW w:type="dxa" w:w="4320"/>
          </w:tcPr>
          <w:p>
            <w:r>
              <w:t>KGS – India</w:t>
            </w:r>
          </w:p>
        </w:tc>
        <w:tc>
          <w:tcPr>
            <w:tcW w:type="dxa" w:w="4320"/>
          </w:tcPr>
          <w:p>
            <w:r>
              <w:t>✓</w:t>
            </w:r>
          </w:p>
        </w:tc>
      </w:tr>
      <w:tr>
        <w:tc>
          <w:tcPr>
            <w:tcW w:type="dxa" w:w="4320"/>
          </w:tcPr>
          <w:p>
            <w:r>
              <w:t>KPMG – IGS</w:t>
            </w:r>
          </w:p>
        </w:tc>
        <w:tc>
          <w:tcPr>
            <w:tcW w:type="dxa" w:w="4320"/>
          </w:tcPr>
          <w:p>
            <w:r>
              <w:t>✗</w:t>
            </w:r>
          </w:p>
        </w:tc>
      </w:tr>
      <w:tr>
        <w:tc>
          <w:tcPr>
            <w:tcW w:type="dxa" w:w="4320"/>
          </w:tcPr>
          <w:p>
            <w:r>
              <w:t>KPMG – India – Hyderabad</w:t>
            </w:r>
          </w:p>
        </w:tc>
        <w:tc>
          <w:tcPr>
            <w:tcW w:type="dxa" w:w="4320"/>
          </w:tcPr>
          <w:p>
            <w:r>
              <w:t>✗</w:t>
            </w:r>
          </w:p>
        </w:tc>
      </w:tr>
      <w:tr>
        <w:tc>
          <w:tcPr>
            <w:tcW w:type="dxa" w:w="4320"/>
          </w:tcPr>
          <w:p>
            <w:r>
              <w:t>KPMG – South Africa</w:t>
            </w:r>
          </w:p>
        </w:tc>
        <w:tc>
          <w:tcPr>
            <w:tcW w:type="dxa" w:w="4320"/>
          </w:tcPr>
          <w:p>
            <w:r>
              <w:t>✗</w:t>
            </w:r>
          </w:p>
        </w:tc>
      </w:tr>
      <w:tr>
        <w:tc>
          <w:tcPr>
            <w:tcW w:type="dxa" w:w="4320"/>
          </w:tcPr>
          <w:p>
            <w:r>
              <w:t>KPMG – Germany</w:t>
            </w:r>
          </w:p>
        </w:tc>
        <w:tc>
          <w:tcPr>
            <w:tcW w:type="dxa" w:w="4320"/>
          </w:tcPr>
          <w:p>
            <w:r>
              <w:t>✗</w:t>
            </w:r>
          </w:p>
        </w:tc>
      </w:tr>
      <w:tr>
        <w:tc>
          <w:tcPr>
            <w:tcW w:type="dxa" w:w="4320"/>
          </w:tcPr>
          <w:p>
            <w:r>
              <w:t>KPMG – Canada</w:t>
            </w:r>
          </w:p>
        </w:tc>
        <w:tc>
          <w:tcPr>
            <w:tcW w:type="dxa" w:w="4320"/>
          </w:tcPr>
          <w:p>
            <w:r>
              <w:t>✗</w:t>
            </w:r>
          </w:p>
        </w:tc>
      </w:tr>
    </w:tbl>
    <w:p/>
    <w:p>
      <w:pPr>
        <w:pStyle w:val="Heading1"/>
      </w:pPr>
      <w:r>
        <w:rPr>
          <w:color w:val="003366"/>
        </w:rPr>
        <w:t>4. Channels Impacted</w:t>
      </w:r>
    </w:p>
    <w:tbl>
      <w:tblPr>
        <w:tblStyle w:val="TableGrid"/>
        <w:tblW w:type="auto" w:w="0"/>
        <w:tblLook w:firstColumn="1" w:firstRow="1" w:lastColumn="0" w:lastRow="0" w:noHBand="0" w:noVBand="1" w:val="04A0"/>
      </w:tblPr>
      <w:tblGrid>
        <w:gridCol w:w="4320"/>
        <w:gridCol w:w="4320"/>
      </w:tblGrid>
      <w:tr>
        <w:tc>
          <w:tcPr>
            <w:tcW w:type="dxa" w:w="4320"/>
          </w:tcPr>
          <w:p>
            <w:r>
              <w:rPr>
                <w:b/>
              </w:rPr>
              <w:t>Channel</w:t>
            </w:r>
          </w:p>
        </w:tc>
        <w:tc>
          <w:tcPr>
            <w:tcW w:type="dxa" w:w="4320"/>
          </w:tcPr>
          <w:p>
            <w:r>
              <w:rPr>
                <w:b/>
              </w:rPr>
              <w:t>Impacted</w:t>
            </w:r>
          </w:p>
        </w:tc>
      </w:tr>
      <w:tr>
        <w:tc>
          <w:tcPr>
            <w:tcW w:type="dxa" w:w="4320"/>
          </w:tcPr>
          <w:p>
            <w:r>
              <w:t>Web (browser SPA)</w:t>
            </w:r>
          </w:p>
        </w:tc>
        <w:tc>
          <w:tcPr>
            <w:tcW w:type="dxa" w:w="4320"/>
          </w:tcPr>
          <w:p>
            <w:r>
              <w:t>✓</w:t>
            </w:r>
          </w:p>
        </w:tc>
      </w:tr>
      <w:tr>
        <w:tc>
          <w:tcPr>
            <w:tcW w:type="dxa" w:w="4320"/>
          </w:tcPr>
          <w:p>
            <w:r>
              <w:t>Mobile (native)</w:t>
            </w:r>
          </w:p>
        </w:tc>
        <w:tc>
          <w:tcPr>
            <w:tcW w:type="dxa" w:w="4320"/>
          </w:tcPr>
          <w:p>
            <w:r>
              <w:t>✗</w:t>
            </w:r>
          </w:p>
        </w:tc>
      </w:tr>
      <w:tr>
        <w:tc>
          <w:tcPr>
            <w:tcW w:type="dxa" w:w="4320"/>
          </w:tcPr>
          <w:p>
            <w:r>
              <w:t>Desktop Application</w:t>
            </w:r>
          </w:p>
        </w:tc>
        <w:tc>
          <w:tcPr>
            <w:tcW w:type="dxa" w:w="4320"/>
          </w:tcPr>
          <w:p>
            <w:r>
              <w:t>✗</w:t>
            </w:r>
          </w:p>
        </w:tc>
      </w:tr>
      <w:tr>
        <w:tc>
          <w:tcPr>
            <w:tcW w:type="dxa" w:w="4320"/>
          </w:tcPr>
          <w:p>
            <w:r>
              <w:t>Email</w:t>
            </w:r>
          </w:p>
        </w:tc>
        <w:tc>
          <w:tcPr>
            <w:tcW w:type="dxa" w:w="4320"/>
          </w:tcPr>
          <w:p>
            <w:r>
              <w:t>✗</w:t>
            </w:r>
          </w:p>
        </w:tc>
      </w:tr>
      <w:tr>
        <w:tc>
          <w:tcPr>
            <w:tcW w:type="dxa" w:w="4320"/>
          </w:tcPr>
          <w:p>
            <w:r>
              <w:t>SMS</w:t>
            </w:r>
          </w:p>
        </w:tc>
        <w:tc>
          <w:tcPr>
            <w:tcW w:type="dxa" w:w="4320"/>
          </w:tcPr>
          <w:p>
            <w:r>
              <w:t>✗</w:t>
            </w:r>
          </w:p>
        </w:tc>
      </w:tr>
      <w:tr>
        <w:tc>
          <w:tcPr>
            <w:tcW w:type="dxa" w:w="4320"/>
          </w:tcPr>
          <w:p>
            <w:r>
              <w:t>WhatsApp</w:t>
            </w:r>
          </w:p>
        </w:tc>
        <w:tc>
          <w:tcPr>
            <w:tcW w:type="dxa" w:w="4320"/>
          </w:tcPr>
          <w:p>
            <w:r>
              <w:t>✗</w:t>
            </w:r>
          </w:p>
        </w:tc>
      </w:tr>
      <w:tr>
        <w:tc>
          <w:tcPr>
            <w:tcW w:type="dxa" w:w="4320"/>
          </w:tcPr>
          <w:p>
            <w:r>
              <w:t>Social Media</w:t>
            </w:r>
          </w:p>
        </w:tc>
        <w:tc>
          <w:tcPr>
            <w:tcW w:type="dxa" w:w="4320"/>
          </w:tcPr>
          <w:p>
            <w:r>
              <w:t>✗</w:t>
            </w:r>
          </w:p>
        </w:tc>
      </w:tr>
      <w:tr>
        <w:tc>
          <w:tcPr>
            <w:tcW w:type="dxa" w:w="4320"/>
          </w:tcPr>
          <w:p>
            <w:r>
              <w:t>Instant Messaging</w:t>
            </w:r>
          </w:p>
        </w:tc>
        <w:tc>
          <w:tcPr>
            <w:tcW w:type="dxa" w:w="4320"/>
          </w:tcPr>
          <w:p>
            <w:r>
              <w:t>✗</w:t>
            </w:r>
          </w:p>
        </w:tc>
      </w:tr>
      <w:tr>
        <w:tc>
          <w:tcPr>
            <w:tcW w:type="dxa" w:w="4320"/>
          </w:tcPr>
          <w:p>
            <w:r>
              <w:t>USSD</w:t>
            </w:r>
          </w:p>
        </w:tc>
        <w:tc>
          <w:tcPr>
            <w:tcW w:type="dxa" w:w="4320"/>
          </w:tcPr>
          <w:p>
            <w:r>
              <w:t>✗</w:t>
            </w:r>
          </w:p>
        </w:tc>
      </w:tr>
      <w:tr>
        <w:tc>
          <w:tcPr>
            <w:tcW w:type="dxa" w:w="4320"/>
          </w:tcPr>
          <w:p>
            <w:r>
              <w:t>Print Media</w:t>
            </w:r>
          </w:p>
        </w:tc>
        <w:tc>
          <w:tcPr>
            <w:tcW w:type="dxa" w:w="4320"/>
          </w:tcPr>
          <w:p>
            <w:r>
              <w:t>✗</w:t>
            </w:r>
          </w:p>
        </w:tc>
      </w:tr>
    </w:tbl>
    <w:p/>
    <w:p>
      <w:pPr>
        <w:pStyle w:val="Heading1"/>
      </w:pPr>
      <w:r>
        <w:rPr>
          <w:color w:val="003366"/>
        </w:rPr>
        <w:t>5. Opportunities and Solutions</w:t>
      </w:r>
    </w:p>
    <w:p>
      <w:pPr>
        <w:pStyle w:val="Heading2"/>
      </w:pPr>
      <w:r>
        <w:t>5.1 Solution Recommendation – Proposed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Solution Name</w:t>
            </w:r>
          </w:p>
        </w:tc>
        <w:tc>
          <w:tcPr>
            <w:tcW w:type="dxa" w:w="2880"/>
          </w:tcPr>
          <w:p>
            <w:r>
              <w:rPr>
                <w:b/>
              </w:rPr>
              <w:t>Recommended</w:t>
            </w:r>
          </w:p>
        </w:tc>
        <w:tc>
          <w:tcPr>
            <w:tcW w:type="dxa" w:w="2880"/>
          </w:tcPr>
          <w:p>
            <w:r>
              <w:rPr>
                <w:b/>
              </w:rPr>
              <w:t>Reason</w:t>
            </w:r>
          </w:p>
        </w:tc>
      </w:tr>
      <w:tr>
        <w:tc>
          <w:tcPr>
            <w:tcW w:type="dxa" w:w="2880"/>
          </w:tcPr>
          <w:p>
            <w:r>
              <w:t>IntelliSource — Custom In-House Build</w:t>
            </w:r>
          </w:p>
        </w:tc>
        <w:tc>
          <w:tcPr>
            <w:tcW w:type="dxa" w:w="2880"/>
          </w:tcPr>
          <w:p>
            <w:r>
              <w:t>✓</w:t>
            </w:r>
          </w:p>
        </w:tc>
        <w:tc>
          <w:tcPr>
            <w:tcW w:type="dxa" w:w="2880"/>
          </w:tcPr>
          <w:p>
            <w:r>
              <w:t>Best fit: existing SAP data model knowledge, KPMG-specific KPI definitions, and full data sovereignty. No off-the-shelf P2P analytics tool meets KPMG's proprietary 90-KPI framework or Indian compliance requirements.</w:t>
            </w:r>
          </w:p>
        </w:tc>
      </w:tr>
      <w:tr>
        <w:tc>
          <w:tcPr>
            <w:tcW w:type="dxa" w:w="2880"/>
          </w:tcPr>
          <w:p>
            <w:r>
              <w:t>SAP Analytics Cloud (SAC)</w:t>
            </w:r>
          </w:p>
        </w:tc>
        <w:tc>
          <w:tcPr>
            <w:tcW w:type="dxa" w:w="2880"/>
          </w:tcPr>
          <w:p>
            <w:r>
              <w:t>✗</w:t>
            </w:r>
          </w:p>
        </w:tc>
        <w:tc>
          <w:tcPr>
            <w:tcW w:type="dxa" w:w="2880"/>
          </w:tcPr>
          <w:p>
            <w:r>
              <w:t>Rejected: requires SAP licence uplift, long implementation timeline, and cannot support the custom anomaly detection + GenAI chat layer at acceptable cost.</w:t>
            </w:r>
          </w:p>
        </w:tc>
      </w:tr>
      <w:tr>
        <w:tc>
          <w:tcPr>
            <w:tcW w:type="dxa" w:w="2880"/>
          </w:tcPr>
          <w:p>
            <w:r>
              <w:t>PowerBI Embedded (standalone)</w:t>
            </w:r>
          </w:p>
        </w:tc>
        <w:tc>
          <w:tcPr>
            <w:tcW w:type="dxa" w:w="2880"/>
          </w:tcPr>
          <w:p>
            <w:r>
              <w:t>✗</w:t>
            </w:r>
          </w:p>
        </w:tc>
        <w:tc>
          <w:tcPr>
            <w:tcW w:type="dxa" w:w="2880"/>
          </w:tcPr>
          <w:p>
            <w:r>
              <w:t>Rejected: insufficient for multi-stage P2P lifecycle tracking, no server-side KPI engine, and no AI assistant.</w:t>
            </w:r>
          </w:p>
        </w:tc>
      </w:tr>
    </w:tbl>
    <w:p/>
    <w:p>
      <w:pPr>
        <w:pStyle w:val="Heading2"/>
      </w:pPr>
      <w:r>
        <w:t>5.2 Solution Acquisition Approach – Proposed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Acquisition Approach</w:t>
            </w:r>
          </w:p>
        </w:tc>
        <w:tc>
          <w:tcPr>
            <w:tcW w:type="dxa" w:w="2880"/>
          </w:tcPr>
          <w:p>
            <w:r>
              <w:rPr>
                <w:b/>
              </w:rPr>
              <w:t>Applicable</w:t>
            </w:r>
          </w:p>
        </w:tc>
        <w:tc>
          <w:tcPr>
            <w:tcW w:type="dxa" w:w="2880"/>
          </w:tcPr>
          <w:p>
            <w:r>
              <w:rPr>
                <w:b/>
              </w:rPr>
              <w:t>Solution Name</w:t>
            </w:r>
          </w:p>
        </w:tc>
      </w:tr>
      <w:tr>
        <w:tc>
          <w:tcPr>
            <w:tcW w:type="dxa" w:w="2880"/>
          </w:tcPr>
          <w:p>
            <w:r>
              <w:t>Build in-house IT solution</w:t>
            </w:r>
          </w:p>
        </w:tc>
        <w:tc>
          <w:tcPr>
            <w:tcW w:type="dxa" w:w="2880"/>
          </w:tcPr>
          <w:p>
            <w:r>
              <w:t>✓</w:t>
            </w:r>
          </w:p>
        </w:tc>
        <w:tc>
          <w:tcPr>
            <w:tcW w:type="dxa" w:w="2880"/>
          </w:tcPr>
          <w:p>
            <w:r>
              <w:t>KPMG IntelliSource</w:t>
            </w:r>
          </w:p>
        </w:tc>
      </w:tr>
      <w:tr>
        <w:tc>
          <w:tcPr>
            <w:tcW w:type="dxa" w:w="2880"/>
          </w:tcPr>
          <w:p>
            <w:r>
              <w:t>Modify existing in-house IT solution</w:t>
            </w:r>
          </w:p>
        </w:tc>
        <w:tc>
          <w:tcPr>
            <w:tcW w:type="dxa" w:w="2880"/>
          </w:tcPr>
          <w:p>
            <w:r>
              <w:t>✗</w:t>
            </w:r>
          </w:p>
        </w:tc>
        <w:tc>
          <w:tcPr>
            <w:tcW w:type="dxa" w:w="2880"/>
          </w:tcPr>
          <w:p>
            <w:r>
              <w:t>—</w:t>
            </w:r>
          </w:p>
        </w:tc>
      </w:tr>
      <w:tr>
        <w:tc>
          <w:tcPr>
            <w:tcW w:type="dxa" w:w="2880"/>
          </w:tcPr>
          <w:p>
            <w:r>
              <w:t>Build with 3rd party / external provider</w:t>
            </w:r>
          </w:p>
        </w:tc>
        <w:tc>
          <w:tcPr>
            <w:tcW w:type="dxa" w:w="2880"/>
          </w:tcPr>
          <w:p>
            <w:r>
              <w:t>✗</w:t>
            </w:r>
          </w:p>
        </w:tc>
        <w:tc>
          <w:tcPr>
            <w:tcW w:type="dxa" w:w="2880"/>
          </w:tcPr>
          <w:p>
            <w:r>
              <w:t>—</w:t>
            </w:r>
          </w:p>
        </w:tc>
      </w:tr>
      <w:tr>
        <w:tc>
          <w:tcPr>
            <w:tcW w:type="dxa" w:w="2880"/>
          </w:tcPr>
          <w:p>
            <w:r>
              <w:t>Upgrade existing technology</w:t>
            </w:r>
          </w:p>
        </w:tc>
        <w:tc>
          <w:tcPr>
            <w:tcW w:type="dxa" w:w="2880"/>
          </w:tcPr>
          <w:p>
            <w:r>
              <w:t>✗</w:t>
            </w:r>
          </w:p>
        </w:tc>
        <w:tc>
          <w:tcPr>
            <w:tcW w:type="dxa" w:w="2880"/>
          </w:tcPr>
          <w:p>
            <w:r>
              <w:t>—</w:t>
            </w:r>
          </w:p>
        </w:tc>
      </w:tr>
      <w:tr>
        <w:tc>
          <w:tcPr>
            <w:tcW w:type="dxa" w:w="2880"/>
          </w:tcPr>
          <w:p>
            <w:r>
              <w:t>Introduce new technology</w:t>
            </w:r>
          </w:p>
        </w:tc>
        <w:tc>
          <w:tcPr>
            <w:tcW w:type="dxa" w:w="2880"/>
          </w:tcPr>
          <w:p>
            <w:r>
              <w:t>✓</w:t>
            </w:r>
          </w:p>
        </w:tc>
        <w:tc>
          <w:tcPr>
            <w:tcW w:type="dxa" w:w="2880"/>
          </w:tcPr>
          <w:p>
            <w:r>
              <w:t>OpenRouter / GPT-4o AI layer</w:t>
            </w:r>
          </w:p>
        </w:tc>
      </w:tr>
      <w:tr>
        <w:tc>
          <w:tcPr>
            <w:tcW w:type="dxa" w:w="2880"/>
          </w:tcPr>
          <w:p>
            <w:r>
              <w:t>Modify component of the shelf</w:t>
            </w:r>
          </w:p>
        </w:tc>
        <w:tc>
          <w:tcPr>
            <w:tcW w:type="dxa" w:w="2880"/>
          </w:tcPr>
          <w:p>
            <w:r>
              <w:t>✗</w:t>
            </w:r>
          </w:p>
        </w:tc>
        <w:tc>
          <w:tcPr>
            <w:tcW w:type="dxa" w:w="2880"/>
          </w:tcPr>
          <w:p>
            <w:r>
              <w:t>—</w:t>
            </w:r>
          </w:p>
        </w:tc>
      </w:tr>
      <w:tr>
        <w:tc>
          <w:tcPr>
            <w:tcW w:type="dxa" w:w="2880"/>
          </w:tcPr>
          <w:p>
            <w:r>
              <w:t>Procure component of the shelf</w:t>
            </w:r>
          </w:p>
        </w:tc>
        <w:tc>
          <w:tcPr>
            <w:tcW w:type="dxa" w:w="2880"/>
          </w:tcPr>
          <w:p>
            <w:r>
              <w:t>✗</w:t>
            </w:r>
          </w:p>
        </w:tc>
        <w:tc>
          <w:tcPr>
            <w:tcW w:type="dxa" w:w="2880"/>
          </w:tcPr>
          <w:p>
            <w:r>
              <w:t>—</w:t>
            </w:r>
          </w:p>
        </w:tc>
      </w:tr>
      <w:tr>
        <w:tc>
          <w:tcPr>
            <w:tcW w:type="dxa" w:w="2880"/>
          </w:tcPr>
          <w:p>
            <w:r>
              <w:t>Research or POC</w:t>
            </w:r>
          </w:p>
        </w:tc>
        <w:tc>
          <w:tcPr>
            <w:tcW w:type="dxa" w:w="2880"/>
          </w:tcPr>
          <w:p>
            <w:r>
              <w:t>✗</w:t>
            </w:r>
          </w:p>
        </w:tc>
        <w:tc>
          <w:tcPr>
            <w:tcW w:type="dxa" w:w="2880"/>
          </w:tcPr>
          <w:p>
            <w:r>
              <w:t>—</w:t>
            </w:r>
          </w:p>
        </w:tc>
      </w:tr>
    </w:tbl>
    <w:p/>
    <w:p>
      <w:pPr>
        <w:pStyle w:val="Heading2"/>
      </w:pPr>
      <w:r>
        <w:t>5.3 Roadmap</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Phase</w:t>
            </w:r>
          </w:p>
        </w:tc>
        <w:tc>
          <w:tcPr>
            <w:tcW w:type="dxa" w:w="2160"/>
          </w:tcPr>
          <w:p>
            <w:r>
              <w:rPr>
                <w:b/>
              </w:rPr>
              <w:t>Description</w:t>
            </w:r>
          </w:p>
        </w:tc>
        <w:tc>
          <w:tcPr>
            <w:tcW w:type="dxa" w:w="2160"/>
          </w:tcPr>
          <w:p>
            <w:r>
              <w:rPr>
                <w:b/>
              </w:rPr>
              <w:t>Start</w:t>
            </w:r>
          </w:p>
        </w:tc>
        <w:tc>
          <w:tcPr>
            <w:tcW w:type="dxa" w:w="2160"/>
          </w:tcPr>
          <w:p>
            <w:r>
              <w:rPr>
                <w:b/>
              </w:rPr>
              <w:t>End</w:t>
            </w:r>
          </w:p>
        </w:tc>
      </w:tr>
      <w:tr>
        <w:tc>
          <w:tcPr>
            <w:tcW w:type="dxa" w:w="2160"/>
          </w:tcPr>
          <w:p>
            <w:r>
              <w:t>Baseline (Current)</w:t>
            </w:r>
          </w:p>
        </w:tc>
        <w:tc>
          <w:tcPr>
            <w:tcW w:type="dxa" w:w="2160"/>
          </w:tcPr>
          <w:p>
            <w:r>
              <w:t>SAP CSV upload + PostgreSQL schema + KPI engine + 5 dashboards deployed</w:t>
            </w:r>
          </w:p>
        </w:tc>
        <w:tc>
          <w:tcPr>
            <w:tcW w:type="dxa" w:w="2160"/>
          </w:tcPr>
          <w:p>
            <w:r>
              <w:t>Jan 2026</w:t>
            </w:r>
          </w:p>
        </w:tc>
        <w:tc>
          <w:tcPr>
            <w:tcW w:type="dxa" w:w="2160"/>
          </w:tcPr>
          <w:p>
            <w:r>
              <w:t>Jun 2026</w:t>
            </w:r>
          </w:p>
        </w:tc>
      </w:tr>
      <w:tr>
        <w:tc>
          <w:tcPr>
            <w:tcW w:type="dxa" w:w="2160"/>
          </w:tcPr>
          <w:p>
            <w:r>
              <w:t>Transition 1</w:t>
            </w:r>
          </w:p>
        </w:tc>
        <w:tc>
          <w:tcPr>
            <w:tcW w:type="dxa" w:w="2160"/>
          </w:tcPr>
          <w:p>
            <w:r>
              <w:t>Role-gated views, AI assistant, anomaly alerting, PDF export</w:t>
            </w:r>
          </w:p>
        </w:tc>
        <w:tc>
          <w:tcPr>
            <w:tcW w:type="dxa" w:w="2160"/>
          </w:tcPr>
          <w:p>
            <w:r>
              <w:t>Jul 2026</w:t>
            </w:r>
          </w:p>
        </w:tc>
        <w:tc>
          <w:tcPr>
            <w:tcW w:type="dxa" w:w="2160"/>
          </w:tcPr>
          <w:p>
            <w:r>
              <w:t>Sep 2026</w:t>
            </w:r>
          </w:p>
        </w:tc>
      </w:tr>
      <w:tr>
        <w:tc>
          <w:tcPr>
            <w:tcW w:type="dxa" w:w="2160"/>
          </w:tcPr>
          <w:p>
            <w:r>
              <w:t>Target Architecture</w:t>
            </w:r>
          </w:p>
        </w:tc>
        <w:tc>
          <w:tcPr>
            <w:tcW w:type="dxa" w:w="2160"/>
          </w:tcPr>
          <w:p>
            <w:r>
              <w:t>Real-time SAP BAPI integration, mobile-responsive UI, KPMG SSO (Azure AD)</w:t>
            </w:r>
          </w:p>
        </w:tc>
        <w:tc>
          <w:tcPr>
            <w:tcW w:type="dxa" w:w="2160"/>
          </w:tcPr>
          <w:p>
            <w:r>
              <w:t>Oct 2026</w:t>
            </w:r>
          </w:p>
        </w:tc>
        <w:tc>
          <w:tcPr>
            <w:tcW w:type="dxa" w:w="2160"/>
          </w:tcPr>
          <w:p>
            <w:r>
              <w:t>Mar 2027</w:t>
            </w:r>
          </w:p>
        </w:tc>
      </w:tr>
    </w:tbl>
    <w:p/>
    <w:p>
      <w:pPr>
        <w:pStyle w:val="Heading1"/>
      </w:pPr>
      <w:r>
        <w:rPr>
          <w:color w:val="003366"/>
        </w:rPr>
        <w:t>6. Solution Architecture</w:t>
      </w:r>
    </w:p>
    <w:p>
      <w:pPr>
        <w:pStyle w:val="Heading2"/>
      </w:pPr>
      <w:r>
        <w:t>6.1 Architecture Attributes</w:t>
      </w:r>
    </w:p>
    <w:tbl>
      <w:tblPr>
        <w:tblStyle w:val="TableGrid"/>
        <w:tblW w:type="auto" w:w="0"/>
        <w:tblLook w:firstColumn="1" w:firstRow="1" w:lastColumn="0" w:lastRow="0" w:noHBand="0" w:noVBand="1" w:val="04A0"/>
      </w:tblPr>
      <w:tblGrid>
        <w:gridCol w:w="4320"/>
        <w:gridCol w:w="4320"/>
      </w:tblGrid>
      <w:tr>
        <w:tc>
          <w:tcPr>
            <w:tcW w:type="dxa" w:w="4320"/>
          </w:tcPr>
          <w:p>
            <w:r>
              <w:rPr>
                <w:b/>
              </w:rPr>
              <w:t>Attribute</w:t>
            </w:r>
          </w:p>
        </w:tc>
        <w:tc>
          <w:tcPr>
            <w:tcW w:type="dxa" w:w="4320"/>
          </w:tcPr>
          <w:p>
            <w:r>
              <w:rPr>
                <w:b/>
              </w:rPr>
              <w:t>Details</w:t>
            </w:r>
          </w:p>
        </w:tc>
      </w:tr>
      <w:tr>
        <w:tc>
          <w:tcPr>
            <w:tcW w:type="dxa" w:w="4320"/>
          </w:tcPr>
          <w:p>
            <w:r>
              <w:t>Application Classification</w:t>
            </w:r>
          </w:p>
        </w:tc>
        <w:tc>
          <w:tcPr>
            <w:tcW w:type="dxa" w:w="4320"/>
          </w:tcPr>
          <w:p>
            <w:r>
              <w:t>Supporting Technology Solution (internal analytics / intelligence platform)</w:t>
            </w:r>
          </w:p>
        </w:tc>
      </w:tr>
      <w:tr>
        <w:tc>
          <w:tcPr>
            <w:tcW w:type="dxa" w:w="4320"/>
          </w:tcPr>
          <w:p>
            <w:r>
              <w:t>Deployment / Hosting Model</w:t>
            </w:r>
          </w:p>
        </w:tc>
        <w:tc>
          <w:tcPr>
            <w:tcW w:type="dxa" w:w="4320"/>
          </w:tcPr>
          <w:p>
            <w:r>
              <w:t>Hybrid — Frontend SPA hosted on Vercel (cloud CDN); Backend FastAPI on on-premise / cloud VM; PostgreSQL on on-prem or managed cloud DB</w:t>
            </w:r>
          </w:p>
        </w:tc>
      </w:tr>
      <w:tr>
        <w:tc>
          <w:tcPr>
            <w:tcW w:type="dxa" w:w="4320"/>
          </w:tcPr>
          <w:p>
            <w:r>
              <w:t>Current Status</w:t>
            </w:r>
          </w:p>
        </w:tc>
        <w:tc>
          <w:tcPr>
            <w:tcW w:type="dxa" w:w="4320"/>
          </w:tcPr>
          <w:p>
            <w:r>
              <w:t>Live (pilot — internal KPMG use)</w:t>
            </w:r>
          </w:p>
        </w:tc>
      </w:tr>
      <w:tr>
        <w:tc>
          <w:tcPr>
            <w:tcW w:type="dxa" w:w="4320"/>
          </w:tcPr>
          <w:p>
            <w:r>
              <w:t>Future Approach</w:t>
            </w:r>
          </w:p>
        </w:tc>
        <w:tc>
          <w:tcPr>
            <w:tcW w:type="dxa" w:w="4320"/>
          </w:tcPr>
          <w:p>
            <w:r>
              <w:t>Keep and enhance — roadmap to integrate with Azure AD SSO and SAP BAPI</w:t>
            </w:r>
          </w:p>
        </w:tc>
      </w:tr>
      <w:tr>
        <w:tc>
          <w:tcPr>
            <w:tcW w:type="dxa" w:w="4320"/>
          </w:tcPr>
          <w:p>
            <w:r>
              <w:t>Strategic Alignment</w:t>
            </w:r>
          </w:p>
        </w:tc>
        <w:tc>
          <w:tcPr>
            <w:tcW w:type="dxa" w:w="4320"/>
          </w:tcPr>
          <w:p>
            <w:r>
              <w:t>Tactical (6–12 month horizon); roadmap transitions to Long Term with SSO and SAP integration</w:t>
            </w:r>
          </w:p>
        </w:tc>
      </w:tr>
      <w:tr>
        <w:tc>
          <w:tcPr>
            <w:tcW w:type="dxa" w:w="4320"/>
          </w:tcPr>
          <w:p>
            <w:r>
              <w:t>Business Critical Indicator</w:t>
            </w:r>
          </w:p>
        </w:tc>
        <w:tc>
          <w:tcPr>
            <w:tcW w:type="dxa" w:w="4320"/>
          </w:tcPr>
          <w:p>
            <w:r>
              <w:t>No — loss of service impacts internal reporting efficiency; no direct client-facing or revenue impact in current phase</w:t>
            </w:r>
          </w:p>
        </w:tc>
      </w:tr>
      <w:tr>
        <w:tc>
          <w:tcPr>
            <w:tcW w:type="dxa" w:w="4320"/>
          </w:tcPr>
          <w:p>
            <w:r>
              <w:t>Solution Criticality Tier</w:t>
            </w:r>
          </w:p>
        </w:tc>
        <w:tc>
          <w:tcPr>
            <w:tcW w:type="dxa" w:w="4320"/>
          </w:tcPr>
          <w:p>
            <w:r>
              <w:t>Medium (Gold/Silver) — operational inefficiency if unavailable; no immediate financial or reputational damage</w:t>
            </w:r>
          </w:p>
        </w:tc>
      </w:tr>
      <w:tr>
        <w:tc>
          <w:tcPr>
            <w:tcW w:type="dxa" w:w="4320"/>
          </w:tcPr>
          <w:p>
            <w:r>
              <w:t>Solution Continuity Tier</w:t>
            </w:r>
          </w:p>
        </w:tc>
        <w:tc>
          <w:tcPr>
            <w:tcW w:type="dxa" w:w="4320"/>
          </w:tcPr>
          <w:p>
            <w:r>
              <w:t>Non-Critical (Bronze) — RTO: 1–3 days; RPO: 1–3 days. Nightly PostgreSQL backup sufficient for current pilot phase.</w:t>
            </w:r>
          </w:p>
        </w:tc>
      </w:tr>
      <w:tr>
        <w:tc>
          <w:tcPr>
            <w:tcW w:type="dxa" w:w="4320"/>
          </w:tcPr>
          <w:p>
            <w:r>
              <w:t>DR Required</w:t>
            </w:r>
          </w:p>
        </w:tc>
        <w:tc>
          <w:tcPr>
            <w:tcW w:type="dxa" w:w="4320"/>
          </w:tcPr>
          <w:p>
            <w:r>
              <w:t>Not Required in pilot phase. Required (Warm) post Go-Live with full KPMG rollout.</w:t>
            </w:r>
          </w:p>
        </w:tc>
      </w:tr>
      <w:tr>
        <w:tc>
          <w:tcPr>
            <w:tcW w:type="dxa" w:w="4320"/>
          </w:tcPr>
          <w:p>
            <w:r>
              <w:t>DR Plan Available</w:t>
            </w:r>
          </w:p>
        </w:tc>
        <w:tc>
          <w:tcPr>
            <w:tcW w:type="dxa" w:w="4320"/>
          </w:tcPr>
          <w:p>
            <w:r>
              <w:t>No — to be developed for Production release</w:t>
            </w:r>
          </w:p>
        </w:tc>
      </w:tr>
    </w:tbl>
    <w:p/>
    <w:p>
      <w:pPr>
        <w:pStyle w:val="Heading1"/>
      </w:pPr>
      <w:r>
        <w:rPr>
          <w:color w:val="003366"/>
        </w:rPr>
        <w:t>7. Business Architecture</w:t>
      </w:r>
    </w:p>
    <w:p>
      <w:pPr>
        <w:pStyle w:val="Heading2"/>
      </w:pPr>
      <w:r>
        <w:t>7.1 Business Process — To-Be</w:t>
      </w:r>
    </w:p>
    <w:p>
      <w:r>
        <w:t>The To-Be P2P process flow after IntelliSource deployment:</w:t>
        <w:br/>
        <w:br/>
        <w:t>1. SAP Operator exports CSV data dumps (9 file types) from SAP ECC/S4HANA.</w:t>
        <w:br/>
        <w:t>2. Data Upload Specialist uploads CSVs via the IntelliSource Upload module.</w:t>
        <w:br/>
        <w:t>3. IntelliSource ETL validates, parses, and loads data into PostgreSQL (staging → fact tables).</w:t>
        <w:br/>
        <w:t>4. KPI Engine auto-computes 90+ KPIs and stores results in kpi_results table.</w:t>
        <w:br/>
        <w:t>5. Anomaly Engine classifies POs into risk variants (maverick, split, price-deviation, etc.).</w:t>
        <w:br/>
        <w:t>6. Procurement Manager reviews Procurement Dashboard — acts on anomaly alerts.</w:t>
        <w:br/>
        <w:t>7. Finance User reviews Financial Dashboard — monitors CAPEX/OPEX split and budget vs actuals.</w:t>
        <w:br/>
        <w:t>8. Compliance Officer reviews flagged POs, audit trail, and generates compliance reports.</w:t>
        <w:br/>
        <w:t>9. CXO / Leadership accesses Leadership Dashboard for executive KPI summary.</w:t>
        <w:br/>
        <w:t>10. Any user queries the AI Assistant (Ask IntelliSource) for ad-hoc natural-language analysis.</w:t>
        <w:br/>
        <w:br/>
        <w:t>[Swimlane BPMN diagram to be inserted separately as Figure 7.1]</w:t>
      </w:r>
    </w:p>
    <w:p>
      <w:pPr>
        <w:pStyle w:val="Heading2"/>
      </w:pPr>
      <w:r>
        <w:t>7.2 Business Domain / Firm Impacted</w:t>
      </w:r>
    </w:p>
    <w:tbl>
      <w:tblPr>
        <w:tblStyle w:val="TableGrid"/>
        <w:tblW w:type="auto" w:w="0"/>
        <w:tblLook w:firstColumn="1" w:firstRow="1" w:lastColumn="0" w:lastRow="0" w:noHBand="0" w:noVBand="1" w:val="04A0"/>
      </w:tblPr>
      <w:tblGrid>
        <w:gridCol w:w="4320"/>
        <w:gridCol w:w="4320"/>
      </w:tblGrid>
      <w:tr>
        <w:tc>
          <w:tcPr>
            <w:tcW w:type="dxa" w:w="4320"/>
          </w:tcPr>
          <w:p>
            <w:r>
              <w:rPr>
                <w:b/>
              </w:rPr>
              <w:t>Domain</w:t>
            </w:r>
          </w:p>
        </w:tc>
        <w:tc>
          <w:tcPr>
            <w:tcW w:type="dxa" w:w="4320"/>
          </w:tcPr>
          <w:p>
            <w:r>
              <w:rPr>
                <w:b/>
              </w:rPr>
              <w:t>Impacted</w:t>
            </w:r>
          </w:p>
        </w:tc>
      </w:tr>
      <w:tr>
        <w:tc>
          <w:tcPr>
            <w:tcW w:type="dxa" w:w="4320"/>
          </w:tcPr>
          <w:p>
            <w:r>
              <w:t>Corporate Functions (Procurement)</w:t>
            </w:r>
          </w:p>
        </w:tc>
        <w:tc>
          <w:tcPr>
            <w:tcW w:type="dxa" w:w="4320"/>
          </w:tcPr>
          <w:p>
            <w:r>
              <w:t>✓</w:t>
            </w:r>
          </w:p>
        </w:tc>
      </w:tr>
      <w:tr>
        <w:tc>
          <w:tcPr>
            <w:tcW w:type="dxa" w:w="4320"/>
          </w:tcPr>
          <w:p>
            <w:r>
              <w:t>Corporate Functions (Finance)</w:t>
            </w:r>
          </w:p>
        </w:tc>
        <w:tc>
          <w:tcPr>
            <w:tcW w:type="dxa" w:w="4320"/>
          </w:tcPr>
          <w:p>
            <w:r>
              <w:t>✓</w:t>
            </w:r>
          </w:p>
        </w:tc>
      </w:tr>
      <w:tr>
        <w:tc>
          <w:tcPr>
            <w:tcW w:type="dxa" w:w="4320"/>
          </w:tcPr>
          <w:p>
            <w:r>
              <w:t>Information Technology Division</w:t>
            </w:r>
          </w:p>
        </w:tc>
        <w:tc>
          <w:tcPr>
            <w:tcW w:type="dxa" w:w="4320"/>
          </w:tcPr>
          <w:p>
            <w:r>
              <w:t>✓</w:t>
            </w:r>
          </w:p>
        </w:tc>
      </w:tr>
      <w:tr>
        <w:tc>
          <w:tcPr>
            <w:tcW w:type="dxa" w:w="4320"/>
          </w:tcPr>
          <w:p>
            <w:r>
              <w:t>Tax</w:t>
            </w:r>
          </w:p>
        </w:tc>
        <w:tc>
          <w:tcPr>
            <w:tcW w:type="dxa" w:w="4320"/>
          </w:tcPr>
          <w:p>
            <w:r>
              <w:t>✗</w:t>
            </w:r>
          </w:p>
        </w:tc>
      </w:tr>
      <w:tr>
        <w:tc>
          <w:tcPr>
            <w:tcW w:type="dxa" w:w="4320"/>
          </w:tcPr>
          <w:p>
            <w:r>
              <w:t>Advisory</w:t>
            </w:r>
          </w:p>
        </w:tc>
        <w:tc>
          <w:tcPr>
            <w:tcW w:type="dxa" w:w="4320"/>
          </w:tcPr>
          <w:p>
            <w:r>
              <w:t>✗</w:t>
            </w:r>
          </w:p>
        </w:tc>
      </w:tr>
    </w:tbl>
    <w:p/>
    <w:p>
      <w:pPr>
        <w:pStyle w:val="Heading1"/>
      </w:pPr>
      <w:r>
        <w:rPr>
          <w:color w:val="003366"/>
        </w:rPr>
        <w:t>8. Functional Requirements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Req ID</w:t>
            </w:r>
          </w:p>
        </w:tc>
        <w:tc>
          <w:tcPr>
            <w:tcW w:type="dxa" w:w="2160"/>
          </w:tcPr>
          <w:p>
            <w:r>
              <w:rPr>
                <w:b/>
              </w:rPr>
              <w:t>Requirement Name</w:t>
            </w:r>
          </w:p>
        </w:tc>
        <w:tc>
          <w:tcPr>
            <w:tcW w:type="dxa" w:w="2160"/>
          </w:tcPr>
          <w:p>
            <w:r>
              <w:rPr>
                <w:b/>
              </w:rPr>
              <w:t>Description</w:t>
            </w:r>
          </w:p>
        </w:tc>
        <w:tc>
          <w:tcPr>
            <w:tcW w:type="dxa" w:w="2160"/>
          </w:tcPr>
          <w:p>
            <w:r>
              <w:rPr>
                <w:b/>
              </w:rPr>
              <w:t>Priority</w:t>
            </w:r>
          </w:p>
        </w:tc>
      </w:tr>
      <w:tr>
        <w:tc>
          <w:tcPr>
            <w:tcW w:type="dxa" w:w="2160"/>
          </w:tcPr>
          <w:p>
            <w:r>
              <w:t>FR01</w:t>
            </w:r>
          </w:p>
        </w:tc>
        <w:tc>
          <w:tcPr>
            <w:tcW w:type="dxa" w:w="2160"/>
          </w:tcPr>
          <w:p>
            <w:r>
              <w:t>SAP Data Upload</w:t>
            </w:r>
          </w:p>
        </w:tc>
        <w:tc>
          <w:tcPr>
            <w:tcW w:type="dxa" w:w="2160"/>
          </w:tcPr>
          <w:p>
            <w:r>
              <w:t>Upload 9 SAP CSV file types (PR, PO, PO Delivery, GRN, PO Invoice, Invoice, Payment, Vendor Master, Change Log) via drag-and-drop or file picker. Validate schema on upload.</w:t>
            </w:r>
          </w:p>
        </w:tc>
        <w:tc>
          <w:tcPr>
            <w:tcW w:type="dxa" w:w="2160"/>
          </w:tcPr>
          <w:p>
            <w:r>
              <w:t>M</w:t>
            </w:r>
          </w:p>
        </w:tc>
      </w:tr>
      <w:tr>
        <w:tc>
          <w:tcPr>
            <w:tcW w:type="dxa" w:w="2160"/>
          </w:tcPr>
          <w:p>
            <w:r>
              <w:t>FR02</w:t>
            </w:r>
          </w:p>
        </w:tc>
        <w:tc>
          <w:tcPr>
            <w:tcW w:type="dxa" w:w="2160"/>
          </w:tcPr>
          <w:p>
            <w:r>
              <w:t>Procurement Dashboard</w:t>
            </w:r>
          </w:p>
        </w:tc>
        <w:tc>
          <w:tcPr>
            <w:tcW w:type="dxa" w:w="2160"/>
          </w:tcPr>
          <w:p>
            <w:r>
              <w:t>Display 8 real-time procurement KPIs (PO Value MTD, Active PO Count, High-Value POs, Open PR Aging, PR→PO Time, PO Cycle Time, PO Deletions, PO Amendment Rate). Charts: PO Value Trend, PO Count vs Maverick Spend.</w:t>
            </w:r>
          </w:p>
        </w:tc>
        <w:tc>
          <w:tcPr>
            <w:tcW w:type="dxa" w:w="2160"/>
          </w:tcPr>
          <w:p>
            <w:r>
              <w:t>M</w:t>
            </w:r>
          </w:p>
        </w:tc>
      </w:tr>
      <w:tr>
        <w:tc>
          <w:tcPr>
            <w:tcW w:type="dxa" w:w="2160"/>
          </w:tcPr>
          <w:p>
            <w:r>
              <w:t>FR03</w:t>
            </w:r>
          </w:p>
        </w:tc>
        <w:tc>
          <w:tcPr>
            <w:tcW w:type="dxa" w:w="2160"/>
          </w:tcPr>
          <w:p>
            <w:r>
              <w:t>P2P Lifecycle Tracker</w:t>
            </w:r>
          </w:p>
        </w:tc>
        <w:tc>
          <w:tcPr>
            <w:tcW w:type="dxa" w:w="2160"/>
          </w:tcPr>
          <w:p>
            <w:r>
              <w:t>Visual funnel of P2P stages (PR → RFQ → PO → GRN → Invoice → Payment) with stage counts, conversion rates, avg days to next stage, RAG status, and monthly funnel chart.</w:t>
            </w:r>
          </w:p>
        </w:tc>
        <w:tc>
          <w:tcPr>
            <w:tcW w:type="dxa" w:w="2160"/>
          </w:tcPr>
          <w:p>
            <w:r>
              <w:t>M</w:t>
            </w:r>
          </w:p>
        </w:tc>
      </w:tr>
      <w:tr>
        <w:tc>
          <w:tcPr>
            <w:tcW w:type="dxa" w:w="2160"/>
          </w:tcPr>
          <w:p>
            <w:r>
              <w:t>FR04</w:t>
            </w:r>
          </w:p>
        </w:tc>
        <w:tc>
          <w:tcPr>
            <w:tcW w:type="dxa" w:w="2160"/>
          </w:tcPr>
          <w:p>
            <w:r>
              <w:t>Financial Dashboard</w:t>
            </w:r>
          </w:p>
        </w:tc>
        <w:tc>
          <w:tcPr>
            <w:tcW w:type="dxa" w:w="2160"/>
          </w:tcPr>
          <w:p>
            <w:r>
              <w:t>CAPEX/OPEX split, budget vs actuals, month-wise spend trend, top spending categories, and financial KPIs (Total Spend, CAPEX%, OPEX%, Budget Utilisation).</w:t>
            </w:r>
          </w:p>
        </w:tc>
        <w:tc>
          <w:tcPr>
            <w:tcW w:type="dxa" w:w="2160"/>
          </w:tcPr>
          <w:p>
            <w:r>
              <w:t>M</w:t>
            </w:r>
          </w:p>
        </w:tc>
      </w:tr>
      <w:tr>
        <w:tc>
          <w:tcPr>
            <w:tcW w:type="dxa" w:w="2160"/>
          </w:tcPr>
          <w:p>
            <w:r>
              <w:t>FR05</w:t>
            </w:r>
          </w:p>
        </w:tc>
        <w:tc>
          <w:tcPr>
            <w:tcW w:type="dxa" w:w="2160"/>
          </w:tcPr>
          <w:p>
            <w:r>
              <w:t>Vendor Performance Dashboard</w:t>
            </w:r>
          </w:p>
        </w:tc>
        <w:tc>
          <w:tcPr>
            <w:tcW w:type="dxa" w:w="2160"/>
          </w:tcPr>
          <w:p>
            <w:r>
              <w:t>Vendor KPIs (on-time delivery, compliance score, spend concentration). Vendor risk heatmap. Top vendors by spend. MSME compliance tracking.</w:t>
            </w:r>
          </w:p>
        </w:tc>
        <w:tc>
          <w:tcPr>
            <w:tcW w:type="dxa" w:w="2160"/>
          </w:tcPr>
          <w:p>
            <w:r>
              <w:t>M</w:t>
            </w:r>
          </w:p>
        </w:tc>
      </w:tr>
      <w:tr>
        <w:tc>
          <w:tcPr>
            <w:tcW w:type="dxa" w:w="2160"/>
          </w:tcPr>
          <w:p>
            <w:r>
              <w:t>FR06</w:t>
            </w:r>
          </w:p>
        </w:tc>
        <w:tc>
          <w:tcPr>
            <w:tcW w:type="dxa" w:w="2160"/>
          </w:tcPr>
          <w:p>
            <w:r>
              <w:t>Leadership Dashboard</w:t>
            </w:r>
          </w:p>
        </w:tc>
        <w:tc>
          <w:tcPr>
            <w:tcW w:type="dxa" w:w="2160"/>
          </w:tcPr>
          <w:p>
            <w:r>
              <w:t>Executive summary KPIs across all domains. Profit-centre-level spend. Approval cycle benchmarks. Year-over-year trends.</w:t>
            </w:r>
          </w:p>
        </w:tc>
        <w:tc>
          <w:tcPr>
            <w:tcW w:type="dxa" w:w="2160"/>
          </w:tcPr>
          <w:p>
            <w:r>
              <w:t>M</w:t>
            </w:r>
          </w:p>
        </w:tc>
      </w:tr>
      <w:tr>
        <w:tc>
          <w:tcPr>
            <w:tcW w:type="dxa" w:w="2160"/>
          </w:tcPr>
          <w:p>
            <w:r>
              <w:t>FR07</w:t>
            </w:r>
          </w:p>
        </w:tc>
        <w:tc>
          <w:tcPr>
            <w:tcW w:type="dxa" w:w="2160"/>
          </w:tcPr>
          <w:p>
            <w:r>
              <w:t>Utilization Analytics</w:t>
            </w:r>
          </w:p>
        </w:tc>
        <w:tc>
          <w:tcPr>
            <w:tcW w:type="dxa" w:w="2160"/>
          </w:tcPr>
          <w:p>
            <w:r>
              <w:t>Buyer workload, PO processing throughput by user, resource utilisation trends.</w:t>
            </w:r>
          </w:p>
        </w:tc>
        <w:tc>
          <w:tcPr>
            <w:tcW w:type="dxa" w:w="2160"/>
          </w:tcPr>
          <w:p>
            <w:r>
              <w:t>G</w:t>
            </w:r>
          </w:p>
        </w:tc>
      </w:tr>
      <w:tr>
        <w:tc>
          <w:tcPr>
            <w:tcW w:type="dxa" w:w="2160"/>
          </w:tcPr>
          <w:p>
            <w:r>
              <w:t>FR08</w:t>
            </w:r>
          </w:p>
        </w:tc>
        <w:tc>
          <w:tcPr>
            <w:tcW w:type="dxa" w:w="2160"/>
          </w:tcPr>
          <w:p>
            <w:r>
              <w:t>Profit Centre Analytics</w:t>
            </w:r>
          </w:p>
        </w:tc>
        <w:tc>
          <w:tcPr>
            <w:tcW w:type="dxa" w:w="2160"/>
          </w:tcPr>
          <w:p>
            <w:r>
              <w:t>Spend breakdown by SAP profit centre with budget allocation vs actuals.</w:t>
            </w:r>
          </w:p>
        </w:tc>
        <w:tc>
          <w:tcPr>
            <w:tcW w:type="dxa" w:w="2160"/>
          </w:tcPr>
          <w:p>
            <w:r>
              <w:t>G</w:t>
            </w:r>
          </w:p>
        </w:tc>
      </w:tr>
      <w:tr>
        <w:tc>
          <w:tcPr>
            <w:tcW w:type="dxa" w:w="2160"/>
          </w:tcPr>
          <w:p>
            <w:r>
              <w:t>FR09</w:t>
            </w:r>
          </w:p>
        </w:tc>
        <w:tc>
          <w:tcPr>
            <w:tcW w:type="dxa" w:w="2160"/>
          </w:tcPr>
          <w:p>
            <w:r>
              <w:t>AI Assistant (Ask IntelliSource)</w:t>
            </w:r>
          </w:p>
        </w:tc>
        <w:tc>
          <w:tcPr>
            <w:tcW w:type="dxa" w:w="2160"/>
          </w:tcPr>
          <w:p>
            <w:r>
              <w:t>Natural-language query interface powered by GPT-4o via OpenRouter API. Tools: query_database, get_kpis, find_document, get_anomalies, get_vendor_info, get_p2p_stage_summary. Always queries live PostgreSQL before responding.</w:t>
            </w:r>
          </w:p>
        </w:tc>
        <w:tc>
          <w:tcPr>
            <w:tcW w:type="dxa" w:w="2160"/>
          </w:tcPr>
          <w:p>
            <w:r>
              <w:t>M</w:t>
            </w:r>
          </w:p>
        </w:tc>
      </w:tr>
      <w:tr>
        <w:tc>
          <w:tcPr>
            <w:tcW w:type="dxa" w:w="2160"/>
          </w:tcPr>
          <w:p>
            <w:r>
              <w:t>FR10</w:t>
            </w:r>
          </w:p>
        </w:tc>
        <w:tc>
          <w:tcPr>
            <w:tcW w:type="dxa" w:w="2160"/>
          </w:tcPr>
          <w:p>
            <w:r>
              <w:t>Anomaly Detection</w:t>
            </w:r>
          </w:p>
        </w:tc>
        <w:tc>
          <w:tcPr>
            <w:tcW w:type="dxa" w:w="2160"/>
          </w:tcPr>
          <w:p>
            <w:r>
              <w:t>Real-time classification of POs into risk variants: MAVERICK_BUY, DUPLICATE_INVOICE, SPLIT_PO, PRICE_DEVIATION, THREE_WAY_MISMATCH, GRN_WITHOUT_PO, PAYMENT_BEFORE_GRN, LATE_DELIVERY, VENDOR_BLOCK, RETRO_PO, DELETED_AFTER_GRN.</w:t>
            </w:r>
          </w:p>
        </w:tc>
        <w:tc>
          <w:tcPr>
            <w:tcW w:type="dxa" w:w="2160"/>
          </w:tcPr>
          <w:p>
            <w:r>
              <w:t>M</w:t>
            </w:r>
          </w:p>
        </w:tc>
      </w:tr>
      <w:tr>
        <w:tc>
          <w:tcPr>
            <w:tcW w:type="dxa" w:w="2160"/>
          </w:tcPr>
          <w:p>
            <w:r>
              <w:t>FR11</w:t>
            </w:r>
          </w:p>
        </w:tc>
        <w:tc>
          <w:tcPr>
            <w:tcW w:type="dxa" w:w="2160"/>
          </w:tcPr>
          <w:p>
            <w:r>
              <w:t>PO Deletion Monitor</w:t>
            </w:r>
          </w:p>
        </w:tc>
        <w:tc>
          <w:tcPr>
            <w:tcW w:type="dxa" w:w="2160"/>
          </w:tcPr>
          <w:p>
            <w:r>
              <w:t>Tabular view of POs with deletion_indicator=L, showing anomaly flags, vendor, material, value, and created-by user.</w:t>
            </w:r>
          </w:p>
        </w:tc>
        <w:tc>
          <w:tcPr>
            <w:tcW w:type="dxa" w:w="2160"/>
          </w:tcPr>
          <w:p>
            <w:r>
              <w:t>M</w:t>
            </w:r>
          </w:p>
        </w:tc>
      </w:tr>
      <w:tr>
        <w:tc>
          <w:tcPr>
            <w:tcW w:type="dxa" w:w="2160"/>
          </w:tcPr>
          <w:p>
            <w:r>
              <w:t>FR12</w:t>
            </w:r>
          </w:p>
        </w:tc>
        <w:tc>
          <w:tcPr>
            <w:tcW w:type="dxa" w:w="2160"/>
          </w:tcPr>
          <w:p>
            <w:r>
              <w:t>User Management</w:t>
            </w:r>
          </w:p>
        </w:tc>
        <w:tc>
          <w:tcPr>
            <w:tcW w:type="dxa" w:w="2160"/>
          </w:tcPr>
          <w:p>
            <w:r>
              <w:t>Admin can create, update, deactivate users, reset passwords. Roles: 12 predefined roles. Self-registration supported.</w:t>
            </w:r>
          </w:p>
        </w:tc>
        <w:tc>
          <w:tcPr>
            <w:tcW w:type="dxa" w:w="2160"/>
          </w:tcPr>
          <w:p>
            <w:r>
              <w:t>M</w:t>
            </w:r>
          </w:p>
        </w:tc>
      </w:tr>
      <w:tr>
        <w:tc>
          <w:tcPr>
            <w:tcW w:type="dxa" w:w="2160"/>
          </w:tcPr>
          <w:p>
            <w:r>
              <w:t>FR13</w:t>
            </w:r>
          </w:p>
        </w:tc>
        <w:tc>
          <w:tcPr>
            <w:tcW w:type="dxa" w:w="2160"/>
          </w:tcPr>
          <w:p>
            <w:r>
              <w:t>Audit Log</w:t>
            </w:r>
          </w:p>
        </w:tc>
        <w:tc>
          <w:tcPr>
            <w:tcW w:type="dxa" w:w="2160"/>
          </w:tcPr>
          <w:p>
            <w:r>
              <w:t>All user actions (LOGIN, LOGOUT, ROLE_SWITCH, USER_CREATED, USER_UPDATED, PASSWORD_RESET) logged with timestamp, user ID, and detail string.</w:t>
            </w:r>
          </w:p>
        </w:tc>
        <w:tc>
          <w:tcPr>
            <w:tcW w:type="dxa" w:w="2160"/>
          </w:tcPr>
          <w:p>
            <w:r>
              <w:t>M</w:t>
            </w:r>
          </w:p>
        </w:tc>
      </w:tr>
      <w:tr>
        <w:tc>
          <w:tcPr>
            <w:tcW w:type="dxa" w:w="2160"/>
          </w:tcPr>
          <w:p>
            <w:r>
              <w:t>FR14</w:t>
            </w:r>
          </w:p>
        </w:tc>
        <w:tc>
          <w:tcPr>
            <w:tcW w:type="dxa" w:w="2160"/>
          </w:tcPr>
          <w:p>
            <w:r>
              <w:t>Admin Settings</w:t>
            </w:r>
          </w:p>
        </w:tc>
        <w:tc>
          <w:tcPr>
            <w:tcW w:type="dxa" w:w="2160"/>
          </w:tcPr>
          <w:p>
            <w:r>
              <w:t>Configurable KPI thresholds (e.g., high-value PO threshold), company code management.</w:t>
            </w:r>
          </w:p>
        </w:tc>
        <w:tc>
          <w:tcPr>
            <w:tcW w:type="dxa" w:w="2160"/>
          </w:tcPr>
          <w:p>
            <w:r>
              <w:t>M</w:t>
            </w:r>
          </w:p>
        </w:tc>
      </w:tr>
      <w:tr>
        <w:tc>
          <w:tcPr>
            <w:tcW w:type="dxa" w:w="2160"/>
          </w:tcPr>
          <w:p>
            <w:r>
              <w:t>FR15</w:t>
            </w:r>
          </w:p>
        </w:tc>
        <w:tc>
          <w:tcPr>
            <w:tcW w:type="dxa" w:w="2160"/>
          </w:tcPr>
          <w:p>
            <w:r>
              <w:t>Dashboard PDF Export</w:t>
            </w:r>
          </w:p>
        </w:tc>
        <w:tc>
          <w:tcPr>
            <w:tcW w:type="dxa" w:w="2160"/>
          </w:tcPr>
          <w:p>
            <w:r>
              <w:t>One-click PDF export of any dashboard (uses html2canvas/jsPDF in browser).</w:t>
            </w:r>
          </w:p>
        </w:tc>
        <w:tc>
          <w:tcPr>
            <w:tcW w:type="dxa" w:w="2160"/>
          </w:tcPr>
          <w:p>
            <w:r>
              <w:t>G</w:t>
            </w:r>
          </w:p>
        </w:tc>
      </w:tr>
      <w:tr>
        <w:tc>
          <w:tcPr>
            <w:tcW w:type="dxa" w:w="2160"/>
          </w:tcPr>
          <w:p>
            <w:r>
              <w:t>FR16</w:t>
            </w:r>
          </w:p>
        </w:tc>
        <w:tc>
          <w:tcPr>
            <w:tcW w:type="dxa" w:w="2160"/>
          </w:tcPr>
          <w:p>
            <w:r>
              <w:t>Company Code Filter</w:t>
            </w:r>
          </w:p>
        </w:tc>
        <w:tc>
          <w:tcPr>
            <w:tcW w:type="dxa" w:w="2160"/>
          </w:tcPr>
          <w:p>
            <w:r>
              <w:t>All dashboards filterable by SAP company code (1001, 1002, 1003, ALL).</w:t>
            </w:r>
          </w:p>
        </w:tc>
        <w:tc>
          <w:tcPr>
            <w:tcW w:type="dxa" w:w="2160"/>
          </w:tcPr>
          <w:p>
            <w:r>
              <w:t>M</w:t>
            </w:r>
          </w:p>
        </w:tc>
      </w:tr>
      <w:tr>
        <w:tc>
          <w:tcPr>
            <w:tcW w:type="dxa" w:w="2160"/>
          </w:tcPr>
          <w:p>
            <w:r>
              <w:t>FR17</w:t>
            </w:r>
          </w:p>
        </w:tc>
        <w:tc>
          <w:tcPr>
            <w:tcW w:type="dxa" w:w="2160"/>
          </w:tcPr>
          <w:p>
            <w:r>
              <w:t>Vendor Repository</w:t>
            </w:r>
          </w:p>
        </w:tc>
        <w:tc>
          <w:tcPr>
            <w:tcW w:type="dxa" w:w="2160"/>
          </w:tcPr>
          <w:p>
            <w:r>
              <w:t>Master list of vendors with enriched metadata (MSME flag, posting block, city, country).</w:t>
            </w:r>
          </w:p>
        </w:tc>
        <w:tc>
          <w:tcPr>
            <w:tcW w:type="dxa" w:w="2160"/>
          </w:tcPr>
          <w:p>
            <w:r>
              <w:t>G</w:t>
            </w:r>
          </w:p>
        </w:tc>
      </w:tr>
      <w:tr>
        <w:tc>
          <w:tcPr>
            <w:tcW w:type="dxa" w:w="2160"/>
          </w:tcPr>
          <w:p>
            <w:r>
              <w:t>FR18</w:t>
            </w:r>
          </w:p>
        </w:tc>
        <w:tc>
          <w:tcPr>
            <w:tcW w:type="dxa" w:w="2160"/>
          </w:tcPr>
          <w:p>
            <w:r>
              <w:t>Actions Tracker</w:t>
            </w:r>
          </w:p>
        </w:tc>
        <w:tc>
          <w:tcPr>
            <w:tcW w:type="dxa" w:w="2160"/>
          </w:tcPr>
          <w:p>
            <w:r>
              <w:t>Log and track remediation actions raised against procurement anomalies.</w:t>
            </w:r>
          </w:p>
        </w:tc>
        <w:tc>
          <w:tcPr>
            <w:tcW w:type="dxa" w:w="2160"/>
          </w:tcPr>
          <w:p>
            <w:r>
              <w:t>G</w:t>
            </w:r>
          </w:p>
        </w:tc>
      </w:tr>
    </w:tbl>
    <w:p/>
    <w:p>
      <w:pPr>
        <w:pStyle w:val="Heading1"/>
      </w:pPr>
      <w:r>
        <w:rPr>
          <w:color w:val="003366"/>
        </w:rPr>
        <w:t>9. Non-Functional Requirements</w:t>
      </w:r>
    </w:p>
    <w:p>
      <w:pPr>
        <w:pStyle w:val="Heading2"/>
      </w:pPr>
      <w:r>
        <w:t>9.1 Compatibility</w:t>
      </w:r>
    </w:p>
    <w:p>
      <w:r>
        <w:rPr>
          <w:b/>
        </w:rPr>
        <w:t xml:space="preserve">Co-Existence: </w:t>
      </w:r>
      <w:r>
        <w:t>Must co-exist with SAP ECC / S4HANA on-premise systems. Data extracted from SAP as CSV; IntelliSource does not modify SAP data. No conflict with existing KPMG tooling (PowerBI, Excel) — IntelliSource is additive.</w:t>
      </w:r>
    </w:p>
    <w:p>
      <w:r>
        <w:rPr>
          <w:b/>
        </w:rPr>
        <w:t xml:space="preserve">Interoperability: </w:t>
      </w:r>
      <w:r>
        <w:t>REST API (FastAPI) with JSON responses. Frontend communicates via HTTP/HTTPS. OpenRouter API (HTTPS/JSON) for AI. Future: SAP BAPI / RFC or OData API for real-time data pull. GitHub for source code. Vercel for CI/CD of frontend.</w:t>
      </w:r>
    </w:p>
    <w:p>
      <w:pPr>
        <w:pStyle w:val="Heading2"/>
      </w:pPr>
      <w:r>
        <w:t>9.2 Security Requirements</w:t>
      </w:r>
    </w:p>
    <w:p>
      <w:r>
        <w:rPr>
          <w:b/>
        </w:rPr>
        <w:t xml:space="preserve">Accountability: </w:t>
      </w:r>
      <w:r>
        <w:t>Full audit log in audit_log table. All state-changing operations (login, logout, user CRUD, data upload) are logged with user_id, action, entity_type, details, and created_at timestamp.</w:t>
      </w:r>
    </w:p>
    <w:p>
      <w:r>
        <w:rPr>
          <w:b/>
        </w:rPr>
        <w:t xml:space="preserve">Authenticity: </w:t>
      </w:r>
      <w:r>
        <w:t>Custom email + password authentication. Passwords stored as plain text in current pilot — MUST be hashed (bcrypt) before production. Login endpoint: POST /api/auth/login. Session state maintained in browser localStorage (AppContext).</w:t>
      </w:r>
    </w:p>
    <w:p>
      <w:r>
        <w:rPr>
          <w:b/>
        </w:rPr>
        <w:t xml:space="preserve">Authorization: </w:t>
      </w:r>
      <w:r>
        <w:t>Role-Based Access Control (RBAC). 12 roles. Admin role has user management and settings access. Role checked at frontend route level. Backend currently trusts frontend-supplied role — JWT or server-side session required for production.</w:t>
      </w:r>
    </w:p>
    <w:p>
      <w:r>
        <w:rPr>
          <w:b/>
        </w:rPr>
        <w:t xml:space="preserve">Legislation and Governance: </w:t>
      </w:r>
      <w:r>
        <w:t>Audit trail supports internal KPMG governance. MSME vendor compliance tracked per Indian MSMED Act. No PII of external parties stored; procurement data is internal KPMG operational data.</w:t>
      </w:r>
    </w:p>
    <w:p>
      <w:r>
        <w:rPr>
          <w:b/>
        </w:rPr>
        <w:t xml:space="preserve">Policies: </w:t>
      </w:r>
      <w:r>
        <w:t>Password policy: minimum 8 characters enforced at registration. Production must align with KPMG password policy (complexity, expiry). Current plaintext storage is a pre-production limitation — bcrypt hashing required before go-live.</w:t>
      </w:r>
    </w:p>
    <w:p>
      <w:pPr>
        <w:pStyle w:val="Heading2"/>
      </w:pPr>
      <w:r>
        <w:t>9.3 Usability and Accessibility</w:t>
      </w:r>
    </w:p>
    <w:p>
      <w:r>
        <w:rPr>
          <w:b/>
        </w:rPr>
        <w:t xml:space="preserve">Accessibility: </w:t>
      </w:r>
      <w:r>
        <w:t>No specific WCAG compliance built in current version. Keyboard navigation partially supported via shadcn/ui components. Screen reader support not validated. To be addressed in Transition 1.</w:t>
      </w:r>
    </w:p>
    <w:p>
      <w:r>
        <w:rPr>
          <w:b/>
        </w:rPr>
        <w:t xml:space="preserve">Channels: </w:t>
      </w:r>
      <w:r>
        <w:t>Web browser (Chrome, Edge, Firefox). Responsive layout but not optimised for mobile. Desktop-first design.</w:t>
      </w:r>
    </w:p>
    <w:p>
      <w:r>
        <w:rPr>
          <w:b/>
        </w:rPr>
        <w:t xml:space="preserve">Localization: </w:t>
      </w:r>
      <w:r>
        <w:t>English only. Indian Rupee (INR ₹) as primary currency. No multi-language support planned in current phase.</w:t>
      </w:r>
    </w:p>
    <w:p>
      <w:r>
        <w:rPr>
          <w:b/>
        </w:rPr>
        <w:t xml:space="preserve">Usability Constraints: </w:t>
      </w:r>
      <w:r>
        <w:t>Users require basic procurement domain knowledge to interpret KPIs. AI assistant reduces barrier for ad-hoc queries. No offline mode — requires live backend connection.</w:t>
      </w:r>
    </w:p>
    <w:p>
      <w:pPr>
        <w:pStyle w:val="Heading2"/>
      </w:pPr>
      <w:r>
        <w:t>9.4 Performance Requirements</w:t>
      </w:r>
    </w:p>
    <w:tbl>
      <w:tblPr>
        <w:tblStyle w:val="TableGrid"/>
        <w:tblW w:type="auto" w:w="0"/>
        <w:tblLook w:firstColumn="1" w:firstRow="1" w:lastColumn="0" w:lastRow="0" w:noHBand="0" w:noVBand="1" w:val="04A0"/>
      </w:tblPr>
      <w:tblGrid>
        <w:gridCol w:w="4320"/>
        <w:gridCol w:w="4320"/>
      </w:tblGrid>
      <w:tr>
        <w:tc>
          <w:tcPr>
            <w:tcW w:type="dxa" w:w="4320"/>
          </w:tcPr>
          <w:p>
            <w:r>
              <w:rPr>
                <w:b/>
              </w:rPr>
              <w:t>Attribute</w:t>
            </w:r>
          </w:p>
        </w:tc>
        <w:tc>
          <w:tcPr>
            <w:tcW w:type="dxa" w:w="4320"/>
          </w:tcPr>
          <w:p>
            <w:r>
              <w:rPr>
                <w:b/>
              </w:rPr>
              <w:t>Requirement</w:t>
            </w:r>
          </w:p>
        </w:tc>
      </w:tr>
      <w:tr>
        <w:tc>
          <w:tcPr>
            <w:tcW w:type="dxa" w:w="4320"/>
          </w:tcPr>
          <w:p>
            <w:r>
              <w:t>Peak time simultaneous users</w:t>
            </w:r>
          </w:p>
        </w:tc>
        <w:tc>
          <w:tcPr>
            <w:tcW w:type="dxa" w:w="4320"/>
          </w:tcPr>
          <w:p>
            <w:r>
              <w:t>20–50 concurrent users (internal KPMG pilot scope)</w:t>
            </w:r>
          </w:p>
        </w:tc>
      </w:tr>
      <w:tr>
        <w:tc>
          <w:tcPr>
            <w:tcW w:type="dxa" w:w="4320"/>
          </w:tcPr>
          <w:p>
            <w:r>
              <w:t>Peak time simultaneous connections</w:t>
            </w:r>
          </w:p>
        </w:tc>
        <w:tc>
          <w:tcPr>
            <w:tcW w:type="dxa" w:w="4320"/>
          </w:tcPr>
          <w:p>
            <w:r>
              <w:t>8 pre-warmed PostgreSQL connections per worker; connection pooling via thread-local pattern</w:t>
            </w:r>
          </w:p>
        </w:tc>
      </w:tr>
      <w:tr>
        <w:tc>
          <w:tcPr>
            <w:tcW w:type="dxa" w:w="4320"/>
          </w:tcPr>
          <w:p>
            <w:r>
              <w:t>KPI response time</w:t>
            </w:r>
          </w:p>
        </w:tc>
        <w:tc>
          <w:tcPr>
            <w:tcW w:type="dxa" w:w="4320"/>
          </w:tcPr>
          <w:p>
            <w:r>
              <w:t>&lt; 2 seconds for pre-computed KPI reads from kpi_results table</w:t>
            </w:r>
          </w:p>
        </w:tc>
      </w:tr>
      <w:tr>
        <w:tc>
          <w:tcPr>
            <w:tcW w:type="dxa" w:w="4320"/>
          </w:tcPr>
          <w:p>
            <w:r>
              <w:t>Dashboard load time</w:t>
            </w:r>
          </w:p>
        </w:tc>
        <w:tc>
          <w:tcPr>
            <w:tcW w:type="dxa" w:w="4320"/>
          </w:tcPr>
          <w:p>
            <w:r>
              <w:t>&lt; 3 seconds for full dashboard render including charts</w:t>
            </w:r>
          </w:p>
        </w:tc>
      </w:tr>
      <w:tr>
        <w:tc>
          <w:tcPr>
            <w:tcW w:type="dxa" w:w="4320"/>
          </w:tcPr>
          <w:p>
            <w:r>
              <w:t>CSV Upload processing</w:t>
            </w:r>
          </w:p>
        </w:tc>
        <w:tc>
          <w:tcPr>
            <w:tcW w:type="dxa" w:w="4320"/>
          </w:tcPr>
          <w:p>
            <w:r>
              <w:t>&lt; 30 seconds for a 50,000-row PO dump upload and KPI recomputation</w:t>
            </w:r>
          </w:p>
        </w:tc>
      </w:tr>
      <w:tr>
        <w:tc>
          <w:tcPr>
            <w:tcW w:type="dxa" w:w="4320"/>
          </w:tcPr>
          <w:p>
            <w:r>
              <w:t>AI assistant response</w:t>
            </w:r>
          </w:p>
        </w:tc>
        <w:tc>
          <w:tcPr>
            <w:tcW w:type="dxa" w:w="4320"/>
          </w:tcPr>
          <w:p>
            <w:r>
              <w:t>&lt; 10 seconds end-to-end (OpenRouter API latency + DB query + synthesis)</w:t>
            </w:r>
          </w:p>
        </w:tc>
      </w:tr>
      <w:tr>
        <w:tc>
          <w:tcPr>
            <w:tcW w:type="dxa" w:w="4320"/>
          </w:tcPr>
          <w:p>
            <w:r>
              <w:t>Solution Usage Growth</w:t>
            </w:r>
          </w:p>
        </w:tc>
        <w:tc>
          <w:tcPr>
            <w:tcW w:type="dxa" w:w="4320"/>
          </w:tcPr>
          <w:p>
            <w:r>
              <w:t>Expected 2× in 12 months as rollout expands to additional KPMG offices</w:t>
            </w:r>
          </w:p>
        </w:tc>
      </w:tr>
      <w:tr>
        <w:tc>
          <w:tcPr>
            <w:tcW w:type="dxa" w:w="4320"/>
          </w:tcPr>
          <w:p>
            <w:r>
              <w:t>Scalability</w:t>
            </w:r>
          </w:p>
        </w:tc>
        <w:tc>
          <w:tcPr>
            <w:tcW w:type="dxa" w:w="4320"/>
          </w:tcPr>
          <w:p>
            <w:r>
              <w:t>Vertical scale (larger PostgreSQL instance). Horizontal scale via load balancer + multiple FastAPI workers in Target Architecture.</w:t>
            </w:r>
          </w:p>
        </w:tc>
      </w:tr>
      <w:tr>
        <w:tc>
          <w:tcPr>
            <w:tcW w:type="dxa" w:w="4320"/>
          </w:tcPr>
          <w:p>
            <w:r>
              <w:t>Storage Space Required</w:t>
            </w:r>
          </w:p>
        </w:tc>
        <w:tc>
          <w:tcPr>
            <w:tcW w:type="dxa" w:w="4320"/>
          </w:tcPr>
          <w:p>
            <w:r>
              <w:t>Estimated 5–20 GB per year for procurement data (9 table types × 3 company codes). PostgreSQL tablespace.</w:t>
            </w:r>
          </w:p>
        </w:tc>
      </w:tr>
      <w:tr>
        <w:tc>
          <w:tcPr>
            <w:tcW w:type="dxa" w:w="4320"/>
          </w:tcPr>
          <w:p>
            <w:r>
              <w:t>Minimum Network Bandwidth</w:t>
            </w:r>
          </w:p>
        </w:tc>
        <w:tc>
          <w:tcPr>
            <w:tcW w:type="dxa" w:w="4320"/>
          </w:tcPr>
          <w:p>
            <w:r>
              <w:t>1 Mbps per user for dashboard interactions. 10 Mbps for initial bulk CSV upload (SAP export files up to 500 MB).</w:t>
            </w:r>
          </w:p>
        </w:tc>
      </w:tr>
    </w:tbl>
    <w:p/>
    <w:p>
      <w:pPr>
        <w:pStyle w:val="Heading2"/>
      </w:pPr>
      <w:r>
        <w:t>9.5 Maintainability Requirements</w:t>
      </w:r>
    </w:p>
    <w:p>
      <w:r>
        <w:rPr>
          <w:b/>
        </w:rPr>
        <w:t xml:space="preserve">Extensibility: </w:t>
      </w:r>
      <w:r>
        <w:t>Yes — KPI engine (kpi_engine.py) designed with pluggable KPI definitions. New dashboards added as FastAPI router modules. Frontend routes auto-registered via TanStack Router file-based routing.</w:t>
      </w:r>
    </w:p>
    <w:p>
      <w:r>
        <w:rPr>
          <w:b/>
        </w:rPr>
        <w:t xml:space="preserve">Monitoring: </w:t>
      </w:r>
      <w:r>
        <w:t>Currently: FastAPI /api/health endpoint. Audit log provides user activity trail. Production requirements: application performance monitoring (APM), PostgreSQL slow-query logging, Vercel analytics for frontend. 24×7 monitoring not required in pilot; required post-production rollout.</w:t>
      </w:r>
    </w:p>
    <w:p>
      <w:r>
        <w:rPr>
          <w:b/>
        </w:rPr>
        <w:t xml:space="preserve">Support: </w:t>
      </w:r>
      <w:r>
        <w:t>Tier 1: Self-service via AI assistant and dashboard tooltips. Tier 2: IT support via KPMG service desk. Tier 3: Development team via GitHub issues.</w:t>
      </w:r>
    </w:p>
    <w:p>
      <w:r>
        <w:rPr>
          <w:b/>
        </w:rPr>
        <w:t xml:space="preserve">Reusability: </w:t>
      </w:r>
      <w:r>
        <w:t>KPI engine and ETL pipeline reusable for additional KPMG procurement entities. REST API designed for potential future integration with KPMG client-facing tools.</w:t>
      </w:r>
    </w:p>
    <w:p>
      <w:pPr>
        <w:pStyle w:val="Heading2"/>
      </w:pPr>
      <w:r>
        <w:t>9.6 Portability Requirements</w:t>
      </w:r>
    </w:p>
    <w:p>
      <w:r>
        <w:rPr>
          <w:b/>
        </w:rPr>
        <w:t xml:space="preserve">Adaptability: </w:t>
      </w:r>
      <w:r>
        <w:t>Backend: any Linux/Windows host with Python 3.11+ and PostgreSQL 15+. Frontend: deployable to any static host or CDN (Vercel, Azure Static Web Apps, AWS S3+CloudFront).</w:t>
      </w:r>
    </w:p>
    <w:p>
      <w:r>
        <w:rPr>
          <w:b/>
        </w:rPr>
        <w:t xml:space="preserve">Installability: </w:t>
      </w:r>
      <w:r>
        <w:t>Standard KPMG software stack compatible. Requires: Python 3.11+, Node.js 18+/Bun, PostgreSQL 15+. No proprietary runtime dependencies. Docker containerisation planned for Transition 1.</w:t>
      </w:r>
    </w:p>
    <w:p>
      <w:pPr>
        <w:pStyle w:val="Heading2"/>
      </w:pPr>
      <w:r>
        <w:t>9.7 Reliability Requirements</w:t>
      </w:r>
    </w:p>
    <w:tbl>
      <w:tblPr>
        <w:tblStyle w:val="TableGrid"/>
        <w:tblW w:type="auto" w:w="0"/>
        <w:tblLook w:firstColumn="1" w:firstRow="1" w:lastColumn="0" w:lastRow="0" w:noHBand="0" w:noVBand="1" w:val="04A0"/>
      </w:tblPr>
      <w:tblGrid>
        <w:gridCol w:w="4320"/>
        <w:gridCol w:w="4320"/>
      </w:tblGrid>
      <w:tr>
        <w:tc>
          <w:tcPr>
            <w:tcW w:type="dxa" w:w="4320"/>
          </w:tcPr>
          <w:p>
            <w:r>
              <w:rPr>
                <w:b/>
              </w:rPr>
              <w:t>Attribute</w:t>
            </w:r>
          </w:p>
        </w:tc>
        <w:tc>
          <w:tcPr>
            <w:tcW w:type="dxa" w:w="4320"/>
          </w:tcPr>
          <w:p>
            <w:r>
              <w:rPr>
                <w:b/>
              </w:rPr>
              <w:t>Requirement</w:t>
            </w:r>
          </w:p>
        </w:tc>
      </w:tr>
      <w:tr>
        <w:tc>
          <w:tcPr>
            <w:tcW w:type="dxa" w:w="4320"/>
          </w:tcPr>
          <w:p>
            <w:r>
              <w:t>Archiving</w:t>
            </w:r>
          </w:p>
        </w:tc>
        <w:tc>
          <w:tcPr>
            <w:tcW w:type="dxa" w:w="4320"/>
          </w:tcPr>
          <w:p>
            <w:r>
              <w:t>Annual archival of procurement data older than 36 months to cold storage. Archiving mechanism TBD in Target Architecture.</w:t>
            </w:r>
          </w:p>
        </w:tc>
      </w:tr>
      <w:tr>
        <w:tc>
          <w:tcPr>
            <w:tcW w:type="dxa" w:w="4320"/>
          </w:tcPr>
          <w:p>
            <w:r>
              <w:t>Backup Configuration</w:t>
            </w:r>
          </w:p>
        </w:tc>
        <w:tc>
          <w:tcPr>
            <w:tcW w:type="dxa" w:w="4320"/>
          </w:tcPr>
          <w:p>
            <w:r>
              <w:t>PostgreSQL: nightly full backup. Transaction log backup every 4 hours in production. Vercel frontend: no backup needed (code in GitHub).</w:t>
            </w:r>
          </w:p>
        </w:tc>
      </w:tr>
      <w:tr>
        <w:tc>
          <w:tcPr>
            <w:tcW w:type="dxa" w:w="4320"/>
          </w:tcPr>
          <w:p>
            <w:r>
              <w:t>Data Retention Period</w:t>
            </w:r>
          </w:p>
        </w:tc>
        <w:tc>
          <w:tcPr>
            <w:tcW w:type="dxa" w:w="4320"/>
          </w:tcPr>
          <w:p>
            <w:r>
              <w:t>Procurement transactional data: 7 years (aligned with KPMG audit retention policy). Audit logs: 5 years.</w:t>
            </w:r>
          </w:p>
        </w:tc>
      </w:tr>
      <w:tr>
        <w:tc>
          <w:tcPr>
            <w:tcW w:type="dxa" w:w="4320"/>
          </w:tcPr>
          <w:p>
            <w:r>
              <w:t>Downtime for Servicing</w:t>
            </w:r>
          </w:p>
        </w:tc>
        <w:tc>
          <w:tcPr>
            <w:tcW w:type="dxa" w:w="4320"/>
          </w:tcPr>
          <w:p>
            <w:r>
              <w:t>Maintenance window: Sundays 00:00–04:00 IST. Aligned with low-usage window.</w:t>
            </w:r>
          </w:p>
        </w:tc>
      </w:tr>
      <w:tr>
        <w:tc>
          <w:tcPr>
            <w:tcW w:type="dxa" w:w="4320"/>
          </w:tcPr>
          <w:p>
            <w:r>
              <w:t>Hours of Operation</w:t>
            </w:r>
          </w:p>
        </w:tc>
        <w:tc>
          <w:tcPr>
            <w:tcW w:type="dxa" w:w="4320"/>
          </w:tcPr>
          <w:p>
            <w:r>
              <w:t>24×7×365 (production). Pilot: 08:00–20:00 IST weekdays.</w:t>
            </w:r>
          </w:p>
        </w:tc>
      </w:tr>
      <w:tr>
        <w:tc>
          <w:tcPr>
            <w:tcW w:type="dxa" w:w="4320"/>
          </w:tcPr>
          <w:p>
            <w:r>
              <w:t>MTTR</w:t>
            </w:r>
          </w:p>
        </w:tc>
        <w:tc>
          <w:tcPr>
            <w:tcW w:type="dxa" w:w="4320"/>
          </w:tcPr>
          <w:p>
            <w:r>
              <w:t>Target: &lt; 4 hours for production incidents. Pilot: best-effort.</w:t>
            </w:r>
          </w:p>
        </w:tc>
      </w:tr>
      <w:tr>
        <w:tc>
          <w:tcPr>
            <w:tcW w:type="dxa" w:w="4320"/>
          </w:tcPr>
          <w:p>
            <w:r>
              <w:t>RPO</w:t>
            </w:r>
          </w:p>
        </w:tc>
        <w:tc>
          <w:tcPr>
            <w:tcW w:type="dxa" w:w="4320"/>
          </w:tcPr>
          <w:p>
            <w:r>
              <w:t>Production: 4 hours (aligned with transaction log backup frequency). Pilot: 24 hours.</w:t>
            </w:r>
          </w:p>
        </w:tc>
      </w:tr>
      <w:tr>
        <w:tc>
          <w:tcPr>
            <w:tcW w:type="dxa" w:w="4320"/>
          </w:tcPr>
          <w:p>
            <w:r>
              <w:t>RTO</w:t>
            </w:r>
          </w:p>
        </w:tc>
        <w:tc>
          <w:tcPr>
            <w:tcW w:type="dxa" w:w="4320"/>
          </w:tcPr>
          <w:p>
            <w:r>
              <w:t>Production: 8 hours (Gold tier). Pilot: 1–3 days (Bronze tier).</w:t>
            </w:r>
          </w:p>
        </w:tc>
      </w:tr>
      <w:tr>
        <w:tc>
          <w:tcPr>
            <w:tcW w:type="dxa" w:w="4320"/>
          </w:tcPr>
          <w:p>
            <w:r>
              <w:t>Business Owner RTO/RPO</w:t>
            </w:r>
          </w:p>
        </w:tc>
        <w:tc>
          <w:tcPr>
            <w:tcW w:type="dxa" w:w="4320"/>
          </w:tcPr>
          <w:p>
            <w:r>
              <w:t>[KPMG Procurement Lead — TBD]</w:t>
            </w:r>
          </w:p>
        </w:tc>
      </w:tr>
    </w:tbl>
    <w:p/>
    <w:p>
      <w:pPr>
        <w:pStyle w:val="Heading1"/>
      </w:pPr>
      <w:r>
        <w:rPr>
          <w:color w:val="003366"/>
        </w:rPr>
        <w:t>10. Compliance and Standard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Req ID</w:t>
            </w:r>
          </w:p>
        </w:tc>
        <w:tc>
          <w:tcPr>
            <w:tcW w:type="dxa" w:w="2880"/>
          </w:tcPr>
          <w:p>
            <w:r>
              <w:rPr>
                <w:b/>
              </w:rPr>
              <w:t>Requirement Name &amp; Description</w:t>
            </w:r>
          </w:p>
        </w:tc>
        <w:tc>
          <w:tcPr>
            <w:tcW w:type="dxa" w:w="2880"/>
          </w:tcPr>
          <w:p>
            <w:r>
              <w:rPr>
                <w:b/>
              </w:rPr>
              <w:t>Impacted Countries</w:t>
            </w:r>
          </w:p>
        </w:tc>
      </w:tr>
      <w:tr>
        <w:tc>
          <w:tcPr>
            <w:tcW w:type="dxa" w:w="2880"/>
          </w:tcPr>
          <w:p>
            <w:r>
              <w:t>CSR01</w:t>
            </w:r>
          </w:p>
        </w:tc>
        <w:tc>
          <w:tcPr>
            <w:tcW w:type="dxa" w:w="2880"/>
          </w:tcPr>
          <w:p>
            <w:r>
              <w:t>KPMG Internal Data Classification Policy — Procurement data classified as KPMG Confidential. Data must not leave approved hosting boundaries without encryption.</w:t>
            </w:r>
          </w:p>
        </w:tc>
        <w:tc>
          <w:tcPr>
            <w:tcW w:type="dxa" w:w="2880"/>
          </w:tcPr>
          <w:p>
            <w:r>
              <w:t>India</w:t>
            </w:r>
          </w:p>
        </w:tc>
      </w:tr>
      <w:tr>
        <w:tc>
          <w:tcPr>
            <w:tcW w:type="dxa" w:w="2880"/>
          </w:tcPr>
          <w:p>
            <w:r>
              <w:t>CSR02</w:t>
            </w:r>
          </w:p>
        </w:tc>
        <w:tc>
          <w:tcPr>
            <w:tcW w:type="dxa" w:w="2880"/>
          </w:tcPr>
          <w:p>
            <w:r>
              <w:t>MSMED Act Compliance (India) — MSME vendor flags tracked; overdue payment monitoring (&gt;45 days) per MSME payment regulations.</w:t>
            </w:r>
          </w:p>
        </w:tc>
        <w:tc>
          <w:tcPr>
            <w:tcW w:type="dxa" w:w="2880"/>
          </w:tcPr>
          <w:p>
            <w:r>
              <w:t>India</w:t>
            </w:r>
          </w:p>
        </w:tc>
      </w:tr>
      <w:tr>
        <w:tc>
          <w:tcPr>
            <w:tcW w:type="dxa" w:w="2880"/>
          </w:tcPr>
          <w:p>
            <w:r>
              <w:t>CSR03</w:t>
            </w:r>
          </w:p>
        </w:tc>
        <w:tc>
          <w:tcPr>
            <w:tcW w:type="dxa" w:w="2880"/>
          </w:tcPr>
          <w:p>
            <w:r>
              <w:t>KPMG Password Policy — Passwords must meet KPMG minimum complexity requirements. Current plaintext storage is a known gap; bcrypt hashing required before production.</w:t>
            </w:r>
          </w:p>
        </w:tc>
        <w:tc>
          <w:tcPr>
            <w:tcW w:type="dxa" w:w="2880"/>
          </w:tcPr>
          <w:p>
            <w:r>
              <w:t>India (global standard)</w:t>
            </w:r>
          </w:p>
        </w:tc>
      </w:tr>
      <w:tr>
        <w:tc>
          <w:tcPr>
            <w:tcW w:type="dxa" w:w="2880"/>
          </w:tcPr>
          <w:p>
            <w:r>
              <w:t>CSR04</w:t>
            </w:r>
          </w:p>
        </w:tc>
        <w:tc>
          <w:tcPr>
            <w:tcW w:type="dxa" w:w="2880"/>
          </w:tcPr>
          <w:p>
            <w:r>
              <w:t>Audit Trail Requirements — Full audit log for all user actions per KPMG internal audit standards. Retained for minimum 5 years.</w:t>
            </w:r>
          </w:p>
        </w:tc>
        <w:tc>
          <w:tcPr>
            <w:tcW w:type="dxa" w:w="2880"/>
          </w:tcPr>
          <w:p>
            <w:r>
              <w:t>India</w:t>
            </w:r>
          </w:p>
        </w:tc>
      </w:tr>
      <w:tr>
        <w:tc>
          <w:tcPr>
            <w:tcW w:type="dxa" w:w="2880"/>
          </w:tcPr>
          <w:p>
            <w:r>
              <w:t>CSR05</w:t>
            </w:r>
          </w:p>
        </w:tc>
        <w:tc>
          <w:tcPr>
            <w:tcW w:type="dxa" w:w="2880"/>
          </w:tcPr>
          <w:p>
            <w:r>
              <w:t>GDPR — Not currently applicable (no EU personal data processed). To be assessed if platform is extended to European KPMG entities.</w:t>
            </w:r>
          </w:p>
        </w:tc>
        <w:tc>
          <w:tcPr>
            <w:tcW w:type="dxa" w:w="2880"/>
          </w:tcPr>
          <w:p>
            <w:r>
              <w:t>EU (future)</w:t>
            </w:r>
          </w:p>
        </w:tc>
      </w:tr>
    </w:tbl>
    <w:p/>
    <w:p>
      <w:pPr>
        <w:pStyle w:val="Heading1"/>
      </w:pPr>
      <w:r>
        <w:rPr>
          <w:color w:val="003366"/>
        </w:rPr>
        <w:t>11. Information Architecture</w:t>
      </w:r>
    </w:p>
    <w:p>
      <w:pPr>
        <w:pStyle w:val="Heading2"/>
      </w:pPr>
      <w:r>
        <w:t>11.1 Dashboard Details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Dashboard Name</w:t>
            </w:r>
          </w:p>
        </w:tc>
        <w:tc>
          <w:tcPr>
            <w:tcW w:type="dxa" w:w="2160"/>
          </w:tcPr>
          <w:p>
            <w:r>
              <w:rPr>
                <w:b/>
              </w:rPr>
              <w:t>Source</w:t>
            </w:r>
          </w:p>
        </w:tc>
        <w:tc>
          <w:tcPr>
            <w:tcW w:type="dxa" w:w="2160"/>
          </w:tcPr>
          <w:p>
            <w:r>
              <w:rPr>
                <w:b/>
              </w:rPr>
              <w:t>Users</w:t>
            </w:r>
          </w:p>
        </w:tc>
        <w:tc>
          <w:tcPr>
            <w:tcW w:type="dxa" w:w="2160"/>
          </w:tcPr>
          <w:p>
            <w:r>
              <w:rPr>
                <w:b/>
              </w:rPr>
              <w:t>Refresh</w:t>
            </w:r>
          </w:p>
        </w:tc>
      </w:tr>
      <w:tr>
        <w:tc>
          <w:tcPr>
            <w:tcW w:type="dxa" w:w="2160"/>
          </w:tcPr>
          <w:p>
            <w:r>
              <w:t>Procurement Dashboard</w:t>
            </w:r>
          </w:p>
        </w:tc>
        <w:tc>
          <w:tcPr>
            <w:tcW w:type="dxa" w:w="2160"/>
          </w:tcPr>
          <w:p>
            <w:r>
              <w:t>po_dump, pr_dump, kpi_results, audit_log, process_mining_events</w:t>
            </w:r>
          </w:p>
        </w:tc>
        <w:tc>
          <w:tcPr>
            <w:tcW w:type="dxa" w:w="2160"/>
          </w:tcPr>
          <w:p>
            <w:r>
              <w:t>Procurement Manager, Admin</w:t>
            </w:r>
          </w:p>
        </w:tc>
        <w:tc>
          <w:tcPr>
            <w:tcW w:type="dxa" w:w="2160"/>
          </w:tcPr>
          <w:p>
            <w:r>
              <w:t>On data upload + manual KPI recompute</w:t>
            </w:r>
          </w:p>
        </w:tc>
      </w:tr>
      <w:tr>
        <w:tc>
          <w:tcPr>
            <w:tcW w:type="dxa" w:w="2160"/>
          </w:tcPr>
          <w:p>
            <w:r>
              <w:t>P2P Lifecycle Tracker</w:t>
            </w:r>
          </w:p>
        </w:tc>
        <w:tc>
          <w:tcPr>
            <w:tcW w:type="dxa" w:w="2160"/>
          </w:tcPr>
          <w:p>
            <w:r>
              <w:t>pr_po_grn_invoice (fact table), grn_dump, po_invoice_dump, payment_dump</w:t>
            </w:r>
          </w:p>
        </w:tc>
        <w:tc>
          <w:tcPr>
            <w:tcW w:type="dxa" w:w="2160"/>
          </w:tcPr>
          <w:p>
            <w:r>
              <w:t>All roles</w:t>
            </w:r>
          </w:p>
        </w:tc>
        <w:tc>
          <w:tcPr>
            <w:tcW w:type="dxa" w:w="2160"/>
          </w:tcPr>
          <w:p>
            <w:r>
              <w:t>On data upload</w:t>
            </w:r>
          </w:p>
        </w:tc>
      </w:tr>
      <w:tr>
        <w:tc>
          <w:tcPr>
            <w:tcW w:type="dxa" w:w="2160"/>
          </w:tcPr>
          <w:p>
            <w:r>
              <w:t>Financial Dashboard</w:t>
            </w:r>
          </w:p>
        </w:tc>
        <w:tc>
          <w:tcPr>
            <w:tcW w:type="dxa" w:w="2160"/>
          </w:tcPr>
          <w:p>
            <w:r>
              <w:t>po_dump (CAPEX/OPEX flag), kpi_results, Budget_Master.csv</w:t>
            </w:r>
          </w:p>
        </w:tc>
        <w:tc>
          <w:tcPr>
            <w:tcW w:type="dxa" w:w="2160"/>
          </w:tcPr>
          <w:p>
            <w:r>
              <w:t>Finance User, CXO</w:t>
            </w:r>
          </w:p>
        </w:tc>
        <w:tc>
          <w:tcPr>
            <w:tcW w:type="dxa" w:w="2160"/>
          </w:tcPr>
          <w:p>
            <w:r>
              <w:t>On data upload</w:t>
            </w:r>
          </w:p>
        </w:tc>
      </w:tr>
      <w:tr>
        <w:tc>
          <w:tcPr>
            <w:tcW w:type="dxa" w:w="2160"/>
          </w:tcPr>
          <w:p>
            <w:r>
              <w:t>Vendor Performance</w:t>
            </w:r>
          </w:p>
        </w:tc>
        <w:tc>
          <w:tcPr>
            <w:tcW w:type="dxa" w:w="2160"/>
          </w:tcPr>
          <w:p>
            <w:r>
              <w:t>vendor_master, po_dump, grn_dump, po_invoice_dump, kpi_results</w:t>
            </w:r>
          </w:p>
        </w:tc>
        <w:tc>
          <w:tcPr>
            <w:tcW w:type="dxa" w:w="2160"/>
          </w:tcPr>
          <w:p>
            <w:r>
              <w:t>Procurement Manager, Compliance Officer</w:t>
            </w:r>
          </w:p>
        </w:tc>
        <w:tc>
          <w:tcPr>
            <w:tcW w:type="dxa" w:w="2160"/>
          </w:tcPr>
          <w:p>
            <w:r>
              <w:t>On data upload</w:t>
            </w:r>
          </w:p>
        </w:tc>
      </w:tr>
      <w:tr>
        <w:tc>
          <w:tcPr>
            <w:tcW w:type="dxa" w:w="2160"/>
          </w:tcPr>
          <w:p>
            <w:r>
              <w:t>Leadership Dashboard</w:t>
            </w:r>
          </w:p>
        </w:tc>
        <w:tc>
          <w:tcPr>
            <w:tcW w:type="dxa" w:w="2160"/>
          </w:tcPr>
          <w:p>
            <w:r>
              <w:t>kpi_results (all dashboards), pr_po_grn_invoice</w:t>
            </w:r>
          </w:p>
        </w:tc>
        <w:tc>
          <w:tcPr>
            <w:tcW w:type="dxa" w:w="2160"/>
          </w:tcPr>
          <w:p>
            <w:r>
              <w:t>Leadership, Partner, CXO, Director</w:t>
            </w:r>
          </w:p>
        </w:tc>
        <w:tc>
          <w:tcPr>
            <w:tcW w:type="dxa" w:w="2160"/>
          </w:tcPr>
          <w:p>
            <w:r>
              <w:t>On data upload</w:t>
            </w:r>
          </w:p>
        </w:tc>
      </w:tr>
      <w:tr>
        <w:tc>
          <w:tcPr>
            <w:tcW w:type="dxa" w:w="2160"/>
          </w:tcPr>
          <w:p>
            <w:r>
              <w:t>Utilization Analytics</w:t>
            </w:r>
          </w:p>
        </w:tc>
        <w:tc>
          <w:tcPr>
            <w:tcW w:type="dxa" w:w="2160"/>
          </w:tcPr>
          <w:p>
            <w:r>
              <w:t>po_dump (created_by), pr_dump, kpi_results</w:t>
            </w:r>
          </w:p>
        </w:tc>
        <w:tc>
          <w:tcPr>
            <w:tcW w:type="dxa" w:w="2160"/>
          </w:tcPr>
          <w:p>
            <w:r>
              <w:t>Delivery Manager, Admin</w:t>
            </w:r>
          </w:p>
        </w:tc>
        <w:tc>
          <w:tcPr>
            <w:tcW w:type="dxa" w:w="2160"/>
          </w:tcPr>
          <w:p>
            <w:r>
              <w:t>On data upload</w:t>
            </w:r>
          </w:p>
        </w:tc>
      </w:tr>
      <w:tr>
        <w:tc>
          <w:tcPr>
            <w:tcW w:type="dxa" w:w="2160"/>
          </w:tcPr>
          <w:p>
            <w:r>
              <w:t>Profit Centre Analytics</w:t>
            </w:r>
          </w:p>
        </w:tc>
        <w:tc>
          <w:tcPr>
            <w:tcW w:type="dxa" w:w="2160"/>
          </w:tcPr>
          <w:p>
            <w:r>
              <w:t>po_dump (profit_center), kpi_results</w:t>
            </w:r>
          </w:p>
        </w:tc>
        <w:tc>
          <w:tcPr>
            <w:tcW w:type="dxa" w:w="2160"/>
          </w:tcPr>
          <w:p>
            <w:r>
              <w:t>Finance User, Director</w:t>
            </w:r>
          </w:p>
        </w:tc>
        <w:tc>
          <w:tcPr>
            <w:tcW w:type="dxa" w:w="2160"/>
          </w:tcPr>
          <w:p>
            <w:r>
              <w:t>On data upload</w:t>
            </w:r>
          </w:p>
        </w:tc>
      </w:tr>
      <w:tr>
        <w:tc>
          <w:tcPr>
            <w:tcW w:type="dxa" w:w="2160"/>
          </w:tcPr>
          <w:p>
            <w:r>
              <w:t>AI Assistant</w:t>
            </w:r>
          </w:p>
        </w:tc>
        <w:tc>
          <w:tcPr>
            <w:tcW w:type="dxa" w:w="2160"/>
          </w:tcPr>
          <w:p>
            <w:r>
              <w:t>All PostgreSQL tables (live query)</w:t>
            </w:r>
          </w:p>
        </w:tc>
        <w:tc>
          <w:tcPr>
            <w:tcW w:type="dxa" w:w="2160"/>
          </w:tcPr>
          <w:p>
            <w:r>
              <w:t>All roles</w:t>
            </w:r>
          </w:p>
        </w:tc>
        <w:tc>
          <w:tcPr>
            <w:tcW w:type="dxa" w:w="2160"/>
          </w:tcPr>
          <w:p>
            <w:r>
              <w:t>Real-time (per query)</w:t>
            </w:r>
          </w:p>
        </w:tc>
      </w:tr>
    </w:tbl>
    <w:p/>
    <w:p>
      <w:pPr>
        <w:pStyle w:val="Heading2"/>
      </w:pPr>
      <w:r>
        <w:t>11.2 Entity / Data Details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Data Entity / Class</w:t>
            </w:r>
          </w:p>
        </w:tc>
        <w:tc>
          <w:tcPr>
            <w:tcW w:type="dxa" w:w="2880"/>
          </w:tcPr>
          <w:p>
            <w:r>
              <w:rPr>
                <w:b/>
              </w:rPr>
              <w:t>Description</w:t>
            </w:r>
          </w:p>
        </w:tc>
        <w:tc>
          <w:tcPr>
            <w:tcW w:type="dxa" w:w="2880"/>
          </w:tcPr>
          <w:p>
            <w:r>
              <w:rPr>
                <w:b/>
              </w:rPr>
              <w:t>Business Function</w:t>
            </w:r>
          </w:p>
        </w:tc>
      </w:tr>
      <w:tr>
        <w:tc>
          <w:tcPr>
            <w:tcW w:type="dxa" w:w="2880"/>
          </w:tcPr>
          <w:p>
            <w:r>
              <w:t>Purchase Requisition (pr_dump)</w:t>
            </w:r>
          </w:p>
        </w:tc>
        <w:tc>
          <w:tcPr>
            <w:tcW w:type="dxa" w:w="2880"/>
          </w:tcPr>
          <w:p>
            <w:r>
              <w:t>PR header and line items from SAP MM module. Fields: PR number, item, material, quantity, value, release status, company code, created_on.</w:t>
            </w:r>
          </w:p>
        </w:tc>
        <w:tc>
          <w:tcPr>
            <w:tcW w:type="dxa" w:w="2880"/>
          </w:tcPr>
          <w:p>
            <w:r>
              <w:t>P2P initiation, PR aging analysis, PR→PO conversion tracking</w:t>
            </w:r>
          </w:p>
        </w:tc>
      </w:tr>
      <w:tr>
        <w:tc>
          <w:tcPr>
            <w:tcW w:type="dxa" w:w="2880"/>
          </w:tcPr>
          <w:p>
            <w:r>
              <w:t>Purchase Order (po_dump)</w:t>
            </w:r>
          </w:p>
        </w:tc>
        <w:tc>
          <w:tcPr>
            <w:tcW w:type="dxa" w:w="2880"/>
          </w:tcPr>
          <w:p>
            <w:r>
              <w:t>PO header and line items. Fields: PO number, item, vendor, net_order_value, document_date, company_code, plant, material_group, deletion_indicator, CAPEX/OPEX flag.</w:t>
            </w:r>
          </w:p>
        </w:tc>
        <w:tc>
          <w:tcPr>
            <w:tcW w:type="dxa" w:w="2880"/>
          </w:tcPr>
          <w:p>
            <w:r>
              <w:t>Core procurement transaction; KPI computation; anomaly detection; spend analytics</w:t>
            </w:r>
          </w:p>
        </w:tc>
      </w:tr>
      <w:tr>
        <w:tc>
          <w:tcPr>
            <w:tcW w:type="dxa" w:w="2880"/>
          </w:tcPr>
          <w:p>
            <w:r>
              <w:t>PO Delivery Schedule (po_delivery_dump)</w:t>
            </w:r>
          </w:p>
        </w:tc>
        <w:tc>
          <w:tcPr>
            <w:tcW w:type="dxa" w:w="2880"/>
          </w:tcPr>
          <w:p>
            <w:r>
              <w:t>Expected delivery dates and quantities per PO item.</w:t>
            </w:r>
          </w:p>
        </w:tc>
        <w:tc>
          <w:tcPr>
            <w:tcW w:type="dxa" w:w="2880"/>
          </w:tcPr>
          <w:p>
            <w:r>
              <w:t>Delivery compliance; on-time delivery KPI</w:t>
            </w:r>
          </w:p>
        </w:tc>
      </w:tr>
      <w:tr>
        <w:tc>
          <w:tcPr>
            <w:tcW w:type="dxa" w:w="2880"/>
          </w:tcPr>
          <w:p>
            <w:r>
              <w:t>Goods Receipt (grn_dump)</w:t>
            </w:r>
          </w:p>
        </w:tc>
        <w:tc>
          <w:tcPr>
            <w:tcW w:type="dxa" w:w="2880"/>
          </w:tcPr>
          <w:p>
            <w:r>
              <w:t>GRN postings against POs. Fields: material document, purchasing_document, quantity, posting_date, movement type.</w:t>
            </w:r>
          </w:p>
        </w:tc>
        <w:tc>
          <w:tcPr>
            <w:tcW w:type="dxa" w:w="2880"/>
          </w:tcPr>
          <w:p>
            <w:r>
              <w:t>Three-way match; GRN-without-PO detection; P2P lifecycle</w:t>
            </w:r>
          </w:p>
        </w:tc>
      </w:tr>
      <w:tr>
        <w:tc>
          <w:tcPr>
            <w:tcW w:type="dxa" w:w="2880"/>
          </w:tcPr>
          <w:p>
            <w:r>
              <w:t>PO Invoice (po_invoice_dump)</w:t>
            </w:r>
          </w:p>
        </w:tc>
        <w:tc>
          <w:tcPr>
            <w:tcW w:type="dxa" w:w="2880"/>
          </w:tcPr>
          <w:p>
            <w:r>
              <w:t>Invoice postings linked to POs. Fields: invoice_doc, posting_date, amount_local_ccy, reference_doc.</w:t>
            </w:r>
          </w:p>
        </w:tc>
        <w:tc>
          <w:tcPr>
            <w:tcW w:type="dxa" w:w="2880"/>
          </w:tcPr>
          <w:p>
            <w:r>
              <w:t>Invoice processing; payment matching; duplicate invoice detection</w:t>
            </w:r>
          </w:p>
        </w:tc>
      </w:tr>
      <w:tr>
        <w:tc>
          <w:tcPr>
            <w:tcW w:type="dxa" w:w="2880"/>
          </w:tcPr>
          <w:p>
            <w:r>
              <w:t>Invoice (invoice_dump)</w:t>
            </w:r>
          </w:p>
        </w:tc>
        <w:tc>
          <w:tcPr>
            <w:tcW w:type="dxa" w:w="2880"/>
          </w:tcPr>
          <w:p>
            <w:r>
              <w:t>Standalone invoices from vendors. Fields: invoice_doc, vendor, document_type, posting_date, due_date, amount.</w:t>
            </w:r>
          </w:p>
        </w:tc>
        <w:tc>
          <w:tcPr>
            <w:tcW w:type="dxa" w:w="2880"/>
          </w:tcPr>
          <w:p>
            <w:r>
              <w:t>Payment overdue tracking; vendor payables</w:t>
            </w:r>
          </w:p>
        </w:tc>
      </w:tr>
      <w:tr>
        <w:tc>
          <w:tcPr>
            <w:tcW w:type="dxa" w:w="2880"/>
          </w:tcPr>
          <w:p>
            <w:r>
              <w:t>Payment (payment_dump)</w:t>
            </w:r>
          </w:p>
        </w:tc>
        <w:tc>
          <w:tcPr>
            <w:tcW w:type="dxa" w:w="2880"/>
          </w:tcPr>
          <w:p>
            <w:r>
              <w:t>Payment documents clearing invoices. Fields: payment_doc, vendor, amount_local_ccy, posting_date, clearing_date, cleared_invoice, payment_method.</w:t>
            </w:r>
          </w:p>
        </w:tc>
        <w:tc>
          <w:tcPr>
            <w:tcW w:type="dxa" w:w="2880"/>
          </w:tcPr>
          <w:p>
            <w:r>
              <w:t>Payment cycle time; MSME compliance; cash flow analytics</w:t>
            </w:r>
          </w:p>
        </w:tc>
      </w:tr>
      <w:tr>
        <w:tc>
          <w:tcPr>
            <w:tcW w:type="dxa" w:w="2880"/>
          </w:tcPr>
          <w:p>
            <w:r>
              <w:t>Vendor Master (vendor_master)</w:t>
            </w:r>
          </w:p>
        </w:tc>
        <w:tc>
          <w:tcPr>
            <w:tcW w:type="dxa" w:w="2880"/>
          </w:tcPr>
          <w:p>
            <w:r>
              <w:t>Vendor reference data. Fields: vendor code, name, country, city, account_group, posting_block, MSME flag.</w:t>
            </w:r>
          </w:p>
        </w:tc>
        <w:tc>
          <w:tcPr>
            <w:tcW w:type="dxa" w:w="2880"/>
          </w:tcPr>
          <w:p>
            <w:r>
              <w:t>Vendor performance; compliance; spend concentration</w:t>
            </w:r>
          </w:p>
        </w:tc>
      </w:tr>
      <w:tr>
        <w:tc>
          <w:tcPr>
            <w:tcW w:type="dxa" w:w="2880"/>
          </w:tcPr>
          <w:p>
            <w:r>
              <w:t>Change Log (change_log)</w:t>
            </w:r>
          </w:p>
        </w:tc>
        <w:tc>
          <w:tcPr>
            <w:tcW w:type="dxa" w:w="2880"/>
          </w:tcPr>
          <w:p>
            <w:r>
              <w:t>SAP object change history. Fields: object_class, object_id, change_number, username, change_date, field_name.</w:t>
            </w:r>
          </w:p>
        </w:tc>
        <w:tc>
          <w:tcPr>
            <w:tcW w:type="dxa" w:w="2880"/>
          </w:tcPr>
          <w:p>
            <w:r>
              <w:t>PO amendment detection; approval cycle tracking; audit</w:t>
            </w:r>
          </w:p>
        </w:tc>
      </w:tr>
      <w:tr>
        <w:tc>
          <w:tcPr>
            <w:tcW w:type="dxa" w:w="2880"/>
          </w:tcPr>
          <w:p>
            <w:r>
              <w:t>KPI Results (kpi_results)</w:t>
            </w:r>
          </w:p>
        </w:tc>
        <w:tc>
          <w:tcPr>
            <w:tcW w:type="dxa" w:w="2880"/>
          </w:tcPr>
          <w:p>
            <w:r>
              <w:t>Pre-computed KPI values. Fields: kpi_code, kpi_name, value_numeric, value_text, unit, dashboard, company_code.</w:t>
            </w:r>
          </w:p>
        </w:tc>
        <w:tc>
          <w:tcPr>
            <w:tcW w:type="dxa" w:w="2880"/>
          </w:tcPr>
          <w:p>
            <w:r>
              <w:t>All dashboard KPI displays; trend analysis</w:t>
            </w:r>
          </w:p>
        </w:tc>
      </w:tr>
      <w:tr>
        <w:tc>
          <w:tcPr>
            <w:tcW w:type="dxa" w:w="2880"/>
          </w:tcPr>
          <w:p>
            <w:r>
              <w:t>Anomaly / Process Mining (process_mining_events)</w:t>
            </w:r>
          </w:p>
        </w:tc>
        <w:tc>
          <w:tcPr>
            <w:tcW w:type="dxa" w:w="2880"/>
          </w:tcPr>
          <w:p>
            <w:r>
              <w:t>Per-PO anomaly classifications. Fields: purchasing_document, anomaly_flags (comma-separated), anomaly_count, variant_class.</w:t>
            </w:r>
          </w:p>
        </w:tc>
        <w:tc>
          <w:tcPr>
            <w:tcW w:type="dxa" w:w="2880"/>
          </w:tcPr>
          <w:p>
            <w:r>
              <w:t>Anomaly alert center; compliance monitoring</w:t>
            </w:r>
          </w:p>
        </w:tc>
      </w:tr>
      <w:tr>
        <w:tc>
          <w:tcPr>
            <w:tcW w:type="dxa" w:w="2880"/>
          </w:tcPr>
          <w:p>
            <w:r>
              <w:t>P2P Fact Table (pr_po_grn_invoice)</w:t>
            </w:r>
          </w:p>
        </w:tc>
        <w:tc>
          <w:tcPr>
            <w:tcW w:type="dxa" w:w="2880"/>
          </w:tcPr>
          <w:p>
            <w:r>
              <w:t>Denormalised P2P fact. Fields: PR, PO, vendor, cycle times (pr_to_po_days, po_to_grn_days, etc.), amounts, CAPEX/OPEX flag, is_maverick.</w:t>
            </w:r>
          </w:p>
        </w:tc>
        <w:tc>
          <w:tcPr>
            <w:tcW w:type="dxa" w:w="2880"/>
          </w:tcPr>
          <w:p>
            <w:r>
              <w:t>P2P lifecycle analytics; cycle time KPIs; AI assistant</w:t>
            </w:r>
          </w:p>
        </w:tc>
      </w:tr>
      <w:tr>
        <w:tc>
          <w:tcPr>
            <w:tcW w:type="dxa" w:w="2880"/>
          </w:tcPr>
          <w:p>
            <w:r>
              <w:t>Users (users)</w:t>
            </w:r>
          </w:p>
        </w:tc>
        <w:tc>
          <w:tcPr>
            <w:tcW w:type="dxa" w:w="2880"/>
          </w:tcPr>
          <w:p>
            <w:r>
              <w:t>Internal user accounts. Fields: user_id (UUID), email, full_name, role, password, is_active, created_at.</w:t>
            </w:r>
          </w:p>
        </w:tc>
        <w:tc>
          <w:tcPr>
            <w:tcW w:type="dxa" w:w="2880"/>
          </w:tcPr>
          <w:p>
            <w:r>
              <w:t>Authentication; authorization; user management</w:t>
            </w:r>
          </w:p>
        </w:tc>
      </w:tr>
      <w:tr>
        <w:tc>
          <w:tcPr>
            <w:tcW w:type="dxa" w:w="2880"/>
          </w:tcPr>
          <w:p>
            <w:r>
              <w:t>Audit Log (audit_log)</w:t>
            </w:r>
          </w:p>
        </w:tc>
        <w:tc>
          <w:tcPr>
            <w:tcW w:type="dxa" w:w="2880"/>
          </w:tcPr>
          <w:p>
            <w:r>
              <w:t>System-wide event log. Fields: user_id, action, entity_type, details, created_at.</w:t>
            </w:r>
          </w:p>
        </w:tc>
        <w:tc>
          <w:tcPr>
            <w:tcW w:type="dxa" w:w="2880"/>
          </w:tcPr>
          <w:p>
            <w:r>
              <w:t>Compliance; session tracking; admin audit trail</w:t>
            </w:r>
          </w:p>
        </w:tc>
      </w:tr>
      <w:tr>
        <w:tc>
          <w:tcPr>
            <w:tcW w:type="dxa" w:w="2880"/>
          </w:tcPr>
          <w:p>
            <w:r>
              <w:t>Budget Master (Budget_Master.csv)</w:t>
            </w:r>
          </w:p>
        </w:tc>
        <w:tc>
          <w:tcPr>
            <w:tcW w:type="dxa" w:w="2880"/>
          </w:tcPr>
          <w:p>
            <w:r>
              <w:t>Budget allocations by company code and cost category.</w:t>
            </w:r>
          </w:p>
        </w:tc>
        <w:tc>
          <w:tcPr>
            <w:tcW w:type="dxa" w:w="2880"/>
          </w:tcPr>
          <w:p>
            <w:r>
              <w:t>Financial dashboard budget vs actuals</w:t>
            </w:r>
          </w:p>
        </w:tc>
      </w:tr>
    </w:tbl>
    <w:p/>
    <w:p>
      <w:pPr>
        <w:pStyle w:val="Heading2"/>
      </w:pPr>
      <w:r>
        <w:t>11.3 Data Archiving, Migration and Retention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Req ID</w:t>
            </w:r>
          </w:p>
        </w:tc>
        <w:tc>
          <w:tcPr>
            <w:tcW w:type="dxa" w:w="2160"/>
          </w:tcPr>
          <w:p>
            <w:r>
              <w:rPr>
                <w:b/>
              </w:rPr>
              <w:t>Data Class</w:t>
            </w:r>
          </w:p>
        </w:tc>
        <w:tc>
          <w:tcPr>
            <w:tcW w:type="dxa" w:w="2160"/>
          </w:tcPr>
          <w:p>
            <w:r>
              <w:rPr>
                <w:b/>
              </w:rPr>
              <w:t>Archiving Required</w:t>
            </w:r>
          </w:p>
        </w:tc>
        <w:tc>
          <w:tcPr>
            <w:tcW w:type="dxa" w:w="2160"/>
          </w:tcPr>
          <w:p>
            <w:r>
              <w:rPr>
                <w:b/>
              </w:rPr>
              <w:t>Retention Period</w:t>
            </w:r>
          </w:p>
        </w:tc>
      </w:tr>
      <w:tr>
        <w:tc>
          <w:tcPr>
            <w:tcW w:type="dxa" w:w="2160"/>
          </w:tcPr>
          <w:p>
            <w:r>
              <w:t>DAR01</w:t>
            </w:r>
          </w:p>
        </w:tc>
        <w:tc>
          <w:tcPr>
            <w:tcW w:type="dxa" w:w="2160"/>
          </w:tcPr>
          <w:p>
            <w:r>
              <w:t>Procurement transactional data (po_dump, pr_dump, grn_dump, invoices, payments)</w:t>
            </w:r>
          </w:p>
        </w:tc>
        <w:tc>
          <w:tcPr>
            <w:tcW w:type="dxa" w:w="2160"/>
          </w:tcPr>
          <w:p>
            <w:r>
              <w:t>✓</w:t>
            </w:r>
          </w:p>
        </w:tc>
        <w:tc>
          <w:tcPr>
            <w:tcW w:type="dxa" w:w="2160"/>
          </w:tcPr>
          <w:p>
            <w:r>
              <w:t>7 years (KPMG audit retention)</w:t>
            </w:r>
          </w:p>
        </w:tc>
      </w:tr>
      <w:tr>
        <w:tc>
          <w:tcPr>
            <w:tcW w:type="dxa" w:w="2160"/>
          </w:tcPr>
          <w:p>
            <w:r>
              <w:t>DAR02</w:t>
            </w:r>
          </w:p>
        </w:tc>
        <w:tc>
          <w:tcPr>
            <w:tcW w:type="dxa" w:w="2160"/>
          </w:tcPr>
          <w:p>
            <w:r>
              <w:t>Audit Log</w:t>
            </w:r>
          </w:p>
        </w:tc>
        <w:tc>
          <w:tcPr>
            <w:tcW w:type="dxa" w:w="2160"/>
          </w:tcPr>
          <w:p>
            <w:r>
              <w:t>✓</w:t>
            </w:r>
          </w:p>
        </w:tc>
        <w:tc>
          <w:tcPr>
            <w:tcW w:type="dxa" w:w="2160"/>
          </w:tcPr>
          <w:p>
            <w:r>
              <w:t>5 years</w:t>
            </w:r>
          </w:p>
        </w:tc>
      </w:tr>
      <w:tr>
        <w:tc>
          <w:tcPr>
            <w:tcW w:type="dxa" w:w="2160"/>
          </w:tcPr>
          <w:p>
            <w:r>
              <w:t>DAR03</w:t>
            </w:r>
          </w:p>
        </w:tc>
        <w:tc>
          <w:tcPr>
            <w:tcW w:type="dxa" w:w="2160"/>
          </w:tcPr>
          <w:p>
            <w:r>
              <w:t>KPI Results (kpi_results)</w:t>
            </w:r>
          </w:p>
        </w:tc>
        <w:tc>
          <w:tcPr>
            <w:tcW w:type="dxa" w:w="2160"/>
          </w:tcPr>
          <w:p>
            <w:r>
              <w:t>✗</w:t>
            </w:r>
          </w:p>
        </w:tc>
        <w:tc>
          <w:tcPr>
            <w:tcW w:type="dxa" w:w="2160"/>
          </w:tcPr>
          <w:p>
            <w:r>
              <w:t>Rolling 36 months; recomputable from source data</w:t>
            </w:r>
          </w:p>
        </w:tc>
      </w:tr>
      <w:tr>
        <w:tc>
          <w:tcPr>
            <w:tcW w:type="dxa" w:w="2160"/>
          </w:tcPr>
          <w:p>
            <w:r>
              <w:t>DAR04</w:t>
            </w:r>
          </w:p>
        </w:tc>
        <w:tc>
          <w:tcPr>
            <w:tcW w:type="dxa" w:w="2160"/>
          </w:tcPr>
          <w:p>
            <w:r>
              <w:t>User accounts</w:t>
            </w:r>
          </w:p>
        </w:tc>
        <w:tc>
          <w:tcPr>
            <w:tcW w:type="dxa" w:w="2160"/>
          </w:tcPr>
          <w:p>
            <w:r>
              <w:t>✓</w:t>
            </w:r>
          </w:p>
        </w:tc>
        <w:tc>
          <w:tcPr>
            <w:tcW w:type="dxa" w:w="2160"/>
          </w:tcPr>
          <w:p>
            <w:r>
              <w:t>Duration of employment + 2 years</w:t>
            </w:r>
          </w:p>
        </w:tc>
      </w:tr>
      <w:tr>
        <w:tc>
          <w:tcPr>
            <w:tcW w:type="dxa" w:w="2160"/>
          </w:tcPr>
          <w:p>
            <w:r>
              <w:t>DAR05</w:t>
            </w:r>
          </w:p>
        </w:tc>
        <w:tc>
          <w:tcPr>
            <w:tcW w:type="dxa" w:w="2160"/>
          </w:tcPr>
          <w:p>
            <w:r>
              <w:t>Change Log (change_log)</w:t>
            </w:r>
          </w:p>
        </w:tc>
        <w:tc>
          <w:tcPr>
            <w:tcW w:type="dxa" w:w="2160"/>
          </w:tcPr>
          <w:p>
            <w:r>
              <w:t>✓</w:t>
            </w:r>
          </w:p>
        </w:tc>
        <w:tc>
          <w:tcPr>
            <w:tcW w:type="dxa" w:w="2160"/>
          </w:tcPr>
          <w:p>
            <w:r>
              <w:t>7 years (mirrors SAP change log retention)</w:t>
            </w:r>
          </w:p>
        </w:tc>
      </w:tr>
    </w:tbl>
    <w:p/>
    <w:p>
      <w:pPr>
        <w:pStyle w:val="Heading1"/>
      </w:pPr>
      <w:r>
        <w:rPr>
          <w:color w:val="003366"/>
        </w:rPr>
        <w:t>12. Application Architecture</w:t>
      </w:r>
    </w:p>
    <w:p>
      <w:pPr>
        <w:pStyle w:val="Heading2"/>
      </w:pPr>
      <w:r>
        <w:t>12.1 Conceptual / Logical Application Architecture</w:t>
      </w:r>
    </w:p>
    <w:p>
      <w:r>
        <w:t>Layer diagram (described below; diagram to be inserted as Figure 12.1):</w:t>
        <w:br/>
        <w:br/>
        <w:t xml:space="preserve">  [Users (Browser)] </w:t>
        <w:br/>
        <w:t xml:space="preserve">       ↓ HTTPS</w:t>
        <w:br/>
        <w:t xml:space="preserve">  [Presentation Layer — React SPA (Vite, TanStack Router, shadcn/ui)] hosted on Vercel CDN</w:t>
        <w:br/>
        <w:t xml:space="preserve">       ↓ REST API (HTTP/JSON)</w:t>
        <w:br/>
        <w:t xml:space="preserve">  [Application Layer — FastAPI (Python 3.11)]</w:t>
        <w:br/>
        <w:t xml:space="preserve">    ├─ /api/kpi        → KPI Engine (kpi_engine.py)</w:t>
        <w:br/>
        <w:t xml:space="preserve">    ├─ /api/p2p        → P2P Router (p2p.py)</w:t>
        <w:br/>
        <w:t xml:space="preserve">    ├─ /api/upload     → ETL Pipeline (etl.py, fact_builder.py)</w:t>
        <w:br/>
        <w:t xml:space="preserve">    ├─ /api/auth       → Auth Router (auth.py)</w:t>
        <w:br/>
        <w:t xml:space="preserve">    ├─ /api/chat       → AI Chat Engine (chat_engine.py → OpenRouter API)</w:t>
        <w:br/>
        <w:t xml:space="preserve">    ├─ /api/actions    → Actions Router</w:t>
        <w:br/>
        <w:t xml:space="preserve">    └─ /api/profit_center → Profit Centre Router</w:t>
        <w:br/>
        <w:t xml:space="preserve">       ↓ psycopg3</w:t>
        <w:br/>
        <w:t xml:space="preserve">  [Data Layer — PostgreSQL 15+]</w:t>
        <w:br/>
        <w:t xml:space="preserve">    Tables: po_dump, pr_dump, grn_dump, po_invoice_dump, invoice_dump,</w:t>
        <w:br/>
        <w:t xml:space="preserve">            payment_dump, vendor_master, change_log, kpi_results,</w:t>
        <w:br/>
        <w:t xml:space="preserve">            process_mining_events, pr_po_grn_invoice, users, audit_log</w:t>
        <w:br/>
        <w:t xml:space="preserve">       ↓ External</w:t>
        <w:br/>
        <w:t xml:space="preserve">  [OpenRouter API — GPT-4o] (AI assistant tool calls)</w:t>
      </w:r>
    </w:p>
    <w:p>
      <w:pPr>
        <w:pStyle w:val="Heading2"/>
      </w:pPr>
      <w:r>
        <w:t>12.2 Application Components</w:t>
      </w:r>
    </w:p>
    <w:tbl>
      <w:tblPr>
        <w:tblStyle w:val="TableGrid"/>
        <w:tblW w:type="auto" w:w="0"/>
        <w:tblLook w:firstColumn="1" w:firstRow="1" w:lastColumn="0" w:lastRow="0" w:noHBand="0" w:noVBand="1" w:val="04A0"/>
      </w:tblPr>
      <w:tblGrid>
        <w:gridCol w:w="4320"/>
        <w:gridCol w:w="4320"/>
      </w:tblGrid>
      <w:tr>
        <w:tc>
          <w:tcPr>
            <w:tcW w:type="dxa" w:w="4320"/>
          </w:tcPr>
          <w:p>
            <w:r>
              <w:rPr>
                <w:b/>
              </w:rPr>
              <w:t>Component</w:t>
            </w:r>
          </w:p>
        </w:tc>
        <w:tc>
          <w:tcPr>
            <w:tcW w:type="dxa" w:w="4320"/>
          </w:tcPr>
          <w:p>
            <w:r>
              <w:rPr>
                <w:b/>
              </w:rPr>
              <w:t>Description</w:t>
            </w:r>
          </w:p>
        </w:tc>
      </w:tr>
      <w:tr>
        <w:tc>
          <w:tcPr>
            <w:tcW w:type="dxa" w:w="4320"/>
          </w:tcPr>
          <w:p>
            <w:r>
              <w:t>Web Frontend (React SPA)</w:t>
            </w:r>
          </w:p>
        </w:tc>
        <w:tc>
          <w:tcPr>
            <w:tcW w:type="dxa" w:w="4320"/>
          </w:tcPr>
          <w:p>
            <w:r>
              <w:t>Single-page application built with React 18, TypeScript, Vite. Routes: /dashboard, /p2p, /financial, /vendors, /leadership, /utilization, /profit-center, /upload, /ask, /actions, /history, /admin/*, /login, /signup. State management: TanStack Query (server state) + React Context (auth/theme).</w:t>
            </w:r>
          </w:p>
        </w:tc>
      </w:tr>
      <w:tr>
        <w:tc>
          <w:tcPr>
            <w:tcW w:type="dxa" w:w="4320"/>
          </w:tcPr>
          <w:p>
            <w:r>
              <w:t>FastAPI Backend</w:t>
            </w:r>
          </w:p>
        </w:tc>
        <w:tc>
          <w:tcPr>
            <w:tcW w:type="dxa" w:w="4320"/>
          </w:tcPr>
          <w:p>
            <w:r>
              <w:t>Python 3.11 REST API. 8 routers: upload, kpi, p2p, events, actions, auth, chat, profit_center. Async lifespan with DB pre-warming (8 connections). CORS configured for localhost and Vercel production URL.</w:t>
            </w:r>
          </w:p>
        </w:tc>
      </w:tr>
      <w:tr>
        <w:tc>
          <w:tcPr>
            <w:tcW w:type="dxa" w:w="4320"/>
          </w:tcPr>
          <w:p>
            <w:r>
              <w:t>KPI Engine (kpi_engine.py)</w:t>
            </w:r>
          </w:p>
        </w:tc>
        <w:tc>
          <w:tcPr>
            <w:tcW w:type="dxa" w:w="4320"/>
          </w:tcPr>
          <w:p>
            <w:r>
              <w:t>Computes 90+ KPIs across 5 dashboards (procurement, financial, vendor, leadership, utilization) via direct PostgreSQL SQL. Stores results in kpi_results table. Triggered on data upload and on-demand via /api/kpi/recompute.</w:t>
            </w:r>
          </w:p>
        </w:tc>
      </w:tr>
      <w:tr>
        <w:tc>
          <w:tcPr>
            <w:tcW w:type="dxa" w:w="4320"/>
          </w:tcPr>
          <w:p>
            <w:r>
              <w:t>ETL Pipeline (etl.py, fact_builder.py, parser.py, validator.py)</w:t>
            </w:r>
          </w:p>
        </w:tc>
        <w:tc>
          <w:tcPr>
            <w:tcW w:type="dxa" w:w="4320"/>
          </w:tcPr>
          <w:p>
            <w:r>
              <w:t>Validates and ingests CSV uploads. Maps 9 SAP file types to PostgreSQL tables. Builds pr_po_grn_invoice fact table. Triggers KPI recomputation post-load.</w:t>
            </w:r>
          </w:p>
        </w:tc>
      </w:tr>
      <w:tr>
        <w:tc>
          <w:tcPr>
            <w:tcW w:type="dxa" w:w="4320"/>
          </w:tcPr>
          <w:p>
            <w:r>
              <w:t>Anomaly / Process Mining Engine</w:t>
            </w:r>
          </w:p>
        </w:tc>
        <w:tc>
          <w:tcPr>
            <w:tcW w:type="dxa" w:w="4320"/>
          </w:tcPr>
          <w:p>
            <w:r>
              <w:t>Classifies each PO into risk variants and populates process_mining_events table. Detects: MAVERICK_BUY, SPLIT_PO, RETRO_PO, PRICE_VARIANCE, DUPLICATE_INVOICE, THREE_WAY_MISMATCH, GRN_WITHOUT_PO, PAYMENT_BEFORE_GRN, VENDOR_BLOCK, LATE_DELIVERY, OVERDUE_INVOICE, DELETED_AFTER_GRN.</w:t>
            </w:r>
          </w:p>
        </w:tc>
      </w:tr>
      <w:tr>
        <w:tc>
          <w:tcPr>
            <w:tcW w:type="dxa" w:w="4320"/>
          </w:tcPr>
          <w:p>
            <w:r>
              <w:t>AI Chat Engine (chat_engine.py)</w:t>
            </w:r>
          </w:p>
        </w:tc>
        <w:tc>
          <w:tcPr>
            <w:tcW w:type="dxa" w:w="4320"/>
          </w:tcPr>
          <w:p>
            <w:r>
              <w:t>Agentic loop: receives NL query → selects tool → calls PostgreSQL or KPI API → synthesises answer. Model: GPT-4o via OpenRouter. Tools: query_database, get_kpis, find_document, get_anomalies, get_vendor_info, get_p2p_stage_summary. Max 3 tool calls per response.</w:t>
            </w:r>
          </w:p>
        </w:tc>
      </w:tr>
      <w:tr>
        <w:tc>
          <w:tcPr>
            <w:tcW w:type="dxa" w:w="4320"/>
          </w:tcPr>
          <w:p>
            <w:r>
              <w:t>PostgreSQL Database</w:t>
            </w:r>
          </w:p>
        </w:tc>
        <w:tc>
          <w:tcPr>
            <w:tcW w:type="dxa" w:w="4320"/>
          </w:tcPr>
          <w:p>
            <w:r>
              <w:t>Primary data store. Schema managed via schema.sql (init_db on startup). Connection pool: thread-local (8 pre-warmed). Adapter: psycopg3 with sqlite3-compatible HybridRow wrapper.</w:t>
            </w:r>
          </w:p>
        </w:tc>
      </w:tr>
      <w:tr>
        <w:tc>
          <w:tcPr>
            <w:tcW w:type="dxa" w:w="4320"/>
          </w:tcPr>
          <w:p>
            <w:r>
              <w:t>Auth &amp; Session Module</w:t>
            </w:r>
          </w:p>
        </w:tc>
        <w:tc>
          <w:tcPr>
            <w:tcW w:type="dxa" w:w="4320"/>
          </w:tcPr>
          <w:p>
            <w:r>
              <w:t>Custom email/password auth. UUID user IDs. Role-based access. Audit logging on all auth events. Password reset by admin generates random 12-char password.</w:t>
            </w:r>
          </w:p>
        </w:tc>
      </w:tr>
    </w:tbl>
    <w:p/>
    <w:p>
      <w:pPr>
        <w:pStyle w:val="Heading2"/>
      </w:pPr>
      <w:r>
        <w:t>12.3 Application Data Storage</w:t>
      </w:r>
    </w:p>
    <w:tbl>
      <w:tblPr>
        <w:tblStyle w:val="TableGrid"/>
        <w:tblW w:type="auto" w:w="0"/>
        <w:tblLook w:firstColumn="1" w:firstRow="1" w:lastColumn="0" w:lastRow="0" w:noHBand="0" w:noVBand="1" w:val="04A0"/>
      </w:tblPr>
      <w:tblGrid>
        <w:gridCol w:w="4320"/>
        <w:gridCol w:w="4320"/>
      </w:tblGrid>
      <w:tr>
        <w:tc>
          <w:tcPr>
            <w:tcW w:type="dxa" w:w="4320"/>
          </w:tcPr>
          <w:p>
            <w:r>
              <w:rPr>
                <w:b/>
              </w:rPr>
              <w:t>Storage Instance</w:t>
            </w:r>
          </w:p>
        </w:tc>
        <w:tc>
          <w:tcPr>
            <w:tcW w:type="dxa" w:w="4320"/>
          </w:tcPr>
          <w:p>
            <w:r>
              <w:rPr>
                <w:b/>
              </w:rPr>
              <w:t>Description</w:t>
            </w:r>
          </w:p>
        </w:tc>
      </w:tr>
      <w:tr>
        <w:tc>
          <w:tcPr>
            <w:tcW w:type="dxa" w:w="4320"/>
          </w:tcPr>
          <w:p>
            <w:r>
              <w:t>PostgreSQL (Primary)</w:t>
            </w:r>
          </w:p>
        </w:tc>
        <w:tc>
          <w:tcPr>
            <w:tcW w:type="dxa" w:w="4320"/>
          </w:tcPr>
          <w:p>
            <w:r>
              <w:t>All procurement data, KPI results, user accounts, audit log. Local or managed cloud PostgreSQL 15+. Connection URL via DATABASE_URL env var. Default: postgresql://postgres:1234@localhost:5432/intellisource</w:t>
            </w:r>
          </w:p>
        </w:tc>
      </w:tr>
      <w:tr>
        <w:tc>
          <w:tcPr>
            <w:tcW w:type="dxa" w:w="4320"/>
          </w:tcPr>
          <w:p>
            <w:r>
              <w:t>Vercel CDN / Edge</w:t>
            </w:r>
          </w:p>
        </w:tc>
        <w:tc>
          <w:tcPr>
            <w:tcW w:type="dxa" w:w="4320"/>
          </w:tcPr>
          <w:p>
            <w:r>
              <w:t>Frontend static assets (JS, CSS, HTML). No user data stored at CDN layer.</w:t>
            </w:r>
          </w:p>
        </w:tc>
      </w:tr>
      <w:tr>
        <w:tc>
          <w:tcPr>
            <w:tcW w:type="dxa" w:w="4320"/>
          </w:tcPr>
          <w:p>
            <w:r>
              <w:t>GitHub Repository</w:t>
            </w:r>
          </w:p>
        </w:tc>
        <w:tc>
          <w:tcPr>
            <w:tcW w:type="dxa" w:w="4320"/>
          </w:tcPr>
          <w:p>
            <w:r>
              <w:t>Source code, schema.sql, migration scripts. Not a runtime data store.</w:t>
            </w:r>
          </w:p>
        </w:tc>
      </w:tr>
      <w:tr>
        <w:tc>
          <w:tcPr>
            <w:tcW w:type="dxa" w:w="4320"/>
          </w:tcPr>
          <w:p>
            <w:r>
              <w:t>Local Filesystem</w:t>
            </w:r>
          </w:p>
        </w:tc>
        <w:tc>
          <w:tcPr>
            <w:tcW w:type="dxa" w:w="4320"/>
          </w:tcPr>
          <w:p>
            <w:r>
              <w:t>Seed CSV files (data/ directory) for initial data load. Not used in production upload flow.</w:t>
            </w:r>
          </w:p>
        </w:tc>
      </w:tr>
    </w:tbl>
    <w:p/>
    <w:p>
      <w:pPr>
        <w:pStyle w:val="Heading2"/>
      </w:pPr>
      <w:r>
        <w:t>12.4 Technology Stack</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Category</w:t>
            </w:r>
          </w:p>
        </w:tc>
        <w:tc>
          <w:tcPr>
            <w:tcW w:type="dxa" w:w="2880"/>
          </w:tcPr>
          <w:p>
            <w:r>
              <w:rPr>
                <w:b/>
              </w:rPr>
              <w:t>Technology</w:t>
            </w:r>
          </w:p>
        </w:tc>
        <w:tc>
          <w:tcPr>
            <w:tcW w:type="dxa" w:w="2880"/>
          </w:tcPr>
          <w:p>
            <w:r>
              <w:rPr>
                <w:b/>
              </w:rPr>
              <w:t>Version / Notes</w:t>
            </w:r>
          </w:p>
        </w:tc>
      </w:tr>
      <w:tr>
        <w:tc>
          <w:tcPr>
            <w:tcW w:type="dxa" w:w="2880"/>
          </w:tcPr>
          <w:p>
            <w:r>
              <w:t>Frontend Framework</w:t>
            </w:r>
          </w:p>
        </w:tc>
        <w:tc>
          <w:tcPr>
            <w:tcW w:type="dxa" w:w="2880"/>
          </w:tcPr>
          <w:p>
            <w:r>
              <w:t>React</w:t>
            </w:r>
          </w:p>
        </w:tc>
        <w:tc>
          <w:tcPr>
            <w:tcW w:type="dxa" w:w="2880"/>
          </w:tcPr>
          <w:p>
            <w:r>
              <w:t>18.x</w:t>
            </w:r>
          </w:p>
        </w:tc>
      </w:tr>
      <w:tr>
        <w:tc>
          <w:tcPr>
            <w:tcW w:type="dxa" w:w="2880"/>
          </w:tcPr>
          <w:p>
            <w:r>
              <w:t>Frontend Language</w:t>
            </w:r>
          </w:p>
        </w:tc>
        <w:tc>
          <w:tcPr>
            <w:tcW w:type="dxa" w:w="2880"/>
          </w:tcPr>
          <w:p>
            <w:r>
              <w:t>TypeScript</w:t>
            </w:r>
          </w:p>
        </w:tc>
        <w:tc>
          <w:tcPr>
            <w:tcW w:type="dxa" w:w="2880"/>
          </w:tcPr>
          <w:p>
            <w:r>
              <w:t>5.x</w:t>
            </w:r>
          </w:p>
        </w:tc>
      </w:tr>
      <w:tr>
        <w:tc>
          <w:tcPr>
            <w:tcW w:type="dxa" w:w="2880"/>
          </w:tcPr>
          <w:p>
            <w:r>
              <w:t>Frontend Build Tool</w:t>
            </w:r>
          </w:p>
        </w:tc>
        <w:tc>
          <w:tcPr>
            <w:tcW w:type="dxa" w:w="2880"/>
          </w:tcPr>
          <w:p>
            <w:r>
              <w:t>Vite</w:t>
            </w:r>
          </w:p>
        </w:tc>
        <w:tc>
          <w:tcPr>
            <w:tcW w:type="dxa" w:w="2880"/>
          </w:tcPr>
          <w:p>
            <w:r>
              <w:t>5.x</w:t>
            </w:r>
          </w:p>
        </w:tc>
      </w:tr>
      <w:tr>
        <w:tc>
          <w:tcPr>
            <w:tcW w:type="dxa" w:w="2880"/>
          </w:tcPr>
          <w:p>
            <w:r>
              <w:t>Frontend Routing</w:t>
            </w:r>
          </w:p>
        </w:tc>
        <w:tc>
          <w:tcPr>
            <w:tcW w:type="dxa" w:w="2880"/>
          </w:tcPr>
          <w:p>
            <w:r>
              <w:t>TanStack Router</w:t>
            </w:r>
          </w:p>
        </w:tc>
        <w:tc>
          <w:tcPr>
            <w:tcW w:type="dxa" w:w="2880"/>
          </w:tcPr>
          <w:p>
            <w:r>
              <w:t>v1 (file-based routing)</w:t>
            </w:r>
          </w:p>
        </w:tc>
      </w:tr>
      <w:tr>
        <w:tc>
          <w:tcPr>
            <w:tcW w:type="dxa" w:w="2880"/>
          </w:tcPr>
          <w:p>
            <w:r>
              <w:t>Frontend State / Fetch</w:t>
            </w:r>
          </w:p>
        </w:tc>
        <w:tc>
          <w:tcPr>
            <w:tcW w:type="dxa" w:w="2880"/>
          </w:tcPr>
          <w:p>
            <w:r>
              <w:t>TanStack Query</w:t>
            </w:r>
          </w:p>
        </w:tc>
        <w:tc>
          <w:tcPr>
            <w:tcW w:type="dxa" w:w="2880"/>
          </w:tcPr>
          <w:p>
            <w:r>
              <w:t>v5</w:t>
            </w:r>
          </w:p>
        </w:tc>
      </w:tr>
      <w:tr>
        <w:tc>
          <w:tcPr>
            <w:tcW w:type="dxa" w:w="2880"/>
          </w:tcPr>
          <w:p>
            <w:r>
              <w:t>UI Component Library</w:t>
            </w:r>
          </w:p>
        </w:tc>
        <w:tc>
          <w:tcPr>
            <w:tcW w:type="dxa" w:w="2880"/>
          </w:tcPr>
          <w:p>
            <w:r>
              <w:t>shadcn/ui + Radix UI</w:t>
            </w:r>
          </w:p>
        </w:tc>
        <w:tc>
          <w:tcPr>
            <w:tcW w:type="dxa" w:w="2880"/>
          </w:tcPr>
          <w:p>
            <w:r>
              <w:t>Latest</w:t>
            </w:r>
          </w:p>
        </w:tc>
      </w:tr>
      <w:tr>
        <w:tc>
          <w:tcPr>
            <w:tcW w:type="dxa" w:w="2880"/>
          </w:tcPr>
          <w:p>
            <w:r>
              <w:t>CSS Framework</w:t>
            </w:r>
          </w:p>
        </w:tc>
        <w:tc>
          <w:tcPr>
            <w:tcW w:type="dxa" w:w="2880"/>
          </w:tcPr>
          <w:p>
            <w:r>
              <w:t>Tailwind CSS</w:t>
            </w:r>
          </w:p>
        </w:tc>
        <w:tc>
          <w:tcPr>
            <w:tcW w:type="dxa" w:w="2880"/>
          </w:tcPr>
          <w:p>
            <w:r>
              <w:t>v3</w:t>
            </w:r>
          </w:p>
        </w:tc>
      </w:tr>
      <w:tr>
        <w:tc>
          <w:tcPr>
            <w:tcW w:type="dxa" w:w="2880"/>
          </w:tcPr>
          <w:p>
            <w:r>
              <w:t>Charting</w:t>
            </w:r>
          </w:p>
        </w:tc>
        <w:tc>
          <w:tcPr>
            <w:tcW w:type="dxa" w:w="2880"/>
          </w:tcPr>
          <w:p>
            <w:r>
              <w:t>Recharts</w:t>
            </w:r>
          </w:p>
        </w:tc>
        <w:tc>
          <w:tcPr>
            <w:tcW w:type="dxa" w:w="2880"/>
          </w:tcPr>
          <w:p>
            <w:r>
              <w:t>2.x</w:t>
            </w:r>
          </w:p>
        </w:tc>
      </w:tr>
      <w:tr>
        <w:tc>
          <w:tcPr>
            <w:tcW w:type="dxa" w:w="2880"/>
          </w:tcPr>
          <w:p>
            <w:r>
              <w:t>Animation</w:t>
            </w:r>
          </w:p>
        </w:tc>
        <w:tc>
          <w:tcPr>
            <w:tcW w:type="dxa" w:w="2880"/>
          </w:tcPr>
          <w:p>
            <w:r>
              <w:t>Framer Motion</w:t>
            </w:r>
          </w:p>
        </w:tc>
        <w:tc>
          <w:tcPr>
            <w:tcW w:type="dxa" w:w="2880"/>
          </w:tcPr>
          <w:p>
            <w:r>
              <w:t>Latest</w:t>
            </w:r>
          </w:p>
        </w:tc>
      </w:tr>
      <w:tr>
        <w:tc>
          <w:tcPr>
            <w:tcW w:type="dxa" w:w="2880"/>
          </w:tcPr>
          <w:p>
            <w:r>
              <w:t>Package Manager (FE)</w:t>
            </w:r>
          </w:p>
        </w:tc>
        <w:tc>
          <w:tcPr>
            <w:tcW w:type="dxa" w:w="2880"/>
          </w:tcPr>
          <w:p>
            <w:r>
              <w:t>Bun</w:t>
            </w:r>
          </w:p>
        </w:tc>
        <w:tc>
          <w:tcPr>
            <w:tcW w:type="dxa" w:w="2880"/>
          </w:tcPr>
          <w:p>
            <w:r>
              <w:t>1.x</w:t>
            </w:r>
          </w:p>
        </w:tc>
      </w:tr>
      <w:tr>
        <w:tc>
          <w:tcPr>
            <w:tcW w:type="dxa" w:w="2880"/>
          </w:tcPr>
          <w:p>
            <w:r>
              <w:t>Backend Framework</w:t>
            </w:r>
          </w:p>
        </w:tc>
        <w:tc>
          <w:tcPr>
            <w:tcW w:type="dxa" w:w="2880"/>
          </w:tcPr>
          <w:p>
            <w:r>
              <w:t>FastAPI</w:t>
            </w:r>
          </w:p>
        </w:tc>
        <w:tc>
          <w:tcPr>
            <w:tcW w:type="dxa" w:w="2880"/>
          </w:tcPr>
          <w:p>
            <w:r>
              <w:t>Latest</w:t>
            </w:r>
          </w:p>
        </w:tc>
      </w:tr>
      <w:tr>
        <w:tc>
          <w:tcPr>
            <w:tcW w:type="dxa" w:w="2880"/>
          </w:tcPr>
          <w:p>
            <w:r>
              <w:t>Backend Language</w:t>
            </w:r>
          </w:p>
        </w:tc>
        <w:tc>
          <w:tcPr>
            <w:tcW w:type="dxa" w:w="2880"/>
          </w:tcPr>
          <w:p>
            <w:r>
              <w:t>Python</w:t>
            </w:r>
          </w:p>
        </w:tc>
        <w:tc>
          <w:tcPr>
            <w:tcW w:type="dxa" w:w="2880"/>
          </w:tcPr>
          <w:p>
            <w:r>
              <w:t>3.11+</w:t>
            </w:r>
          </w:p>
        </w:tc>
      </w:tr>
      <w:tr>
        <w:tc>
          <w:tcPr>
            <w:tcW w:type="dxa" w:w="2880"/>
          </w:tcPr>
          <w:p>
            <w:r>
              <w:t>ASGI Server</w:t>
            </w:r>
          </w:p>
        </w:tc>
        <w:tc>
          <w:tcPr>
            <w:tcW w:type="dxa" w:w="2880"/>
          </w:tcPr>
          <w:p>
            <w:r>
              <w:t>Uvicorn</w:t>
            </w:r>
          </w:p>
        </w:tc>
        <w:tc>
          <w:tcPr>
            <w:tcW w:type="dxa" w:w="2880"/>
          </w:tcPr>
          <w:p>
            <w:r>
              <w:t>Latest</w:t>
            </w:r>
          </w:p>
        </w:tc>
      </w:tr>
      <w:tr>
        <w:tc>
          <w:tcPr>
            <w:tcW w:type="dxa" w:w="2880"/>
          </w:tcPr>
          <w:p>
            <w:r>
              <w:t>Database Driver</w:t>
            </w:r>
          </w:p>
        </w:tc>
        <w:tc>
          <w:tcPr>
            <w:tcW w:type="dxa" w:w="2880"/>
          </w:tcPr>
          <w:p>
            <w:r>
              <w:t>psycopg3</w:t>
            </w:r>
          </w:p>
        </w:tc>
        <w:tc>
          <w:tcPr>
            <w:tcW w:type="dxa" w:w="2880"/>
          </w:tcPr>
          <w:p>
            <w:r>
              <w:t>3.x</w:t>
            </w:r>
          </w:p>
        </w:tc>
      </w:tr>
      <w:tr>
        <w:tc>
          <w:tcPr>
            <w:tcW w:type="dxa" w:w="2880"/>
          </w:tcPr>
          <w:p>
            <w:r>
              <w:t>Database</w:t>
            </w:r>
          </w:p>
        </w:tc>
        <w:tc>
          <w:tcPr>
            <w:tcW w:type="dxa" w:w="2880"/>
          </w:tcPr>
          <w:p>
            <w:r>
              <w:t>PostgreSQL</w:t>
            </w:r>
          </w:p>
        </w:tc>
        <w:tc>
          <w:tcPr>
            <w:tcW w:type="dxa" w:w="2880"/>
          </w:tcPr>
          <w:p>
            <w:r>
              <w:t>15+</w:t>
            </w:r>
          </w:p>
        </w:tc>
      </w:tr>
      <w:tr>
        <w:tc>
          <w:tcPr>
            <w:tcW w:type="dxa" w:w="2880"/>
          </w:tcPr>
          <w:p>
            <w:r>
              <w:t>AI / LLM</w:t>
            </w:r>
          </w:p>
        </w:tc>
        <w:tc>
          <w:tcPr>
            <w:tcW w:type="dxa" w:w="2880"/>
          </w:tcPr>
          <w:p>
            <w:r>
              <w:t>OpenRouter API (GPT-4o)</w:t>
            </w:r>
          </w:p>
        </w:tc>
        <w:tc>
          <w:tcPr>
            <w:tcW w:type="dxa" w:w="2880"/>
          </w:tcPr>
          <w:p>
            <w:r>
              <w:t>openai/gpt-4o</w:t>
            </w:r>
          </w:p>
        </w:tc>
      </w:tr>
      <w:tr>
        <w:tc>
          <w:tcPr>
            <w:tcW w:type="dxa" w:w="2880"/>
          </w:tcPr>
          <w:p>
            <w:r>
              <w:t>Frontend Hosting / CDN</w:t>
            </w:r>
          </w:p>
        </w:tc>
        <w:tc>
          <w:tcPr>
            <w:tcW w:type="dxa" w:w="2880"/>
          </w:tcPr>
          <w:p>
            <w:r>
              <w:t>Vercel</w:t>
            </w:r>
          </w:p>
        </w:tc>
        <w:tc>
          <w:tcPr>
            <w:tcW w:type="dxa" w:w="2880"/>
          </w:tcPr>
          <w:p>
            <w:r>
              <w:t>Cloud (vercel.app)</w:t>
            </w:r>
          </w:p>
        </w:tc>
      </w:tr>
      <w:tr>
        <w:tc>
          <w:tcPr>
            <w:tcW w:type="dxa" w:w="2880"/>
          </w:tcPr>
          <w:p>
            <w:r>
              <w:t>Source Code Management</w:t>
            </w:r>
          </w:p>
        </w:tc>
        <w:tc>
          <w:tcPr>
            <w:tcW w:type="dxa" w:w="2880"/>
          </w:tcPr>
          <w:p>
            <w:r>
              <w:t>GitHub</w:t>
            </w:r>
          </w:p>
        </w:tc>
        <w:tc>
          <w:tcPr>
            <w:tcW w:type="dxa" w:w="2880"/>
          </w:tcPr>
          <w:p>
            <w:r>
              <w:t>github.com</w:t>
            </w:r>
          </w:p>
        </w:tc>
      </w:tr>
      <w:tr>
        <w:tc>
          <w:tcPr>
            <w:tcW w:type="dxa" w:w="2880"/>
          </w:tcPr>
          <w:p>
            <w:r>
              <w:t>IDE</w:t>
            </w:r>
          </w:p>
        </w:tc>
        <w:tc>
          <w:tcPr>
            <w:tcW w:type="dxa" w:w="2880"/>
          </w:tcPr>
          <w:p>
            <w:r>
              <w:t>VS Code / Cursor</w:t>
            </w:r>
          </w:p>
        </w:tc>
        <w:tc>
          <w:tcPr>
            <w:tcW w:type="dxa" w:w="2880"/>
          </w:tcPr>
          <w:p>
            <w:r>
              <w:t>Developer preference</w:t>
            </w:r>
          </w:p>
        </w:tc>
      </w:tr>
      <w:tr>
        <w:tc>
          <w:tcPr>
            <w:tcW w:type="dxa" w:w="2880"/>
          </w:tcPr>
          <w:p>
            <w:r>
              <w:t>Server Side OS</w:t>
            </w:r>
          </w:p>
        </w:tc>
        <w:tc>
          <w:tcPr>
            <w:tcW w:type="dxa" w:w="2880"/>
          </w:tcPr>
          <w:p>
            <w:r>
              <w:t>Linux (Ubuntu) or Windows Server</w:t>
            </w:r>
          </w:p>
        </w:tc>
        <w:tc>
          <w:tcPr>
            <w:tcW w:type="dxa" w:w="2880"/>
          </w:tcPr>
          <w:p>
            <w:r>
              <w:t>Any psycopg3-compatible</w:t>
            </w:r>
          </w:p>
        </w:tc>
      </w:tr>
      <w:tr>
        <w:tc>
          <w:tcPr>
            <w:tcW w:type="dxa" w:w="2880"/>
          </w:tcPr>
          <w:p>
            <w:r>
              <w:t>Client Side OS</w:t>
            </w:r>
          </w:p>
        </w:tc>
        <w:tc>
          <w:tcPr>
            <w:tcW w:type="dxa" w:w="2880"/>
          </w:tcPr>
          <w:p>
            <w:r>
              <w:t>Windows 10/11, macOS, Linux</w:t>
            </w:r>
          </w:p>
        </w:tc>
        <w:tc>
          <w:tcPr>
            <w:tcW w:type="dxa" w:w="2880"/>
          </w:tcPr>
          <w:p>
            <w:r>
              <w:t>Browser-based; OS-agnostic</w:t>
            </w:r>
          </w:p>
        </w:tc>
      </w:tr>
    </w:tbl>
    <w:p/>
    <w:p>
      <w:pPr>
        <w:pStyle w:val="Heading1"/>
      </w:pPr>
      <w:r>
        <w:rPr>
          <w:color w:val="003366"/>
        </w:rPr>
        <w:t>13. Integration Architecture</w:t>
      </w:r>
    </w:p>
    <w:p>
      <w:pPr>
        <w:pStyle w:val="Heading2"/>
      </w:pPr>
      <w:r>
        <w:t>13.1 Integration Details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Source</w:t>
            </w:r>
          </w:p>
        </w:tc>
        <w:tc>
          <w:tcPr>
            <w:tcW w:type="dxa" w:w="1728"/>
          </w:tcPr>
          <w:p>
            <w:r>
              <w:rPr>
                <w:b/>
              </w:rPr>
              <w:t>Target</w:t>
            </w:r>
          </w:p>
        </w:tc>
        <w:tc>
          <w:tcPr>
            <w:tcW w:type="dxa" w:w="1728"/>
          </w:tcPr>
          <w:p>
            <w:r>
              <w:rPr>
                <w:b/>
              </w:rPr>
              <w:t>Integration Type</w:t>
            </w:r>
          </w:p>
        </w:tc>
        <w:tc>
          <w:tcPr>
            <w:tcW w:type="dxa" w:w="1728"/>
          </w:tcPr>
          <w:p>
            <w:r>
              <w:rPr>
                <w:b/>
              </w:rPr>
              <w:t>Description</w:t>
            </w:r>
          </w:p>
        </w:tc>
        <w:tc>
          <w:tcPr>
            <w:tcW w:type="dxa" w:w="1728"/>
          </w:tcPr>
          <w:p>
            <w:r>
              <w:rPr>
                <w:b/>
              </w:rPr>
              <w:t>Status</w:t>
            </w:r>
          </w:p>
        </w:tc>
      </w:tr>
      <w:tr>
        <w:tc>
          <w:tcPr>
            <w:tcW w:type="dxa" w:w="1728"/>
          </w:tcPr>
          <w:p>
            <w:r>
              <w:t>SAP ECC / S4HANA</w:t>
            </w:r>
          </w:p>
        </w:tc>
        <w:tc>
          <w:tcPr>
            <w:tcW w:type="dxa" w:w="1728"/>
          </w:tcPr>
          <w:p>
            <w:r>
              <w:t>IntelliSource (Upload Module)</w:t>
            </w:r>
          </w:p>
        </w:tc>
        <w:tc>
          <w:tcPr>
            <w:tcW w:type="dxa" w:w="1728"/>
          </w:tcPr>
          <w:p>
            <w:r>
              <w:t>File-based (CSV)</w:t>
            </w:r>
          </w:p>
        </w:tc>
        <w:tc>
          <w:tcPr>
            <w:tcW w:type="dxa" w:w="1728"/>
          </w:tcPr>
          <w:p>
            <w:r>
              <w:t>SAP operator exports 9 table dumps as CSV files. Uploaded via IntelliSource web UI. Batch / on-demand. No real-time API integration in current phase.</w:t>
            </w:r>
          </w:p>
        </w:tc>
        <w:tc>
          <w:tcPr>
            <w:tcW w:type="dxa" w:w="1728"/>
          </w:tcPr>
          <w:p>
            <w:r>
              <w:t>Baseline</w:t>
            </w:r>
          </w:p>
        </w:tc>
      </w:tr>
      <w:tr>
        <w:tc>
          <w:tcPr>
            <w:tcW w:type="dxa" w:w="1728"/>
          </w:tcPr>
          <w:p>
            <w:r>
              <w:t>IntelliSource Backend</w:t>
            </w:r>
          </w:p>
        </w:tc>
        <w:tc>
          <w:tcPr>
            <w:tcW w:type="dxa" w:w="1728"/>
          </w:tcPr>
          <w:p>
            <w:r>
              <w:t>OpenRouter API (GPT-4o)</w:t>
            </w:r>
          </w:p>
        </w:tc>
        <w:tc>
          <w:tcPr>
            <w:tcW w:type="dxa" w:w="1728"/>
          </w:tcPr>
          <w:p>
            <w:r>
              <w:t>REST API (HTTPS/JSON)</w:t>
            </w:r>
          </w:p>
        </w:tc>
        <w:tc>
          <w:tcPr>
            <w:tcW w:type="dxa" w:w="1728"/>
          </w:tcPr>
          <w:p>
            <w:r>
              <w:t>Chat engine sends NL queries + tool results to OpenRouter. Authenticated via OPENROUTER_API_KEY env var. Per-request, synchronous.</w:t>
            </w:r>
          </w:p>
        </w:tc>
        <w:tc>
          <w:tcPr>
            <w:tcW w:type="dxa" w:w="1728"/>
          </w:tcPr>
          <w:p>
            <w:r>
              <w:t>Live</w:t>
            </w:r>
          </w:p>
        </w:tc>
      </w:tr>
      <w:tr>
        <w:tc>
          <w:tcPr>
            <w:tcW w:type="dxa" w:w="1728"/>
          </w:tcPr>
          <w:p>
            <w:r>
              <w:t>IntelliSource Frontend</w:t>
            </w:r>
          </w:p>
        </w:tc>
        <w:tc>
          <w:tcPr>
            <w:tcW w:type="dxa" w:w="1728"/>
          </w:tcPr>
          <w:p>
            <w:r>
              <w:t>IntelliSource Backend</w:t>
            </w:r>
          </w:p>
        </w:tc>
        <w:tc>
          <w:tcPr>
            <w:tcW w:type="dxa" w:w="1728"/>
          </w:tcPr>
          <w:p>
            <w:r>
              <w:t>REST API (HTTP/JSON)</w:t>
            </w:r>
          </w:p>
        </w:tc>
        <w:tc>
          <w:tcPr>
            <w:tcW w:type="dxa" w:w="1728"/>
          </w:tcPr>
          <w:p>
            <w:r>
              <w:t>React SPA calls FastAPI endpoints via apiFetch() client. Base URL configured via VITE_API_URL env var. CORS enabled.</w:t>
            </w:r>
          </w:p>
        </w:tc>
        <w:tc>
          <w:tcPr>
            <w:tcW w:type="dxa" w:w="1728"/>
          </w:tcPr>
          <w:p>
            <w:r>
              <w:t>Live</w:t>
            </w:r>
          </w:p>
        </w:tc>
      </w:tr>
      <w:tr>
        <w:tc>
          <w:tcPr>
            <w:tcW w:type="dxa" w:w="1728"/>
          </w:tcPr>
          <w:p>
            <w:r>
              <w:t>IntelliSource Frontend</w:t>
            </w:r>
          </w:p>
        </w:tc>
        <w:tc>
          <w:tcPr>
            <w:tcW w:type="dxa" w:w="1728"/>
          </w:tcPr>
          <w:p>
            <w:r>
              <w:t>Vercel CDN</w:t>
            </w:r>
          </w:p>
        </w:tc>
        <w:tc>
          <w:tcPr>
            <w:tcW w:type="dxa" w:w="1728"/>
          </w:tcPr>
          <w:p>
            <w:r>
              <w:t>Static hosting</w:t>
            </w:r>
          </w:p>
        </w:tc>
        <w:tc>
          <w:tcPr>
            <w:tcW w:type="dxa" w:w="1728"/>
          </w:tcPr>
          <w:p>
            <w:r>
              <w:t>Vite build output deployed to Vercel. Auto-deploy on GitHub push to main branch.</w:t>
            </w:r>
          </w:p>
        </w:tc>
        <w:tc>
          <w:tcPr>
            <w:tcW w:type="dxa" w:w="1728"/>
          </w:tcPr>
          <w:p>
            <w:r>
              <w:t>Live</w:t>
            </w:r>
          </w:p>
        </w:tc>
      </w:tr>
      <w:tr>
        <w:tc>
          <w:tcPr>
            <w:tcW w:type="dxa" w:w="1728"/>
          </w:tcPr>
          <w:p>
            <w:r>
              <w:t>SAP ECC / S4HANA</w:t>
            </w:r>
          </w:p>
        </w:tc>
        <w:tc>
          <w:tcPr>
            <w:tcW w:type="dxa" w:w="1728"/>
          </w:tcPr>
          <w:p>
            <w:r>
              <w:t>IntelliSource Backend</w:t>
            </w:r>
          </w:p>
        </w:tc>
        <w:tc>
          <w:tcPr>
            <w:tcW w:type="dxa" w:w="1728"/>
          </w:tcPr>
          <w:p>
            <w:r>
              <w:t>REST API (BAPI/OData)</w:t>
            </w:r>
          </w:p>
        </w:tc>
        <w:tc>
          <w:tcPr>
            <w:tcW w:type="dxa" w:w="1728"/>
          </w:tcPr>
          <w:p>
            <w:r>
              <w:t>Target architecture: real-time data pull via SAP BAPI or OData API. Eliminates manual CSV upload step.</w:t>
            </w:r>
          </w:p>
        </w:tc>
        <w:tc>
          <w:tcPr>
            <w:tcW w:type="dxa" w:w="1728"/>
          </w:tcPr>
          <w:p>
            <w:r>
              <w:t>Planned (Target)</w:t>
            </w:r>
          </w:p>
        </w:tc>
      </w:tr>
      <w:tr>
        <w:tc>
          <w:tcPr>
            <w:tcW w:type="dxa" w:w="1728"/>
          </w:tcPr>
          <w:p>
            <w:r>
              <w:t>IntelliSource Backend</w:t>
            </w:r>
          </w:p>
        </w:tc>
        <w:tc>
          <w:tcPr>
            <w:tcW w:type="dxa" w:w="1728"/>
          </w:tcPr>
          <w:p>
            <w:r>
              <w:t>Azure AD (KPMG SSO)</w:t>
            </w:r>
          </w:p>
        </w:tc>
        <w:tc>
          <w:tcPr>
            <w:tcW w:type="dxa" w:w="1728"/>
          </w:tcPr>
          <w:p>
            <w:r>
              <w:t>OAuth 2.0 / SAML</w:t>
            </w:r>
          </w:p>
        </w:tc>
        <w:tc>
          <w:tcPr>
            <w:tcW w:type="dxa" w:w="1728"/>
          </w:tcPr>
          <w:p>
            <w:r>
              <w:t>Target architecture: replace custom auth with KPMG Azure AD SSO. Roles mapped from Azure AD groups.</w:t>
            </w:r>
          </w:p>
        </w:tc>
        <w:tc>
          <w:tcPr>
            <w:tcW w:type="dxa" w:w="1728"/>
          </w:tcPr>
          <w:p>
            <w:r>
              <w:t>Planned (Target)</w:t>
            </w:r>
          </w:p>
        </w:tc>
      </w:tr>
    </w:tbl>
    <w:p/>
    <w:p>
      <w:pPr>
        <w:pStyle w:val="Heading1"/>
      </w:pPr>
      <w:r>
        <w:rPr>
          <w:color w:val="003366"/>
        </w:rPr>
        <w:t>14. Technology Architecture</w:t>
      </w:r>
    </w:p>
    <w:p>
      <w:pPr>
        <w:pStyle w:val="Heading2"/>
      </w:pPr>
      <w:r>
        <w:t>14.1 Hosting / Deployment Architecture</w:t>
      </w:r>
    </w:p>
    <w:p>
      <w:r>
        <w:t>Current (Baseline) deployment:</w:t>
        <w:br/>
        <w:br/>
        <w:t xml:space="preserve">  [Internet / User Browser]</w:t>
        <w:br/>
        <w:t xml:space="preserve">       ↓ HTTPS (443)</w:t>
        <w:br/>
        <w:t xml:space="preserve">  [Vercel Edge CDN] — React SPA (static assets)</w:t>
        <w:br/>
        <w:t xml:space="preserve">       ↓ HTTPS API calls to backend</w:t>
        <w:br/>
        <w:t xml:space="preserve">  [Developer Workstation / Cloud VM — Port 8000]</w:t>
        <w:br/>
        <w:t xml:space="preserve">    FastAPI + Uvicorn (Python 3.11)</w:t>
        <w:br/>
        <w:t xml:space="preserve">       ↓ psycopg3 (Port 5432)</w:t>
        <w:br/>
        <w:t xml:space="preserve">  [PostgreSQL 15 — local or managed cloud]</w:t>
        <w:br/>
        <w:t xml:space="preserve">       ↓ HTTPS (external)</w:t>
        <w:br/>
        <w:t xml:space="preserve">  [OpenRouter API — GPT-4o]</w:t>
        <w:br/>
        <w:br/>
        <w:t>[Architecture diagram to be inserted as Figure 14.1]</w:t>
        <w:br/>
        <w:br/>
        <w:t>Target Architecture will introduce:</w:t>
        <w:br/>
        <w:t>• Docker containers for backend (Kubernetes or Azure Container Apps)</w:t>
        <w:br/>
        <w:t>• Managed PostgreSQL (Azure Database for PostgreSQL Flexible Server)</w:t>
        <w:br/>
        <w:t>• Azure Application Gateway / WAF in front of backend</w:t>
        <w:br/>
        <w:t>• Azure AD for SSO</w:t>
      </w:r>
    </w:p>
    <w:p>
      <w:pPr>
        <w:pStyle w:val="Heading2"/>
      </w:pPr>
      <w:r>
        <w:t>14.2 Environment Details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Environment</w:t>
            </w:r>
          </w:p>
        </w:tc>
        <w:tc>
          <w:tcPr>
            <w:tcW w:type="dxa" w:w="2160"/>
          </w:tcPr>
          <w:p>
            <w:r>
              <w:rPr>
                <w:b/>
              </w:rPr>
              <w:t>Description</w:t>
            </w:r>
          </w:p>
        </w:tc>
        <w:tc>
          <w:tcPr>
            <w:tcW w:type="dxa" w:w="2160"/>
          </w:tcPr>
          <w:p>
            <w:r>
              <w:rPr>
                <w:b/>
              </w:rPr>
              <w:t>Availability</w:t>
            </w:r>
          </w:p>
        </w:tc>
        <w:tc>
          <w:tcPr>
            <w:tcW w:type="dxa" w:w="2160"/>
          </w:tcPr>
          <w:p>
            <w:r>
              <w:rPr>
                <w:b/>
              </w:rPr>
              <w:t>Notes</w:t>
            </w:r>
          </w:p>
        </w:tc>
      </w:tr>
      <w:tr>
        <w:tc>
          <w:tcPr>
            <w:tcW w:type="dxa" w:w="2160"/>
          </w:tcPr>
          <w:p>
            <w:r>
              <w:t>Development</w:t>
            </w:r>
          </w:p>
        </w:tc>
        <w:tc>
          <w:tcPr>
            <w:tcW w:type="dxa" w:w="2160"/>
          </w:tcPr>
          <w:p>
            <w:r>
              <w:t>Developer local machines. Vite dev server (:8080) + FastAPI (:8000) + local PostgreSQL.</w:t>
            </w:r>
          </w:p>
        </w:tc>
        <w:tc>
          <w:tcPr>
            <w:tcW w:type="dxa" w:w="2160"/>
          </w:tcPr>
          <w:p>
            <w:r>
              <w:t>Weekdays 09:00–18:00 IST</w:t>
            </w:r>
          </w:p>
        </w:tc>
        <w:tc>
          <w:tcPr>
            <w:tcW w:type="dxa" w:w="2160"/>
          </w:tcPr>
          <w:p>
            <w:r>
              <w:t>SQLite ghost-process conflict possible on Windows — terminate via Task Manager before restart.</w:t>
            </w:r>
          </w:p>
        </w:tc>
      </w:tr>
      <w:tr>
        <w:tc>
          <w:tcPr>
            <w:tcW w:type="dxa" w:w="2160"/>
          </w:tcPr>
          <w:p>
            <w:r>
              <w:t>QA / Staging</w:t>
            </w:r>
          </w:p>
        </w:tc>
        <w:tc>
          <w:tcPr>
            <w:tcW w:type="dxa" w:w="2160"/>
          </w:tcPr>
          <w:p>
            <w:r>
              <w:t>TBD — to be provisioned for Transition 1. Will mirror production architecture.</w:t>
            </w:r>
          </w:p>
        </w:tc>
        <w:tc>
          <w:tcPr>
            <w:tcW w:type="dxa" w:w="2160"/>
          </w:tcPr>
          <w:p>
            <w:r>
              <w:t>24×7×365 (with 15-day maintenance window per annum)</w:t>
            </w:r>
          </w:p>
        </w:tc>
        <w:tc>
          <w:tcPr>
            <w:tcW w:type="dxa" w:w="2160"/>
          </w:tcPr>
          <w:p>
            <w:r>
              <w:t>To be set up on cloud VM with PostgreSQL managed service.</w:t>
            </w:r>
          </w:p>
        </w:tc>
      </w:tr>
      <w:tr>
        <w:tc>
          <w:tcPr>
            <w:tcW w:type="dxa" w:w="2160"/>
          </w:tcPr>
          <w:p>
            <w:r>
              <w:t>Production</w:t>
            </w:r>
          </w:p>
        </w:tc>
        <w:tc>
          <w:tcPr>
            <w:tcW w:type="dxa" w:w="2160"/>
          </w:tcPr>
          <w:p>
            <w:r>
              <w:t>Vercel (frontend) + cloud VM or managed container (backend) + managed PostgreSQL.</w:t>
            </w:r>
          </w:p>
        </w:tc>
        <w:tc>
          <w:tcPr>
            <w:tcW w:type="dxa" w:w="2160"/>
          </w:tcPr>
          <w:p>
            <w:r>
              <w:t>24×7×365 (with 72-hour annual maintenance)</w:t>
            </w:r>
          </w:p>
        </w:tc>
        <w:tc>
          <w:tcPr>
            <w:tcW w:type="dxa" w:w="2160"/>
          </w:tcPr>
          <w:p>
            <w:r>
              <w:t>Requires bcrypt password hashing, JWT/SSO auth, WAF, and secrets management before go-live.</w:t>
            </w:r>
          </w:p>
        </w:tc>
      </w:tr>
    </w:tbl>
    <w:p/>
    <w:p>
      <w:pPr>
        <w:pStyle w:val="Heading2"/>
      </w:pPr>
      <w:r>
        <w:t>14.3 Ops Support</w:t>
      </w:r>
    </w:p>
    <w:p>
      <w:r>
        <w:t>Production support model (to be formalised):</w:t>
        <w:br/>
        <w:br/>
        <w:t>• Monitoring: /api/health endpoint polled by uptime monitor (UptimeRobot or Azure Monitor). Slow-query alerts on PostgreSQL. Vercel analytics for frontend errors.</w:t>
        <w:br/>
        <w:t>• Incident Management: KPMG IT Service Desk → Tier 3 development team via GitHub Issues.</w:t>
        <w:br/>
        <w:t>• Backup: Nightly PostgreSQL dump via pg_dump to secure cloud storage. Frontend: no backup needed (GitHub is source of truth).</w:t>
        <w:br/>
        <w:t>• Scheduled Jobs: KPI recomputation triggered post-upload (synchronous). Future: nightly scheduled recompute via cron job.</w:t>
      </w:r>
    </w:p>
    <w:p>
      <w:pPr>
        <w:pStyle w:val="Heading1"/>
      </w:pPr>
      <w:r>
        <w:rPr>
          <w:color w:val="003366"/>
        </w:rPr>
        <w:t>15. Security Architecture</w:t>
      </w:r>
    </w:p>
    <w:p>
      <w:pPr>
        <w:pStyle w:val="Heading2"/>
      </w:pPr>
      <w:r>
        <w:t>15.1 Authentication</w:t>
      </w:r>
    </w:p>
    <w:p>
      <w:r>
        <w:t>Current (Baseline):</w:t>
        <w:br/>
        <w:t>• POST /api/auth/login with email + password (plaintext comparison — pre-production only).</w:t>
        <w:br/>
        <w:t>• POST /api/auth/register for self-registration with role selection.</w:t>
        <w:br/>
        <w:t>• Session state held in browser localStorage via React AppContext.</w:t>
        <w:br/>
        <w:t>• No token expiry or refresh mechanism in current phase.</w:t>
        <w:br/>
        <w:br/>
        <w:t>Production Requirements:</w:t>
        <w:br/>
        <w:t>• Passwords hashed with bcrypt (minimum cost factor 12) before any production deployment.</w:t>
        <w:br/>
        <w:t>• JWT access tokens (short-lived, 15 min) + refresh tokens (7 days) OR KPMG Azure AD SSO (OAuth 2.0).</w:t>
        <w:br/>
        <w:t>• MFA via Azure AD Conditional Access (Target Architecture).</w:t>
        <w:br/>
        <w:br/>
        <w:t>[Authentication flow diagram to be inserted as Figure 15.1]</w:t>
      </w:r>
    </w:p>
    <w:p>
      <w:pPr>
        <w:pStyle w:val="Heading2"/>
      </w:pPr>
      <w:r>
        <w:t>15.2 Authorization</w:t>
      </w:r>
    </w:p>
    <w:p>
      <w:r>
        <w:t>Role-Based Access Control (RBAC):</w:t>
        <w:br/>
        <w:t>• 12 predefined roles: Procurement Manager, Delivery Manager, Finance User, Compliance Officer, CXO, Admin, Leadership, Partner, Consultant, Manager, Director, Associate Director.</w:t>
        <w:br/>
        <w:t>• Admin role: user management, password reset, settings configuration.</w:t>
        <w:br/>
        <w:t>• All other roles: dashboard access (role-gated views planned for Transition 1).</w:t>
        <w:br/>
        <w:t>• Current state: role checked at frontend route level; backend does not enforce role on API calls — server-side role enforcement required before production.</w:t>
        <w:br/>
        <w:br/>
        <w:t>[Authorization diagram to be inserted as Figure 15.2]</w:t>
      </w:r>
    </w:p>
    <w:p>
      <w:pPr>
        <w:pStyle w:val="Heading1"/>
      </w:pPr>
      <w:r>
        <w:rPr>
          <w:color w:val="003366"/>
        </w:rPr>
        <w:t>16. Application Architecture – Bill of Materials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Item</w:t>
            </w:r>
          </w:p>
        </w:tc>
        <w:tc>
          <w:tcPr>
            <w:tcW w:type="dxa" w:w="1728"/>
          </w:tcPr>
          <w:p>
            <w:r>
              <w:rPr>
                <w:b/>
              </w:rPr>
              <w:t>OEM / Vendor</w:t>
            </w:r>
          </w:p>
        </w:tc>
        <w:tc>
          <w:tcPr>
            <w:tcW w:type="dxa" w:w="1728"/>
          </w:tcPr>
          <w:p>
            <w:r>
              <w:rPr>
                <w:b/>
              </w:rPr>
              <w:t>Non-Production</w:t>
            </w:r>
          </w:p>
        </w:tc>
        <w:tc>
          <w:tcPr>
            <w:tcW w:type="dxa" w:w="1728"/>
          </w:tcPr>
          <w:p>
            <w:r>
              <w:rPr>
                <w:b/>
              </w:rPr>
              <w:t>Production</w:t>
            </w:r>
          </w:p>
        </w:tc>
        <w:tc>
          <w:tcPr>
            <w:tcW w:type="dxa" w:w="1728"/>
          </w:tcPr>
          <w:p>
            <w:r>
              <w:rPr>
                <w:b/>
              </w:rPr>
              <w:t>License</w:t>
            </w:r>
          </w:p>
        </w:tc>
      </w:tr>
      <w:tr>
        <w:tc>
          <w:tcPr>
            <w:tcW w:type="dxa" w:w="1728"/>
          </w:tcPr>
          <w:p>
            <w:r>
              <w:t>React + TypeScript + Vite</w:t>
            </w:r>
          </w:p>
        </w:tc>
        <w:tc>
          <w:tcPr>
            <w:tcW w:type="dxa" w:w="1728"/>
          </w:tcPr>
          <w:p>
            <w:r>
              <w:t>Meta / Microsoft / Evan You</w:t>
            </w:r>
          </w:p>
        </w:tc>
        <w:tc>
          <w:tcPr>
            <w:tcW w:type="dxa" w:w="1728"/>
          </w:tcPr>
          <w:p>
            <w:r>
              <w:t>5.x</w:t>
            </w:r>
          </w:p>
        </w:tc>
        <w:tc>
          <w:tcPr>
            <w:tcW w:type="dxa" w:w="1728"/>
          </w:tcPr>
          <w:p>
            <w:r>
              <w:t>5.x</w:t>
            </w:r>
          </w:p>
        </w:tc>
        <w:tc>
          <w:tcPr>
            <w:tcW w:type="dxa" w:w="1728"/>
          </w:tcPr>
          <w:p>
            <w:r>
              <w:t>MIT — Open Source</w:t>
            </w:r>
          </w:p>
        </w:tc>
      </w:tr>
      <w:tr>
        <w:tc>
          <w:tcPr>
            <w:tcW w:type="dxa" w:w="1728"/>
          </w:tcPr>
          <w:p>
            <w:r>
              <w:t>TanStack Router + Query</w:t>
            </w:r>
          </w:p>
        </w:tc>
        <w:tc>
          <w:tcPr>
            <w:tcW w:type="dxa" w:w="1728"/>
          </w:tcPr>
          <w:p>
            <w:r>
              <w:t>TanStack</w:t>
            </w:r>
          </w:p>
        </w:tc>
        <w:tc>
          <w:tcPr>
            <w:tcW w:type="dxa" w:w="1728"/>
          </w:tcPr>
          <w:p>
            <w:r>
              <w:t>v1 / v5</w:t>
            </w:r>
          </w:p>
        </w:tc>
        <w:tc>
          <w:tcPr>
            <w:tcW w:type="dxa" w:w="1728"/>
          </w:tcPr>
          <w:p>
            <w:r>
              <w:t>v1 / v5</w:t>
            </w:r>
          </w:p>
        </w:tc>
        <w:tc>
          <w:tcPr>
            <w:tcW w:type="dxa" w:w="1728"/>
          </w:tcPr>
          <w:p>
            <w:r>
              <w:t>MIT — Open Source</w:t>
            </w:r>
          </w:p>
        </w:tc>
      </w:tr>
      <w:tr>
        <w:tc>
          <w:tcPr>
            <w:tcW w:type="dxa" w:w="1728"/>
          </w:tcPr>
          <w:p>
            <w:r>
              <w:t>shadcn/ui + Radix UI</w:t>
            </w:r>
          </w:p>
        </w:tc>
        <w:tc>
          <w:tcPr>
            <w:tcW w:type="dxa" w:w="1728"/>
          </w:tcPr>
          <w:p>
            <w:r>
              <w:t>shadcn / WorkOS</w:t>
            </w:r>
          </w:p>
        </w:tc>
        <w:tc>
          <w:tcPr>
            <w:tcW w:type="dxa" w:w="1728"/>
          </w:tcPr>
          <w:p>
            <w:r>
              <w:t>Latest</w:t>
            </w:r>
          </w:p>
        </w:tc>
        <w:tc>
          <w:tcPr>
            <w:tcW w:type="dxa" w:w="1728"/>
          </w:tcPr>
          <w:p>
            <w:r>
              <w:t>Latest</w:t>
            </w:r>
          </w:p>
        </w:tc>
        <w:tc>
          <w:tcPr>
            <w:tcW w:type="dxa" w:w="1728"/>
          </w:tcPr>
          <w:p>
            <w:r>
              <w:t>MIT — Open Source</w:t>
            </w:r>
          </w:p>
        </w:tc>
      </w:tr>
      <w:tr>
        <w:tc>
          <w:tcPr>
            <w:tcW w:type="dxa" w:w="1728"/>
          </w:tcPr>
          <w:p>
            <w:r>
              <w:t>Tailwind CSS</w:t>
            </w:r>
          </w:p>
        </w:tc>
        <w:tc>
          <w:tcPr>
            <w:tcW w:type="dxa" w:w="1728"/>
          </w:tcPr>
          <w:p>
            <w:r>
              <w:t>Tailwind Labs</w:t>
            </w:r>
          </w:p>
        </w:tc>
        <w:tc>
          <w:tcPr>
            <w:tcW w:type="dxa" w:w="1728"/>
          </w:tcPr>
          <w:p>
            <w:r>
              <w:t>v3</w:t>
            </w:r>
          </w:p>
        </w:tc>
        <w:tc>
          <w:tcPr>
            <w:tcW w:type="dxa" w:w="1728"/>
          </w:tcPr>
          <w:p>
            <w:r>
              <w:t>v3</w:t>
            </w:r>
          </w:p>
        </w:tc>
        <w:tc>
          <w:tcPr>
            <w:tcW w:type="dxa" w:w="1728"/>
          </w:tcPr>
          <w:p>
            <w:r>
              <w:t>MIT — Open Source</w:t>
            </w:r>
          </w:p>
        </w:tc>
      </w:tr>
      <w:tr>
        <w:tc>
          <w:tcPr>
            <w:tcW w:type="dxa" w:w="1728"/>
          </w:tcPr>
          <w:p>
            <w:r>
              <w:t>Recharts</w:t>
            </w:r>
          </w:p>
        </w:tc>
        <w:tc>
          <w:tcPr>
            <w:tcW w:type="dxa" w:w="1728"/>
          </w:tcPr>
          <w:p>
            <w:r>
              <w:t>Recharts Team</w:t>
            </w:r>
          </w:p>
        </w:tc>
        <w:tc>
          <w:tcPr>
            <w:tcW w:type="dxa" w:w="1728"/>
          </w:tcPr>
          <w:p>
            <w:r>
              <w:t>2.x</w:t>
            </w:r>
          </w:p>
        </w:tc>
        <w:tc>
          <w:tcPr>
            <w:tcW w:type="dxa" w:w="1728"/>
          </w:tcPr>
          <w:p>
            <w:r>
              <w:t>2.x</w:t>
            </w:r>
          </w:p>
        </w:tc>
        <w:tc>
          <w:tcPr>
            <w:tcW w:type="dxa" w:w="1728"/>
          </w:tcPr>
          <w:p>
            <w:r>
              <w:t>MIT — Open Source</w:t>
            </w:r>
          </w:p>
        </w:tc>
      </w:tr>
      <w:tr>
        <w:tc>
          <w:tcPr>
            <w:tcW w:type="dxa" w:w="1728"/>
          </w:tcPr>
          <w:p>
            <w:r>
              <w:t>Framer Motion</w:t>
            </w:r>
          </w:p>
        </w:tc>
        <w:tc>
          <w:tcPr>
            <w:tcW w:type="dxa" w:w="1728"/>
          </w:tcPr>
          <w:p>
            <w:r>
              <w:t>Framer</w:t>
            </w:r>
          </w:p>
        </w:tc>
        <w:tc>
          <w:tcPr>
            <w:tcW w:type="dxa" w:w="1728"/>
          </w:tcPr>
          <w:p>
            <w:r>
              <w:t>Latest</w:t>
            </w:r>
          </w:p>
        </w:tc>
        <w:tc>
          <w:tcPr>
            <w:tcW w:type="dxa" w:w="1728"/>
          </w:tcPr>
          <w:p>
            <w:r>
              <w:t>Latest</w:t>
            </w:r>
          </w:p>
        </w:tc>
        <w:tc>
          <w:tcPr>
            <w:tcW w:type="dxa" w:w="1728"/>
          </w:tcPr>
          <w:p>
            <w:r>
              <w:t>MIT — Open Source</w:t>
            </w:r>
          </w:p>
        </w:tc>
      </w:tr>
      <w:tr>
        <w:tc>
          <w:tcPr>
            <w:tcW w:type="dxa" w:w="1728"/>
          </w:tcPr>
          <w:p>
            <w:r>
              <w:t>Bun</w:t>
            </w:r>
          </w:p>
        </w:tc>
        <w:tc>
          <w:tcPr>
            <w:tcW w:type="dxa" w:w="1728"/>
          </w:tcPr>
          <w:p>
            <w:r>
              <w:t>Oven-sh</w:t>
            </w:r>
          </w:p>
        </w:tc>
        <w:tc>
          <w:tcPr>
            <w:tcW w:type="dxa" w:w="1728"/>
          </w:tcPr>
          <w:p>
            <w:r>
              <w:t>1.x</w:t>
            </w:r>
          </w:p>
        </w:tc>
        <w:tc>
          <w:tcPr>
            <w:tcW w:type="dxa" w:w="1728"/>
          </w:tcPr>
          <w:p>
            <w:r>
              <w:t>1.x</w:t>
            </w:r>
          </w:p>
        </w:tc>
        <w:tc>
          <w:tcPr>
            <w:tcW w:type="dxa" w:w="1728"/>
          </w:tcPr>
          <w:p>
            <w:r>
              <w:t>MIT — Open Source</w:t>
            </w:r>
          </w:p>
        </w:tc>
      </w:tr>
      <w:tr>
        <w:tc>
          <w:tcPr>
            <w:tcW w:type="dxa" w:w="1728"/>
          </w:tcPr>
          <w:p>
            <w:r>
              <w:t>FastAPI</w:t>
            </w:r>
          </w:p>
        </w:tc>
        <w:tc>
          <w:tcPr>
            <w:tcW w:type="dxa" w:w="1728"/>
          </w:tcPr>
          <w:p>
            <w:r>
              <w:t>Sebastián Ramírez</w:t>
            </w:r>
          </w:p>
        </w:tc>
        <w:tc>
          <w:tcPr>
            <w:tcW w:type="dxa" w:w="1728"/>
          </w:tcPr>
          <w:p>
            <w:r>
              <w:t>Latest</w:t>
            </w:r>
          </w:p>
        </w:tc>
        <w:tc>
          <w:tcPr>
            <w:tcW w:type="dxa" w:w="1728"/>
          </w:tcPr>
          <w:p>
            <w:r>
              <w:t>Latest</w:t>
            </w:r>
          </w:p>
        </w:tc>
        <w:tc>
          <w:tcPr>
            <w:tcW w:type="dxa" w:w="1728"/>
          </w:tcPr>
          <w:p>
            <w:r>
              <w:t>MIT — Open Source</w:t>
            </w:r>
          </w:p>
        </w:tc>
      </w:tr>
      <w:tr>
        <w:tc>
          <w:tcPr>
            <w:tcW w:type="dxa" w:w="1728"/>
          </w:tcPr>
          <w:p>
            <w:r>
              <w:t>Python 3.11</w:t>
            </w:r>
          </w:p>
        </w:tc>
        <w:tc>
          <w:tcPr>
            <w:tcW w:type="dxa" w:w="1728"/>
          </w:tcPr>
          <w:p>
            <w:r>
              <w:t>Python Software Foundation</w:t>
            </w:r>
          </w:p>
        </w:tc>
        <w:tc>
          <w:tcPr>
            <w:tcW w:type="dxa" w:w="1728"/>
          </w:tcPr>
          <w:p>
            <w:r>
              <w:t>3.11+</w:t>
            </w:r>
          </w:p>
        </w:tc>
        <w:tc>
          <w:tcPr>
            <w:tcW w:type="dxa" w:w="1728"/>
          </w:tcPr>
          <w:p>
            <w:r>
              <w:t>3.11+</w:t>
            </w:r>
          </w:p>
        </w:tc>
        <w:tc>
          <w:tcPr>
            <w:tcW w:type="dxa" w:w="1728"/>
          </w:tcPr>
          <w:p>
            <w:r>
              <w:t>PSF License — Open Source</w:t>
            </w:r>
          </w:p>
        </w:tc>
      </w:tr>
      <w:tr>
        <w:tc>
          <w:tcPr>
            <w:tcW w:type="dxa" w:w="1728"/>
          </w:tcPr>
          <w:p>
            <w:r>
              <w:t>psycopg3</w:t>
            </w:r>
          </w:p>
        </w:tc>
        <w:tc>
          <w:tcPr>
            <w:tcW w:type="dxa" w:w="1728"/>
          </w:tcPr>
          <w:p>
            <w:r>
              <w:t>Daniele Varrazzo</w:t>
            </w:r>
          </w:p>
        </w:tc>
        <w:tc>
          <w:tcPr>
            <w:tcW w:type="dxa" w:w="1728"/>
          </w:tcPr>
          <w:p>
            <w:r>
              <w:t>3.x</w:t>
            </w:r>
          </w:p>
        </w:tc>
        <w:tc>
          <w:tcPr>
            <w:tcW w:type="dxa" w:w="1728"/>
          </w:tcPr>
          <w:p>
            <w:r>
              <w:t>3.x</w:t>
            </w:r>
          </w:p>
        </w:tc>
        <w:tc>
          <w:tcPr>
            <w:tcW w:type="dxa" w:w="1728"/>
          </w:tcPr>
          <w:p>
            <w:r>
              <w:t>LGPL — Open Source</w:t>
            </w:r>
          </w:p>
        </w:tc>
      </w:tr>
      <w:tr>
        <w:tc>
          <w:tcPr>
            <w:tcW w:type="dxa" w:w="1728"/>
          </w:tcPr>
          <w:p>
            <w:r>
              <w:t>PostgreSQL 15</w:t>
            </w:r>
          </w:p>
        </w:tc>
        <w:tc>
          <w:tcPr>
            <w:tcW w:type="dxa" w:w="1728"/>
          </w:tcPr>
          <w:p>
            <w:r>
              <w:t>PostgreSQL Global Dev Group</w:t>
            </w:r>
          </w:p>
        </w:tc>
        <w:tc>
          <w:tcPr>
            <w:tcW w:type="dxa" w:w="1728"/>
          </w:tcPr>
          <w:p>
            <w:r>
              <w:t>15+</w:t>
            </w:r>
          </w:p>
        </w:tc>
        <w:tc>
          <w:tcPr>
            <w:tcW w:type="dxa" w:w="1728"/>
          </w:tcPr>
          <w:p>
            <w:r>
              <w:t>15+</w:t>
            </w:r>
          </w:p>
        </w:tc>
        <w:tc>
          <w:tcPr>
            <w:tcW w:type="dxa" w:w="1728"/>
          </w:tcPr>
          <w:p>
            <w:r>
              <w:t>PostgreSQL License — Open Source</w:t>
            </w:r>
          </w:p>
        </w:tc>
      </w:tr>
      <w:tr>
        <w:tc>
          <w:tcPr>
            <w:tcW w:type="dxa" w:w="1728"/>
          </w:tcPr>
          <w:p>
            <w:r>
              <w:t>Uvicorn</w:t>
            </w:r>
          </w:p>
        </w:tc>
        <w:tc>
          <w:tcPr>
            <w:tcW w:type="dxa" w:w="1728"/>
          </w:tcPr>
          <w:p>
            <w:r>
              <w:t>Encode</w:t>
            </w:r>
          </w:p>
        </w:tc>
        <w:tc>
          <w:tcPr>
            <w:tcW w:type="dxa" w:w="1728"/>
          </w:tcPr>
          <w:p>
            <w:r>
              <w:t>Latest</w:t>
            </w:r>
          </w:p>
        </w:tc>
        <w:tc>
          <w:tcPr>
            <w:tcW w:type="dxa" w:w="1728"/>
          </w:tcPr>
          <w:p>
            <w:r>
              <w:t>Latest</w:t>
            </w:r>
          </w:p>
        </w:tc>
        <w:tc>
          <w:tcPr>
            <w:tcW w:type="dxa" w:w="1728"/>
          </w:tcPr>
          <w:p>
            <w:r>
              <w:t>BSD — Open Source</w:t>
            </w:r>
          </w:p>
        </w:tc>
      </w:tr>
      <w:tr>
        <w:tc>
          <w:tcPr>
            <w:tcW w:type="dxa" w:w="1728"/>
          </w:tcPr>
          <w:p>
            <w:r>
              <w:t>OpenRouter API (GPT-4o)</w:t>
            </w:r>
          </w:p>
        </w:tc>
        <w:tc>
          <w:tcPr>
            <w:tcW w:type="dxa" w:w="1728"/>
          </w:tcPr>
          <w:p>
            <w:r>
              <w:t>OpenRouter / OpenAI</w:t>
            </w:r>
          </w:p>
        </w:tc>
        <w:tc>
          <w:tcPr>
            <w:tcW w:type="dxa" w:w="1728"/>
          </w:tcPr>
          <w:p>
            <w:r>
              <w:t>Pay-per-use</w:t>
            </w:r>
          </w:p>
        </w:tc>
        <w:tc>
          <w:tcPr>
            <w:tcW w:type="dxa" w:w="1728"/>
          </w:tcPr>
          <w:p>
            <w:r>
              <w:t>Pay-per-use</w:t>
            </w:r>
          </w:p>
        </w:tc>
        <w:tc>
          <w:tcPr>
            <w:tcW w:type="dxa" w:w="1728"/>
          </w:tcPr>
          <w:p>
            <w:r>
              <w:t>Commercial API — usage-based pricing</w:t>
            </w:r>
          </w:p>
        </w:tc>
      </w:tr>
      <w:tr>
        <w:tc>
          <w:tcPr>
            <w:tcW w:type="dxa" w:w="1728"/>
          </w:tcPr>
          <w:p>
            <w:r>
              <w:t>Vercel (Frontend Hosting)</w:t>
            </w:r>
          </w:p>
        </w:tc>
        <w:tc>
          <w:tcPr>
            <w:tcW w:type="dxa" w:w="1728"/>
          </w:tcPr>
          <w:p>
            <w:r>
              <w:t>Vercel Inc.</w:t>
            </w:r>
          </w:p>
        </w:tc>
        <w:tc>
          <w:tcPr>
            <w:tcW w:type="dxa" w:w="1728"/>
          </w:tcPr>
          <w:p>
            <w:r>
              <w:t>Free tier</w:t>
            </w:r>
          </w:p>
        </w:tc>
        <w:tc>
          <w:tcPr>
            <w:tcW w:type="dxa" w:w="1728"/>
          </w:tcPr>
          <w:p>
            <w:r>
              <w:t>Pro tier</w:t>
            </w:r>
          </w:p>
        </w:tc>
        <w:tc>
          <w:tcPr>
            <w:tcW w:type="dxa" w:w="1728"/>
          </w:tcPr>
          <w:p>
            <w:r>
              <w:t>Commercial SaaS — subscription</w:t>
            </w:r>
          </w:p>
        </w:tc>
      </w:tr>
      <w:tr>
        <w:tc>
          <w:tcPr>
            <w:tcW w:type="dxa" w:w="1728"/>
          </w:tcPr>
          <w:p>
            <w:r>
              <w:t>GitHub</w:t>
            </w:r>
          </w:p>
        </w:tc>
        <w:tc>
          <w:tcPr>
            <w:tcW w:type="dxa" w:w="1728"/>
          </w:tcPr>
          <w:p>
            <w:r>
              <w:t>Microsoft / GitHub</w:t>
            </w:r>
          </w:p>
        </w:tc>
        <w:tc>
          <w:tcPr>
            <w:tcW w:type="dxa" w:w="1728"/>
          </w:tcPr>
          <w:p>
            <w:r>
              <w:t>Free/Team</w:t>
            </w:r>
          </w:p>
        </w:tc>
        <w:tc>
          <w:tcPr>
            <w:tcW w:type="dxa" w:w="1728"/>
          </w:tcPr>
          <w:p>
            <w:r>
              <w:t>Team/Enterprise</w:t>
            </w:r>
          </w:p>
        </w:tc>
        <w:tc>
          <w:tcPr>
            <w:tcW w:type="dxa" w:w="1728"/>
          </w:tcPr>
          <w:p>
            <w:r>
              <w:t>Commercial SaaS — subscription</w:t>
            </w:r>
          </w:p>
        </w:tc>
      </w:tr>
    </w:tbl>
    <w:p/>
    <w:p>
      <w:pPr>
        <w:pStyle w:val="Heading1"/>
      </w:pPr>
      <w:r>
        <w:rPr>
          <w:color w:val="003366"/>
        </w:rPr>
        <w:t>17. Technical Dependencies, Risks, Issues, Constraints, Assumptions</w:t>
      </w:r>
    </w:p>
    <w:p>
      <w:pPr>
        <w:pStyle w:val="Heading2"/>
      </w:pPr>
      <w:r>
        <w:t>17.1 Technical Dependencies</w:t>
      </w:r>
    </w:p>
    <w:tbl>
      <w:tblPr>
        <w:tblStyle w:val="TableGrid"/>
        <w:tblW w:type="auto" w:w="0"/>
        <w:tblLook w:firstColumn="1" w:firstRow="1" w:lastColumn="0" w:lastRow="0" w:noHBand="0" w:noVBand="1" w:val="04A0"/>
      </w:tblPr>
      <w:tblGrid>
        <w:gridCol w:w="4320"/>
        <w:gridCol w:w="4320"/>
      </w:tblGrid>
      <w:tr>
        <w:tc>
          <w:tcPr>
            <w:tcW w:type="dxa" w:w="4320"/>
          </w:tcPr>
          <w:p>
            <w:r>
              <w:rPr>
                <w:b/>
              </w:rPr>
              <w:t>Dependency</w:t>
            </w:r>
          </w:p>
        </w:tc>
        <w:tc>
          <w:tcPr>
            <w:tcW w:type="dxa" w:w="4320"/>
          </w:tcPr>
          <w:p>
            <w:r>
              <w:rPr>
                <w:b/>
              </w:rPr>
              <w:t>Description</w:t>
            </w:r>
          </w:p>
        </w:tc>
      </w:tr>
      <w:tr>
        <w:tc>
          <w:tcPr>
            <w:tcW w:type="dxa" w:w="4320"/>
          </w:tcPr>
          <w:p>
            <w:r>
              <w:t>SAP Data Export</w:t>
            </w:r>
          </w:p>
        </w:tc>
        <w:tc>
          <w:tcPr>
            <w:tcW w:type="dxa" w:w="4320"/>
          </w:tcPr>
          <w:p>
            <w:r>
              <w:t>Platform requires manual CSV exports from SAP ECC/S4HANA. Quality and completeness of data depends on SAP configuration at each KPMG entity.</w:t>
            </w:r>
          </w:p>
        </w:tc>
      </w:tr>
      <w:tr>
        <w:tc>
          <w:tcPr>
            <w:tcW w:type="dxa" w:w="4320"/>
          </w:tcPr>
          <w:p>
            <w:r>
              <w:t>OpenRouter API</w:t>
            </w:r>
          </w:p>
        </w:tc>
        <w:tc>
          <w:tcPr>
            <w:tcW w:type="dxa" w:w="4320"/>
          </w:tcPr>
          <w:p>
            <w:r>
              <w:t>AI assistant functionality depends on OpenRouter API availability and GPT-4o model access. OPENROUTER_API_KEY must be provisioned and kept valid.</w:t>
            </w:r>
          </w:p>
        </w:tc>
      </w:tr>
      <w:tr>
        <w:tc>
          <w:tcPr>
            <w:tcW w:type="dxa" w:w="4320"/>
          </w:tcPr>
          <w:p>
            <w:r>
              <w:t>PostgreSQL</w:t>
            </w:r>
          </w:p>
        </w:tc>
        <w:tc>
          <w:tcPr>
            <w:tcW w:type="dxa" w:w="4320"/>
          </w:tcPr>
          <w:p>
            <w:r>
              <w:t>All analytics depend on PostgreSQL availability. Connection URL must be configured via DATABASE_URL env var.</w:t>
            </w:r>
          </w:p>
        </w:tc>
      </w:tr>
      <w:tr>
        <w:tc>
          <w:tcPr>
            <w:tcW w:type="dxa" w:w="4320"/>
          </w:tcPr>
          <w:p>
            <w:r>
              <w:t>Vercel</w:t>
            </w:r>
          </w:p>
        </w:tc>
        <w:tc>
          <w:tcPr>
            <w:tcW w:type="dxa" w:w="4320"/>
          </w:tcPr>
          <w:p>
            <w:r>
              <w:t>Frontend availability depends on Vercel CDN. Custom domain and HTTPS certificate managed by Vercel.</w:t>
            </w:r>
          </w:p>
        </w:tc>
      </w:tr>
      <w:tr>
        <w:tc>
          <w:tcPr>
            <w:tcW w:type="dxa" w:w="4320"/>
          </w:tcPr>
          <w:p>
            <w:r>
              <w:t>Python 3.11+</w:t>
            </w:r>
          </w:p>
        </w:tc>
        <w:tc>
          <w:tcPr>
            <w:tcW w:type="dxa" w:w="4320"/>
          </w:tcPr>
          <w:p>
            <w:r>
              <w:t>Backend requires Python 3.11+ for psycopg3 async features.</w:t>
            </w:r>
          </w:p>
        </w:tc>
      </w:tr>
      <w:tr>
        <w:tc>
          <w:tcPr>
            <w:tcW w:type="dxa" w:w="4320"/>
          </w:tcPr>
          <w:p>
            <w:r>
              <w:t>Network Connectivity</w:t>
            </w:r>
          </w:p>
        </w:tc>
        <w:tc>
          <w:tcPr>
            <w:tcW w:type="dxa" w:w="4320"/>
          </w:tcPr>
          <w:p>
            <w:r>
              <w:t>Backend must have outbound HTTPS access to OpenRouter API (openrouter.ai). Firewall rules must permit this.</w:t>
            </w:r>
          </w:p>
        </w:tc>
      </w:tr>
    </w:tbl>
    <w:p/>
    <w:p>
      <w:pPr>
        <w:pStyle w:val="Heading2"/>
      </w:pPr>
      <w:r>
        <w:t>17.2 Risks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Risk ID</w:t>
            </w:r>
          </w:p>
        </w:tc>
        <w:tc>
          <w:tcPr>
            <w:tcW w:type="dxa" w:w="2160"/>
          </w:tcPr>
          <w:p>
            <w:r>
              <w:rPr>
                <w:b/>
              </w:rPr>
              <w:t>Risk</w:t>
            </w:r>
          </w:p>
        </w:tc>
        <w:tc>
          <w:tcPr>
            <w:tcW w:type="dxa" w:w="2160"/>
          </w:tcPr>
          <w:p>
            <w:r>
              <w:rPr>
                <w:b/>
              </w:rPr>
              <w:t>Severity</w:t>
            </w:r>
          </w:p>
        </w:tc>
        <w:tc>
          <w:tcPr>
            <w:tcW w:type="dxa" w:w="2160"/>
          </w:tcPr>
          <w:p>
            <w:r>
              <w:rPr>
                <w:b/>
              </w:rPr>
              <w:t>Mitigation</w:t>
            </w:r>
          </w:p>
        </w:tc>
      </w:tr>
      <w:tr>
        <w:tc>
          <w:tcPr>
            <w:tcW w:type="dxa" w:w="2160"/>
          </w:tcPr>
          <w:p>
            <w:r>
              <w:t>R01</w:t>
            </w:r>
          </w:p>
        </w:tc>
        <w:tc>
          <w:tcPr>
            <w:tcW w:type="dxa" w:w="2160"/>
          </w:tcPr>
          <w:p>
            <w:r>
              <w:t>Plaintext password storage in current implementation — risk of credential exposure if DB is compromised.</w:t>
            </w:r>
          </w:p>
        </w:tc>
        <w:tc>
          <w:tcPr>
            <w:tcW w:type="dxa" w:w="2160"/>
          </w:tcPr>
          <w:p>
            <w:r>
              <w:t>HIGH</w:t>
            </w:r>
          </w:p>
        </w:tc>
        <w:tc>
          <w:tcPr>
            <w:tcW w:type="dxa" w:w="2160"/>
          </w:tcPr>
          <w:p>
            <w:r>
              <w:t>Implement bcrypt hashing before any production deployment. This is a known pre-production gap.</w:t>
            </w:r>
          </w:p>
        </w:tc>
      </w:tr>
      <w:tr>
        <w:tc>
          <w:tcPr>
            <w:tcW w:type="dxa" w:w="2160"/>
          </w:tcPr>
          <w:p>
            <w:r>
              <w:t>R02</w:t>
            </w:r>
          </w:p>
        </w:tc>
        <w:tc>
          <w:tcPr>
            <w:tcW w:type="dxa" w:w="2160"/>
          </w:tcPr>
          <w:p>
            <w:r>
              <w:t>No server-side role enforcement — users can call any API endpoint regardless of role.</w:t>
            </w:r>
          </w:p>
        </w:tc>
        <w:tc>
          <w:tcPr>
            <w:tcW w:type="dxa" w:w="2160"/>
          </w:tcPr>
          <w:p>
            <w:r>
              <w:t>HIGH</w:t>
            </w:r>
          </w:p>
        </w:tc>
        <w:tc>
          <w:tcPr>
            <w:tcW w:type="dxa" w:w="2160"/>
          </w:tcPr>
          <w:p>
            <w:r>
              <w:t>Add JWT middleware with role claims before production. Transition 1 work item.</w:t>
            </w:r>
          </w:p>
        </w:tc>
      </w:tr>
      <w:tr>
        <w:tc>
          <w:tcPr>
            <w:tcW w:type="dxa" w:w="2160"/>
          </w:tcPr>
          <w:p>
            <w:r>
              <w:t>R03</w:t>
            </w:r>
          </w:p>
        </w:tc>
        <w:tc>
          <w:tcPr>
            <w:tcW w:type="dxa" w:w="2160"/>
          </w:tcPr>
          <w:p>
            <w:r>
              <w:t>No JWT / session expiry — browser session remains valid indefinitely.</w:t>
            </w:r>
          </w:p>
        </w:tc>
        <w:tc>
          <w:tcPr>
            <w:tcW w:type="dxa" w:w="2160"/>
          </w:tcPr>
          <w:p>
            <w:r>
              <w:t>MEDIUM</w:t>
            </w:r>
          </w:p>
        </w:tc>
        <w:tc>
          <w:tcPr>
            <w:tcW w:type="dxa" w:w="2160"/>
          </w:tcPr>
          <w:p>
            <w:r>
              <w:t>Implement JWT with 15-minute access token + 7-day refresh token in Transition 1.</w:t>
            </w:r>
          </w:p>
        </w:tc>
      </w:tr>
      <w:tr>
        <w:tc>
          <w:tcPr>
            <w:tcW w:type="dxa" w:w="2160"/>
          </w:tcPr>
          <w:p>
            <w:r>
              <w:t>R04</w:t>
            </w:r>
          </w:p>
        </w:tc>
        <w:tc>
          <w:tcPr>
            <w:tcW w:type="dxa" w:w="2160"/>
          </w:tcPr>
          <w:p>
            <w:r>
              <w:t>OpenRouter API rate limits or outage impacts AI assistant.</w:t>
            </w:r>
          </w:p>
        </w:tc>
        <w:tc>
          <w:tcPr>
            <w:tcW w:type="dxa" w:w="2160"/>
          </w:tcPr>
          <w:p>
            <w:r>
              <w:t>MEDIUM</w:t>
            </w:r>
          </w:p>
        </w:tc>
        <w:tc>
          <w:tcPr>
            <w:tcW w:type="dxa" w:w="2160"/>
          </w:tcPr>
          <w:p>
            <w:r>
              <w:t>Add graceful degradation — AI assistant shows error; all dashboard KPIs remain available.</w:t>
            </w:r>
          </w:p>
        </w:tc>
      </w:tr>
      <w:tr>
        <w:tc>
          <w:tcPr>
            <w:tcW w:type="dxa" w:w="2160"/>
          </w:tcPr>
          <w:p>
            <w:r>
              <w:t>R05</w:t>
            </w:r>
          </w:p>
        </w:tc>
        <w:tc>
          <w:tcPr>
            <w:tcW w:type="dxa" w:w="2160"/>
          </w:tcPr>
          <w:p>
            <w:r>
              <w:t>SAP CSV schema changes break ETL pipeline.</w:t>
            </w:r>
          </w:p>
        </w:tc>
        <w:tc>
          <w:tcPr>
            <w:tcW w:type="dxa" w:w="2160"/>
          </w:tcPr>
          <w:p>
            <w:r>
              <w:t>MEDIUM</w:t>
            </w:r>
          </w:p>
        </w:tc>
        <w:tc>
          <w:tcPr>
            <w:tcW w:type="dxa" w:w="2160"/>
          </w:tcPr>
          <w:p>
            <w:r>
              <w:t>Schema validation on upload with clear error messages. Versioned column mapping in parser.py.</w:t>
            </w:r>
          </w:p>
        </w:tc>
      </w:tr>
      <w:tr>
        <w:tc>
          <w:tcPr>
            <w:tcW w:type="dxa" w:w="2160"/>
          </w:tcPr>
          <w:p>
            <w:r>
              <w:t>R06</w:t>
            </w:r>
          </w:p>
        </w:tc>
        <w:tc>
          <w:tcPr>
            <w:tcW w:type="dxa" w:w="2160"/>
          </w:tcPr>
          <w:p>
            <w:r>
              <w:t>Thread-local PostgreSQL connection pooling may cause connection leaks under high concurrency.</w:t>
            </w:r>
          </w:p>
        </w:tc>
        <w:tc>
          <w:tcPr>
            <w:tcW w:type="dxa" w:w="2160"/>
          </w:tcPr>
          <w:p>
            <w:r>
              <w:t>LOW</w:t>
            </w:r>
          </w:p>
        </w:tc>
        <w:tc>
          <w:tcPr>
            <w:tcW w:type="dxa" w:w="2160"/>
          </w:tcPr>
          <w:p>
            <w:r>
              <w:t>Monitor connection count in production. Migrate to asyncpg + connection pool (e.g., asyncpg pool) in Target Architecture.</w:t>
            </w:r>
          </w:p>
        </w:tc>
      </w:tr>
      <w:tr>
        <w:tc>
          <w:tcPr>
            <w:tcW w:type="dxa" w:w="2160"/>
          </w:tcPr>
          <w:p>
            <w:r>
              <w:t>R07</w:t>
            </w:r>
          </w:p>
        </w:tc>
        <w:tc>
          <w:tcPr>
            <w:tcW w:type="dxa" w:w="2160"/>
          </w:tcPr>
          <w:p>
            <w:r>
              <w:t>KPI recomputation blocks the upload response for large datasets.</w:t>
            </w:r>
          </w:p>
        </w:tc>
        <w:tc>
          <w:tcPr>
            <w:tcW w:type="dxa" w:w="2160"/>
          </w:tcPr>
          <w:p>
            <w:r>
              <w:t>LOW</w:t>
            </w:r>
          </w:p>
        </w:tc>
        <w:tc>
          <w:tcPr>
            <w:tcW w:type="dxa" w:w="2160"/>
          </w:tcPr>
          <w:p>
            <w:r>
              <w:t>Move KPI recomputation to background task (FastAPI BackgroundTasks) in Transition 1.</w:t>
            </w:r>
          </w:p>
        </w:tc>
      </w:tr>
    </w:tbl>
    <w:p/>
    <w:p>
      <w:pPr>
        <w:pStyle w:val="Heading2"/>
      </w:pPr>
      <w:r>
        <w:t>17.3 Issues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Issue ID</w:t>
            </w:r>
          </w:p>
        </w:tc>
        <w:tc>
          <w:tcPr>
            <w:tcW w:type="dxa" w:w="2880"/>
          </w:tcPr>
          <w:p>
            <w:r>
              <w:rPr>
                <w:b/>
              </w:rPr>
              <w:t>Issue</w:t>
            </w:r>
          </w:p>
        </w:tc>
        <w:tc>
          <w:tcPr>
            <w:tcW w:type="dxa" w:w="2880"/>
          </w:tcPr>
          <w:p>
            <w:r>
              <w:rPr>
                <w:b/>
              </w:rPr>
              <w:t>Status</w:t>
            </w:r>
          </w:p>
        </w:tc>
      </w:tr>
      <w:tr>
        <w:tc>
          <w:tcPr>
            <w:tcW w:type="dxa" w:w="2880"/>
          </w:tcPr>
          <w:p>
            <w:r>
              <w:t>I01</w:t>
            </w:r>
          </w:p>
        </w:tc>
        <w:tc>
          <w:tcPr>
            <w:tcW w:type="dxa" w:w="2880"/>
          </w:tcPr>
          <w:p>
            <w:r>
              <w:t>Windows SQLite ghost-process can prevent PostgreSQL connection on restart (legacy artefact from SQLite→PostgreSQL migration).</w:t>
            </w:r>
          </w:p>
        </w:tc>
        <w:tc>
          <w:tcPr>
            <w:tcW w:type="dxa" w:w="2880"/>
          </w:tcPr>
          <w:p>
            <w:r>
              <w:t>Known — documented in CLAUDE.md. Resolved by terminating ghost process via Task Manager.</w:t>
            </w:r>
          </w:p>
        </w:tc>
      </w:tr>
      <w:tr>
        <w:tc>
          <w:tcPr>
            <w:tcW w:type="dxa" w:w="2880"/>
          </w:tcPr>
          <w:p>
            <w:r>
              <w:t>I02</w:t>
            </w:r>
          </w:p>
        </w:tc>
        <w:tc>
          <w:tcPr>
            <w:tcW w:type="dxa" w:w="2880"/>
          </w:tcPr>
          <w:p>
            <w:r>
              <w:t>ROUND() function requires ::numeric cast in PostgreSQL (differs from SQLite). Handled in kpi_engine.py.</w:t>
            </w:r>
          </w:p>
        </w:tc>
        <w:tc>
          <w:tcPr>
            <w:tcW w:type="dxa" w:w="2880"/>
          </w:tcPr>
          <w:p>
            <w:r>
              <w:t>Resolved</w:t>
            </w:r>
          </w:p>
        </w:tc>
      </w:tr>
      <w:tr>
        <w:tc>
          <w:tcPr>
            <w:tcW w:type="dxa" w:w="2880"/>
          </w:tcPr>
          <w:p>
            <w:r>
              <w:t>I03</w:t>
            </w:r>
          </w:p>
        </w:tc>
        <w:tc>
          <w:tcPr>
            <w:tcW w:type="dxa" w:w="2880"/>
          </w:tcPr>
          <w:p>
            <w:r>
              <w:t>CAPEX_OPEX_SPLIT KPI has limited history — flagged in P2P_KPIs.xlsx.</w:t>
            </w:r>
          </w:p>
        </w:tc>
        <w:tc>
          <w:tcPr>
            <w:tcW w:type="dxa" w:w="2880"/>
          </w:tcPr>
          <w:p>
            <w:r>
              <w:t>Known — data dependency; will resolve as more upload cycles complete.</w:t>
            </w:r>
          </w:p>
        </w:tc>
      </w:tr>
    </w:tbl>
    <w:p/>
    <w:p>
      <w:pPr>
        <w:pStyle w:val="Heading2"/>
      </w:pPr>
      <w:r>
        <w:t>17.4 Constraints</w:t>
      </w:r>
    </w:p>
    <w:p>
      <w:pPr>
        <w:pStyle w:val="ListBullet"/>
      </w:pPr>
      <w:r>
        <w:t>Platform is English-only; no internationalisation framework in current implementation.</w:t>
      </w:r>
    </w:p>
    <w:p>
      <w:pPr>
        <w:pStyle w:val="ListBullet"/>
      </w:pPr>
      <w:r>
        <w:t>Data upload is manual (CSV); no real-time SAP integration in Baseline phase.</w:t>
      </w:r>
    </w:p>
    <w:p>
      <w:pPr>
        <w:pStyle w:val="ListBullet"/>
      </w:pPr>
      <w:r>
        <w:t>AI assistant requires internet access to OpenRouter API — cannot operate in air-gapped environments.</w:t>
      </w:r>
    </w:p>
    <w:p>
      <w:pPr>
        <w:pStyle w:val="ListBullet"/>
      </w:pPr>
      <w:r>
        <w:t>No mobile native app; web UI is desktop-first.</w:t>
      </w:r>
    </w:p>
    <w:p>
      <w:pPr>
        <w:pStyle w:val="ListBullet"/>
      </w:pPr>
      <w:r>
        <w:t>PostgreSQL must support psycopg3 (PostgreSQL 12+; tested on 15).</w:t>
      </w:r>
    </w:p>
    <w:p>
      <w:pPr>
        <w:pStyle w:val="Heading2"/>
      </w:pPr>
      <w:r>
        <w:t>17.5 Assumptions</w:t>
      </w:r>
    </w:p>
    <w:p>
      <w:pPr>
        <w:pStyle w:val="ListBullet"/>
      </w:pPr>
      <w:r>
        <w:t>SAP data exports are provided in standard KPMG SAP table format as documented in the Upload module.</w:t>
      </w:r>
    </w:p>
    <w:p>
      <w:pPr>
        <w:pStyle w:val="ListBullet"/>
      </w:pPr>
      <w:r>
        <w:t>KPMG IT will provision a managed PostgreSQL instance for production (Azure Database for PostgreSQL or equivalent).</w:t>
      </w:r>
    </w:p>
    <w:p>
      <w:pPr>
        <w:pStyle w:val="ListBullet"/>
      </w:pPr>
      <w:r>
        <w:t>OpenRouter API commercial agreement will be in place before production go-live.</w:t>
      </w:r>
    </w:p>
    <w:p>
      <w:pPr>
        <w:pStyle w:val="ListBullet"/>
      </w:pPr>
      <w:r>
        <w:t>KPMG Azure AD tenant will be available for SSO integration in Target Architecture phase.</w:t>
      </w:r>
    </w:p>
    <w:p>
      <w:pPr>
        <w:pStyle w:val="ListBullet"/>
      </w:pPr>
      <w:r>
        <w:t>All users access IntelliSource via a modern web browser (Chrome 110+, Edge 110+, Firefox 110+).</w:t>
      </w:r>
    </w:p>
    <w:p>
      <w:pPr>
        <w:pStyle w:val="ListBullet"/>
      </w:pPr>
      <w:r>
        <w:t>INR (Indian Rupee) is the primary currency for all financial figures in the current deployment scope.</w:t>
      </w:r>
    </w:p>
    <w:p>
      <w:pPr>
        <w:pStyle w:val="Heading1"/>
      </w:pPr>
      <w:r>
        <w:rPr>
          <w:color w:val="003366"/>
        </w:rPr>
        <w:t>18. Team Dependencies</w:t>
      </w:r>
    </w:p>
    <w:tbl>
      <w:tblPr>
        <w:tblStyle w:val="TableGrid"/>
        <w:tblW w:type="auto" w:w="0"/>
        <w:tblLook w:firstColumn="1" w:firstRow="1" w:lastColumn="0" w:lastRow="0" w:noHBand="0" w:noVBand="1" w:val="04A0"/>
      </w:tblPr>
      <w:tblGrid>
        <w:gridCol w:w="4320"/>
        <w:gridCol w:w="4320"/>
      </w:tblGrid>
      <w:tr>
        <w:tc>
          <w:tcPr>
            <w:tcW w:type="dxa" w:w="4320"/>
          </w:tcPr>
          <w:p>
            <w:r>
              <w:rPr>
                <w:b/>
              </w:rPr>
              <w:t>Team Name</w:t>
            </w:r>
          </w:p>
        </w:tc>
        <w:tc>
          <w:tcPr>
            <w:tcW w:type="dxa" w:w="4320"/>
          </w:tcPr>
          <w:p>
            <w:r>
              <w:rPr>
                <w:b/>
              </w:rPr>
              <w:t>Services Required</w:t>
            </w:r>
          </w:p>
        </w:tc>
      </w:tr>
      <w:tr>
        <w:tc>
          <w:tcPr>
            <w:tcW w:type="dxa" w:w="4320"/>
          </w:tcPr>
          <w:p>
            <w:r>
              <w:t>KPMG IT Infrastructure</w:t>
            </w:r>
          </w:p>
        </w:tc>
        <w:tc>
          <w:tcPr>
            <w:tcW w:type="dxa" w:w="4320"/>
          </w:tcPr>
          <w:p>
            <w:r>
              <w:t>Provision production PostgreSQL instance; network firewall rules for OpenRouter API; server/VM provisioning for backend.</w:t>
            </w:r>
          </w:p>
        </w:tc>
      </w:tr>
      <w:tr>
        <w:tc>
          <w:tcPr>
            <w:tcW w:type="dxa" w:w="4320"/>
          </w:tcPr>
          <w:p>
            <w:r>
              <w:t>KPMG IT Security</w:t>
            </w:r>
          </w:p>
        </w:tc>
        <w:tc>
          <w:tcPr>
            <w:tcW w:type="dxa" w:w="4320"/>
          </w:tcPr>
          <w:p>
            <w:r>
              <w:t>Security review of auth implementation; penetration testing before go-live; secrets management (Azure Key Vault).</w:t>
            </w:r>
          </w:p>
        </w:tc>
      </w:tr>
      <w:tr>
        <w:tc>
          <w:tcPr>
            <w:tcW w:type="dxa" w:w="4320"/>
          </w:tcPr>
          <w:p>
            <w:r>
              <w:t>KPMG Procurement Operations</w:t>
            </w:r>
          </w:p>
        </w:tc>
        <w:tc>
          <w:tcPr>
            <w:tcW w:type="dxa" w:w="4320"/>
          </w:tcPr>
          <w:p>
            <w:r>
              <w:t>SAP data export training; user acceptance testing; KPI validation against SAP source reports.</w:t>
            </w:r>
          </w:p>
        </w:tc>
      </w:tr>
      <w:tr>
        <w:tc>
          <w:tcPr>
            <w:tcW w:type="dxa" w:w="4320"/>
          </w:tcPr>
          <w:p>
            <w:r>
              <w:t>KPMG Finance Team</w:t>
            </w:r>
          </w:p>
        </w:tc>
        <w:tc>
          <w:tcPr>
            <w:tcW w:type="dxa" w:w="4320"/>
          </w:tcPr>
          <w:p>
            <w:r>
              <w:t>Budget master data provision; CAPEX/OPEX classification rules; financial KPI sign-off.</w:t>
            </w:r>
          </w:p>
        </w:tc>
      </w:tr>
      <w:tr>
        <w:tc>
          <w:tcPr>
            <w:tcW w:type="dxa" w:w="4320"/>
          </w:tcPr>
          <w:p>
            <w:r>
              <w:t>KPMG Enterprise Architecture</w:t>
            </w:r>
          </w:p>
        </w:tc>
        <w:tc>
          <w:tcPr>
            <w:tcW w:type="dxa" w:w="4320"/>
          </w:tcPr>
          <w:p>
            <w:r>
              <w:t>ARB review and approval; alignment with KPMG EA principles and standards.</w:t>
            </w:r>
          </w:p>
        </w:tc>
      </w:tr>
      <w:tr>
        <w:tc>
          <w:tcPr>
            <w:tcW w:type="dxa" w:w="4320"/>
          </w:tcPr>
          <w:p>
            <w:r>
              <w:t>SAP Basis Team</w:t>
            </w:r>
          </w:p>
        </w:tc>
        <w:tc>
          <w:tcPr>
            <w:tcW w:type="dxa" w:w="4320"/>
          </w:tcPr>
          <w:p>
            <w:r>
              <w:t>SAP table structure confirmation; future BAPI/OData API access for Target Architecture.</w:t>
            </w:r>
          </w:p>
        </w:tc>
      </w:tr>
    </w:tbl>
    <w:p/>
    <w:p>
      <w:pPr>
        <w:pStyle w:val="Heading1"/>
      </w:pPr>
      <w:r>
        <w:rPr>
          <w:color w:val="003366"/>
        </w:rPr>
        <w:t>19. EA Architecture Principles Compliance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Principle</w:t>
            </w:r>
          </w:p>
        </w:tc>
        <w:tc>
          <w:tcPr>
            <w:tcW w:type="dxa" w:w="2880"/>
          </w:tcPr>
          <w:p>
            <w:r>
              <w:rPr>
                <w:b/>
              </w:rPr>
              <w:t>Adhere</w:t>
            </w:r>
          </w:p>
        </w:tc>
        <w:tc>
          <w:tcPr>
            <w:tcW w:type="dxa" w:w="2880"/>
          </w:tcPr>
          <w:p>
            <w:r>
              <w:rPr>
                <w:b/>
              </w:rPr>
              <w:t>Justification</w:t>
            </w:r>
          </w:p>
        </w:tc>
      </w:tr>
      <w:tr>
        <w:tc>
          <w:tcPr>
            <w:tcW w:type="dxa" w:w="2880"/>
          </w:tcPr>
          <w:p>
            <w:r>
              <w:t>Single Capability</w:t>
            </w:r>
          </w:p>
        </w:tc>
        <w:tc>
          <w:tcPr>
            <w:tcW w:type="dxa" w:w="2880"/>
          </w:tcPr>
          <w:p>
            <w:r>
              <w:t>✓</w:t>
            </w:r>
          </w:p>
        </w:tc>
        <w:tc>
          <w:tcPr>
            <w:tcW w:type="dxa" w:w="2880"/>
          </w:tcPr>
          <w:p>
            <w:r>
              <w:t>IntelliSource has a single, well-defined capability: P2P procurement intelligence and analytics.</w:t>
            </w:r>
          </w:p>
        </w:tc>
      </w:tr>
      <w:tr>
        <w:tc>
          <w:tcPr>
            <w:tcW w:type="dxa" w:w="2880"/>
          </w:tcPr>
          <w:p>
            <w:r>
              <w:t>Unified Architecture Governance</w:t>
            </w:r>
          </w:p>
        </w:tc>
        <w:tc>
          <w:tcPr>
            <w:tcW w:type="dxa" w:w="2880"/>
          </w:tcPr>
          <w:p>
            <w:r>
              <w:t>✓</w:t>
            </w:r>
          </w:p>
        </w:tc>
        <w:tc>
          <w:tcPr>
            <w:tcW w:type="dxa" w:w="2880"/>
          </w:tcPr>
          <w:p>
            <w:r>
              <w:t>Submitted to ARB for review. EA principles followed in design.</w:t>
            </w:r>
          </w:p>
        </w:tc>
      </w:tr>
      <w:tr>
        <w:tc>
          <w:tcPr>
            <w:tcW w:type="dxa" w:w="2880"/>
          </w:tcPr>
          <w:p>
            <w:r>
              <w:t>API First</w:t>
            </w:r>
          </w:p>
        </w:tc>
        <w:tc>
          <w:tcPr>
            <w:tcW w:type="dxa" w:w="2880"/>
          </w:tcPr>
          <w:p>
            <w:r>
              <w:t>✓</w:t>
            </w:r>
          </w:p>
        </w:tc>
        <w:tc>
          <w:tcPr>
            <w:tcW w:type="dxa" w:w="2880"/>
          </w:tcPr>
          <w:p>
            <w:r>
              <w:t>All backend functionality exposed via REST API. Frontend is a first-class API consumer.</w:t>
            </w:r>
          </w:p>
        </w:tc>
      </w:tr>
      <w:tr>
        <w:tc>
          <w:tcPr>
            <w:tcW w:type="dxa" w:w="2880"/>
          </w:tcPr>
          <w:p>
            <w:r>
              <w:t>Governed Integration</w:t>
            </w:r>
          </w:p>
        </w:tc>
        <w:tc>
          <w:tcPr>
            <w:tcW w:type="dxa" w:w="2880"/>
          </w:tcPr>
          <w:p>
            <w:r>
              <w:t>✓</w:t>
            </w:r>
          </w:p>
        </w:tc>
        <w:tc>
          <w:tcPr>
            <w:tcW w:type="dxa" w:w="2880"/>
          </w:tcPr>
          <w:p>
            <w:r>
              <w:t>Integrations with SAP (file-based) and OpenRouter (REST) are documented and controlled.</w:t>
            </w:r>
          </w:p>
        </w:tc>
      </w:tr>
      <w:tr>
        <w:tc>
          <w:tcPr>
            <w:tcW w:type="dxa" w:w="2880"/>
          </w:tcPr>
          <w:p>
            <w:r>
              <w:t>Data is an Asset</w:t>
            </w:r>
          </w:p>
        </w:tc>
        <w:tc>
          <w:tcPr>
            <w:tcW w:type="dxa" w:w="2880"/>
          </w:tcPr>
          <w:p>
            <w:r>
              <w:t>✓</w:t>
            </w:r>
          </w:p>
        </w:tc>
        <w:tc>
          <w:tcPr>
            <w:tcW w:type="dxa" w:w="2880"/>
          </w:tcPr>
          <w:p>
            <w:r>
              <w:t>Procurement data modelled in PostgreSQL with defined retention, archiving, and audit requirements.</w:t>
            </w:r>
          </w:p>
        </w:tc>
      </w:tr>
      <w:tr>
        <w:tc>
          <w:tcPr>
            <w:tcW w:type="dxa" w:w="2880"/>
          </w:tcPr>
          <w:p>
            <w:r>
              <w:t>Configure, do not customize</w:t>
            </w:r>
          </w:p>
        </w:tc>
        <w:tc>
          <w:tcPr>
            <w:tcW w:type="dxa" w:w="2880"/>
          </w:tcPr>
          <w:p>
            <w:r>
              <w:t>✓</w:t>
            </w:r>
          </w:p>
        </w:tc>
        <w:tc>
          <w:tcPr>
            <w:tcW w:type="dxa" w:w="2880"/>
          </w:tcPr>
          <w:p>
            <w:r>
              <w:t>KPI thresholds, company codes, and high-value PO limits configurable via Admin Settings without code changes.</w:t>
            </w:r>
          </w:p>
        </w:tc>
      </w:tr>
      <w:tr>
        <w:tc>
          <w:tcPr>
            <w:tcW w:type="dxa" w:w="2880"/>
          </w:tcPr>
          <w:p>
            <w:r>
              <w:t>Think Mobility for front-end</w:t>
            </w:r>
          </w:p>
        </w:tc>
        <w:tc>
          <w:tcPr>
            <w:tcW w:type="dxa" w:w="2880"/>
          </w:tcPr>
          <w:p>
            <w:r>
              <w:t>✗</w:t>
            </w:r>
          </w:p>
        </w:tc>
        <w:tc>
          <w:tcPr>
            <w:tcW w:type="dxa" w:w="2880"/>
          </w:tcPr>
          <w:p>
            <w:r>
              <w:t>Current UI is desktop-first. Mobile responsiveness is a Transition 1 roadmap item.</w:t>
            </w:r>
          </w:p>
        </w:tc>
      </w:tr>
      <w:tr>
        <w:tc>
          <w:tcPr>
            <w:tcW w:type="dxa" w:w="2880"/>
          </w:tcPr>
          <w:p>
            <w:r>
              <w:t>Virtual Deployment Preferred</w:t>
            </w:r>
          </w:p>
        </w:tc>
        <w:tc>
          <w:tcPr>
            <w:tcW w:type="dxa" w:w="2880"/>
          </w:tcPr>
          <w:p>
            <w:r>
              <w:t>✓</w:t>
            </w:r>
          </w:p>
        </w:tc>
        <w:tc>
          <w:tcPr>
            <w:tcW w:type="dxa" w:w="2880"/>
          </w:tcPr>
          <w:p>
            <w:r>
              <w:t>Frontend on Vercel (serverless CDN). Backend planned for containerisation (Docker/Kubernetes) in Transition 1.</w:t>
            </w:r>
          </w:p>
        </w:tc>
      </w:tr>
      <w:tr>
        <w:tc>
          <w:tcPr>
            <w:tcW w:type="dxa" w:w="2880"/>
          </w:tcPr>
          <w:p>
            <w:r>
              <w:t>Think Cloud First</w:t>
            </w:r>
          </w:p>
        </w:tc>
        <w:tc>
          <w:tcPr>
            <w:tcW w:type="dxa" w:w="2880"/>
          </w:tcPr>
          <w:p>
            <w:r>
              <w:t>✓</w:t>
            </w:r>
          </w:p>
        </w:tc>
        <w:tc>
          <w:tcPr>
            <w:tcW w:type="dxa" w:w="2880"/>
          </w:tcPr>
          <w:p>
            <w:r>
              <w:t>Frontend on Vercel cloud. PostgreSQL target is managed cloud DB. Backend containerisation planned.</w:t>
            </w:r>
          </w:p>
        </w:tc>
      </w:tr>
      <w:tr>
        <w:tc>
          <w:tcPr>
            <w:tcW w:type="dxa" w:w="2880"/>
          </w:tcPr>
          <w:p>
            <w:r>
              <w:t>Leverage off-the-shelf Integration</w:t>
            </w:r>
          </w:p>
        </w:tc>
        <w:tc>
          <w:tcPr>
            <w:tcW w:type="dxa" w:w="2880"/>
          </w:tcPr>
          <w:p>
            <w:r>
              <w:t>✗</w:t>
            </w:r>
          </w:p>
        </w:tc>
        <w:tc>
          <w:tcPr>
            <w:tcW w:type="dxa" w:w="2880"/>
          </w:tcPr>
          <w:p>
            <w:r>
              <w:t>Prefers custom FastAPI REST layer over off-the-shelf integration middleware. Justified by SAP-specific data model and custom KPI logic.</w:t>
            </w:r>
          </w:p>
        </w:tc>
      </w:tr>
    </w:tbl>
    <w:p/>
    <w:p>
      <w:pPr>
        <w:pStyle w:val="Heading1"/>
      </w:pPr>
      <w:r>
        <w:rPr>
          <w:color w:val="003366"/>
        </w:rPr>
        <w:t>20. References</w:t>
      </w:r>
    </w:p>
    <w:tbl>
      <w:tblPr>
        <w:tblStyle w:val="TableGrid"/>
        <w:tblW w:type="auto" w:w="0"/>
        <w:tblLook w:firstColumn="1" w:firstRow="1" w:lastColumn="0" w:lastRow="0" w:noHBand="0" w:noVBand="1" w:val="04A0"/>
      </w:tblPr>
      <w:tblGrid>
        <w:gridCol w:w="4320"/>
        <w:gridCol w:w="4320"/>
      </w:tblGrid>
      <w:tr>
        <w:tc>
          <w:tcPr>
            <w:tcW w:type="dxa" w:w="4320"/>
          </w:tcPr>
          <w:p>
            <w:r>
              <w:rPr>
                <w:b/>
              </w:rPr>
              <w:t>Document / Resource</w:t>
            </w:r>
          </w:p>
        </w:tc>
        <w:tc>
          <w:tcPr>
            <w:tcW w:type="dxa" w:w="4320"/>
          </w:tcPr>
          <w:p>
            <w:r>
              <w:rPr>
                <w:b/>
              </w:rPr>
              <w:t>Link / Location</w:t>
            </w:r>
          </w:p>
        </w:tc>
      </w:tr>
      <w:tr>
        <w:tc>
          <w:tcPr>
            <w:tcW w:type="dxa" w:w="4320"/>
          </w:tcPr>
          <w:p>
            <w:r>
              <w:t>Source Code Repository</w:t>
            </w:r>
          </w:p>
        </w:tc>
        <w:tc>
          <w:tcPr>
            <w:tcW w:type="dxa" w:w="4320"/>
          </w:tcPr>
          <w:p>
            <w:r>
              <w:t>GitHub — kpmg-intelliflow (private repository)</w:t>
            </w:r>
          </w:p>
        </w:tc>
      </w:tr>
      <w:tr>
        <w:tc>
          <w:tcPr>
            <w:tcW w:type="dxa" w:w="4320"/>
          </w:tcPr>
          <w:p>
            <w:r>
              <w:t>P2P KPI Reference</w:t>
            </w:r>
          </w:p>
        </w:tc>
        <w:tc>
          <w:tcPr>
            <w:tcW w:type="dxa" w:w="4320"/>
          </w:tcPr>
          <w:p>
            <w:r>
              <w:t>ARB/P2P_KPIs.xlsx — 42 frontend-validated KPIs with SQL queries</w:t>
            </w:r>
          </w:p>
        </w:tc>
      </w:tr>
      <w:tr>
        <w:tc>
          <w:tcPr>
            <w:tcW w:type="dxa" w:w="4320"/>
          </w:tcPr>
          <w:p>
            <w:r>
              <w:t>Data Model (ER)</w:t>
            </w:r>
          </w:p>
        </w:tc>
        <w:tc>
          <w:tcPr>
            <w:tcW w:type="dxa" w:w="4320"/>
          </w:tcPr>
          <w:p>
            <w:r>
              <w:t>P2P_Data_Model_ER.md — Entity-relationship diagram</w:t>
            </w:r>
          </w:p>
        </w:tc>
      </w:tr>
      <w:tr>
        <w:tc>
          <w:tcPr>
            <w:tcW w:type="dxa" w:w="4320"/>
          </w:tcPr>
          <w:p>
            <w:r>
              <w:t>CLAUDE.md (dev notes)</w:t>
            </w:r>
          </w:p>
        </w:tc>
        <w:tc>
          <w:tcPr>
            <w:tcW w:type="dxa" w:w="4320"/>
          </w:tcPr>
          <w:p>
            <w:r>
              <w:t>kpmg-intelliflow/CLAUDE.md — development conventions and known issues</w:t>
            </w:r>
          </w:p>
        </w:tc>
      </w:tr>
      <w:tr>
        <w:tc>
          <w:tcPr>
            <w:tcW w:type="dxa" w:w="4320"/>
          </w:tcPr>
          <w:p>
            <w:r>
              <w:t>OpenRouter API Documentation</w:t>
            </w:r>
          </w:p>
        </w:tc>
        <w:tc>
          <w:tcPr>
            <w:tcW w:type="dxa" w:w="4320"/>
          </w:tcPr>
          <w:p>
            <w:r>
              <w:t>https://openrouter.ai/docs</w:t>
            </w:r>
          </w:p>
        </w:tc>
      </w:tr>
      <w:tr>
        <w:tc>
          <w:tcPr>
            <w:tcW w:type="dxa" w:w="4320"/>
          </w:tcPr>
          <w:p>
            <w:r>
              <w:t>FastAPI Documentation</w:t>
            </w:r>
          </w:p>
        </w:tc>
        <w:tc>
          <w:tcPr>
            <w:tcW w:type="dxa" w:w="4320"/>
          </w:tcPr>
          <w:p>
            <w:r>
              <w:t>https://fastapi.tiangolo.com</w:t>
            </w:r>
          </w:p>
        </w:tc>
      </w:tr>
      <w:tr>
        <w:tc>
          <w:tcPr>
            <w:tcW w:type="dxa" w:w="4320"/>
          </w:tcPr>
          <w:p>
            <w:r>
              <w:t>KPMG EA Principles</w:t>
            </w:r>
          </w:p>
        </w:tc>
        <w:tc>
          <w:tcPr>
            <w:tcW w:type="dxa" w:w="4320"/>
          </w:tcPr>
          <w:p>
            <w:r>
              <w:t>[KPMG Enterprise Architecture Strategy document — internal]</w:t>
            </w:r>
          </w:p>
        </w:tc>
      </w:tr>
    </w:tbl>
    <w:p/>
    <w:p>
      <w:pPr>
        <w:pStyle w:val="Heading1"/>
      </w:pPr>
      <w:r>
        <w:rPr>
          <w:color w:val="003366"/>
        </w:rPr>
        <w:t>21. Glossary</w:t>
      </w:r>
    </w:p>
    <w:tbl>
      <w:tblPr>
        <w:tblStyle w:val="TableGrid"/>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Definition</w:t>
            </w:r>
          </w:p>
        </w:tc>
      </w:tr>
      <w:tr>
        <w:tc>
          <w:tcPr>
            <w:tcW w:type="dxa" w:w="4320"/>
          </w:tcPr>
          <w:p>
            <w:r>
              <w:t>P2P</w:t>
            </w:r>
          </w:p>
        </w:tc>
        <w:tc>
          <w:tcPr>
            <w:tcW w:type="dxa" w:w="4320"/>
          </w:tcPr>
          <w:p>
            <w:r>
              <w:t>Procure-to-Pay — end-to-end procurement lifecycle from Purchase Requisition to Vendor Payment.</w:t>
            </w:r>
          </w:p>
        </w:tc>
      </w:tr>
      <w:tr>
        <w:tc>
          <w:tcPr>
            <w:tcW w:type="dxa" w:w="4320"/>
          </w:tcPr>
          <w:p>
            <w:r>
              <w:t>PR</w:t>
            </w:r>
          </w:p>
        </w:tc>
        <w:tc>
          <w:tcPr>
            <w:tcW w:type="dxa" w:w="4320"/>
          </w:tcPr>
          <w:p>
            <w:r>
              <w:t>Purchase Requisition — internal request to procure goods or services.</w:t>
            </w:r>
          </w:p>
        </w:tc>
      </w:tr>
      <w:tr>
        <w:tc>
          <w:tcPr>
            <w:tcW w:type="dxa" w:w="4320"/>
          </w:tcPr>
          <w:p>
            <w:r>
              <w:t>PO</w:t>
            </w:r>
          </w:p>
        </w:tc>
        <w:tc>
          <w:tcPr>
            <w:tcW w:type="dxa" w:w="4320"/>
          </w:tcPr>
          <w:p>
            <w:r>
              <w:t>Purchase Order — formal order issued to a vendor.</w:t>
            </w:r>
          </w:p>
        </w:tc>
      </w:tr>
      <w:tr>
        <w:tc>
          <w:tcPr>
            <w:tcW w:type="dxa" w:w="4320"/>
          </w:tcPr>
          <w:p>
            <w:r>
              <w:t>GRN</w:t>
            </w:r>
          </w:p>
        </w:tc>
        <w:tc>
          <w:tcPr>
            <w:tcW w:type="dxa" w:w="4320"/>
          </w:tcPr>
          <w:p>
            <w:r>
              <w:t>Goods Receipt Note — confirmation of delivery of goods against a PO.</w:t>
            </w:r>
          </w:p>
        </w:tc>
      </w:tr>
      <w:tr>
        <w:tc>
          <w:tcPr>
            <w:tcW w:type="dxa" w:w="4320"/>
          </w:tcPr>
          <w:p>
            <w:r>
              <w:t>KPI</w:t>
            </w:r>
          </w:p>
        </w:tc>
        <w:tc>
          <w:tcPr>
            <w:tcW w:type="dxa" w:w="4320"/>
          </w:tcPr>
          <w:p>
            <w:r>
              <w:t>Key Performance Indicator.</w:t>
            </w:r>
          </w:p>
        </w:tc>
      </w:tr>
      <w:tr>
        <w:tc>
          <w:tcPr>
            <w:tcW w:type="dxa" w:w="4320"/>
          </w:tcPr>
          <w:p>
            <w:r>
              <w:t>CAPEX</w:t>
            </w:r>
          </w:p>
        </w:tc>
        <w:tc>
          <w:tcPr>
            <w:tcW w:type="dxa" w:w="4320"/>
          </w:tcPr>
          <w:p>
            <w:r>
              <w:t>Capital Expenditure — spending on long-term assets.</w:t>
            </w:r>
          </w:p>
        </w:tc>
      </w:tr>
      <w:tr>
        <w:tc>
          <w:tcPr>
            <w:tcW w:type="dxa" w:w="4320"/>
          </w:tcPr>
          <w:p>
            <w:r>
              <w:t>OPEX</w:t>
            </w:r>
          </w:p>
        </w:tc>
        <w:tc>
          <w:tcPr>
            <w:tcW w:type="dxa" w:w="4320"/>
          </w:tcPr>
          <w:p>
            <w:r>
              <w:t>Operational Expenditure — day-to-day operating costs.</w:t>
            </w:r>
          </w:p>
        </w:tc>
      </w:tr>
      <w:tr>
        <w:tc>
          <w:tcPr>
            <w:tcW w:type="dxa" w:w="4320"/>
          </w:tcPr>
          <w:p>
            <w:r>
              <w:t>MSME</w:t>
            </w:r>
          </w:p>
        </w:tc>
        <w:tc>
          <w:tcPr>
            <w:tcW w:type="dxa" w:w="4320"/>
          </w:tcPr>
          <w:p>
            <w:r>
              <w:t>Micro, Small and Medium Enterprise (India — MSMED Act).</w:t>
            </w:r>
          </w:p>
        </w:tc>
      </w:tr>
      <w:tr>
        <w:tc>
          <w:tcPr>
            <w:tcW w:type="dxa" w:w="4320"/>
          </w:tcPr>
          <w:p>
            <w:r>
              <w:t>MTD</w:t>
            </w:r>
          </w:p>
        </w:tc>
        <w:tc>
          <w:tcPr>
            <w:tcW w:type="dxa" w:w="4320"/>
          </w:tcPr>
          <w:p>
            <w:r>
              <w:t>Month-to-Date.</w:t>
            </w:r>
          </w:p>
        </w:tc>
      </w:tr>
      <w:tr>
        <w:tc>
          <w:tcPr>
            <w:tcW w:type="dxa" w:w="4320"/>
          </w:tcPr>
          <w:p>
            <w:r>
              <w:t>RAG</w:t>
            </w:r>
          </w:p>
        </w:tc>
        <w:tc>
          <w:tcPr>
            <w:tcW w:type="dxa" w:w="4320"/>
          </w:tcPr>
          <w:p>
            <w:r>
              <w:t>Red / Amber / Green — traffic-light status indicator.</w:t>
            </w:r>
          </w:p>
        </w:tc>
      </w:tr>
      <w:tr>
        <w:tc>
          <w:tcPr>
            <w:tcW w:type="dxa" w:w="4320"/>
          </w:tcPr>
          <w:p>
            <w:r>
              <w:t>ETL</w:t>
            </w:r>
          </w:p>
        </w:tc>
        <w:tc>
          <w:tcPr>
            <w:tcW w:type="dxa" w:w="4320"/>
          </w:tcPr>
          <w:p>
            <w:r>
              <w:t>Extract, Transform, Load — data pipeline process.</w:t>
            </w:r>
          </w:p>
        </w:tc>
      </w:tr>
      <w:tr>
        <w:tc>
          <w:tcPr>
            <w:tcW w:type="dxa" w:w="4320"/>
          </w:tcPr>
          <w:p>
            <w:r>
              <w:t>SPA</w:t>
            </w:r>
          </w:p>
        </w:tc>
        <w:tc>
          <w:tcPr>
            <w:tcW w:type="dxa" w:w="4320"/>
          </w:tcPr>
          <w:p>
            <w:r>
              <w:t>Single Page Application.</w:t>
            </w:r>
          </w:p>
        </w:tc>
      </w:tr>
      <w:tr>
        <w:tc>
          <w:tcPr>
            <w:tcW w:type="dxa" w:w="4320"/>
          </w:tcPr>
          <w:p>
            <w:r>
              <w:t>CDN</w:t>
            </w:r>
          </w:p>
        </w:tc>
        <w:tc>
          <w:tcPr>
            <w:tcW w:type="dxa" w:w="4320"/>
          </w:tcPr>
          <w:p>
            <w:r>
              <w:t>Content Delivery Network.</w:t>
            </w:r>
          </w:p>
        </w:tc>
      </w:tr>
      <w:tr>
        <w:tc>
          <w:tcPr>
            <w:tcW w:type="dxa" w:w="4320"/>
          </w:tcPr>
          <w:p>
            <w:r>
              <w:t>RBAC</w:t>
            </w:r>
          </w:p>
        </w:tc>
        <w:tc>
          <w:tcPr>
            <w:tcW w:type="dxa" w:w="4320"/>
          </w:tcPr>
          <w:p>
            <w:r>
              <w:t>Role-Based Access Control.</w:t>
            </w:r>
          </w:p>
        </w:tc>
      </w:tr>
      <w:tr>
        <w:tc>
          <w:tcPr>
            <w:tcW w:type="dxa" w:w="4320"/>
          </w:tcPr>
          <w:p>
            <w:r>
              <w:t>JWT</w:t>
            </w:r>
          </w:p>
        </w:tc>
        <w:tc>
          <w:tcPr>
            <w:tcW w:type="dxa" w:w="4320"/>
          </w:tcPr>
          <w:p>
            <w:r>
              <w:t>JSON Web Token.</w:t>
            </w:r>
          </w:p>
        </w:tc>
      </w:tr>
      <w:tr>
        <w:tc>
          <w:tcPr>
            <w:tcW w:type="dxa" w:w="4320"/>
          </w:tcPr>
          <w:p>
            <w:r>
              <w:t>SSO</w:t>
            </w:r>
          </w:p>
        </w:tc>
        <w:tc>
          <w:tcPr>
            <w:tcW w:type="dxa" w:w="4320"/>
          </w:tcPr>
          <w:p>
            <w:r>
              <w:t>Single Sign-On.</w:t>
            </w:r>
          </w:p>
        </w:tc>
      </w:tr>
      <w:tr>
        <w:tc>
          <w:tcPr>
            <w:tcW w:type="dxa" w:w="4320"/>
          </w:tcPr>
          <w:p>
            <w:r>
              <w:t>AD</w:t>
            </w:r>
          </w:p>
        </w:tc>
        <w:tc>
          <w:tcPr>
            <w:tcW w:type="dxa" w:w="4320"/>
          </w:tcPr>
          <w:p>
            <w:r>
              <w:t>Active Directory.</w:t>
            </w:r>
          </w:p>
        </w:tc>
      </w:tr>
      <w:tr>
        <w:tc>
          <w:tcPr>
            <w:tcW w:type="dxa" w:w="4320"/>
          </w:tcPr>
          <w:p>
            <w:r>
              <w:t>IAM</w:t>
            </w:r>
          </w:p>
        </w:tc>
        <w:tc>
          <w:tcPr>
            <w:tcW w:type="dxa" w:w="4320"/>
          </w:tcPr>
          <w:p>
            <w:r>
              <w:t>Identity and Access Management.</w:t>
            </w:r>
          </w:p>
        </w:tc>
      </w:tr>
      <w:tr>
        <w:tc>
          <w:tcPr>
            <w:tcW w:type="dxa" w:w="4320"/>
          </w:tcPr>
          <w:p>
            <w:r>
              <w:t>MFA</w:t>
            </w:r>
          </w:p>
        </w:tc>
        <w:tc>
          <w:tcPr>
            <w:tcW w:type="dxa" w:w="4320"/>
          </w:tcPr>
          <w:p>
            <w:r>
              <w:t>Multi-Factor Authentication.</w:t>
            </w:r>
          </w:p>
        </w:tc>
      </w:tr>
      <w:tr>
        <w:tc>
          <w:tcPr>
            <w:tcW w:type="dxa" w:w="4320"/>
          </w:tcPr>
          <w:p>
            <w:r>
              <w:t>RTO</w:t>
            </w:r>
          </w:p>
        </w:tc>
        <w:tc>
          <w:tcPr>
            <w:tcW w:type="dxa" w:w="4320"/>
          </w:tcPr>
          <w:p>
            <w:r>
              <w:t>Recovery Time Objective.</w:t>
            </w:r>
          </w:p>
        </w:tc>
      </w:tr>
      <w:tr>
        <w:tc>
          <w:tcPr>
            <w:tcW w:type="dxa" w:w="4320"/>
          </w:tcPr>
          <w:p>
            <w:r>
              <w:t>RPO</w:t>
            </w:r>
          </w:p>
        </w:tc>
        <w:tc>
          <w:tcPr>
            <w:tcW w:type="dxa" w:w="4320"/>
          </w:tcPr>
          <w:p>
            <w:r>
              <w:t>Recovery Point Objective.</w:t>
            </w:r>
          </w:p>
        </w:tc>
      </w:tr>
      <w:tr>
        <w:tc>
          <w:tcPr>
            <w:tcW w:type="dxa" w:w="4320"/>
          </w:tcPr>
          <w:p>
            <w:r>
              <w:t>MTTR</w:t>
            </w:r>
          </w:p>
        </w:tc>
        <w:tc>
          <w:tcPr>
            <w:tcW w:type="dxa" w:w="4320"/>
          </w:tcPr>
          <w:p>
            <w:r>
              <w:t>Mean Time to Repair.</w:t>
            </w:r>
          </w:p>
        </w:tc>
      </w:tr>
      <w:tr>
        <w:tc>
          <w:tcPr>
            <w:tcW w:type="dxa" w:w="4320"/>
          </w:tcPr>
          <w:p>
            <w:r>
              <w:t>BCP</w:t>
            </w:r>
          </w:p>
        </w:tc>
        <w:tc>
          <w:tcPr>
            <w:tcW w:type="dxa" w:w="4320"/>
          </w:tcPr>
          <w:p>
            <w:r>
              <w:t>Business Continuity Plan.</w:t>
            </w:r>
          </w:p>
        </w:tc>
      </w:tr>
      <w:tr>
        <w:tc>
          <w:tcPr>
            <w:tcW w:type="dxa" w:w="4320"/>
          </w:tcPr>
          <w:p>
            <w:r>
              <w:t>DR</w:t>
            </w:r>
          </w:p>
        </w:tc>
        <w:tc>
          <w:tcPr>
            <w:tcW w:type="dxa" w:w="4320"/>
          </w:tcPr>
          <w:p>
            <w:r>
              <w:t>Disaster Recovery.</w:t>
            </w:r>
          </w:p>
        </w:tc>
      </w:tr>
      <w:tr>
        <w:tc>
          <w:tcPr>
            <w:tcW w:type="dxa" w:w="4320"/>
          </w:tcPr>
          <w:p>
            <w:r>
              <w:t>ARB</w:t>
            </w:r>
          </w:p>
        </w:tc>
        <w:tc>
          <w:tcPr>
            <w:tcW w:type="dxa" w:w="4320"/>
          </w:tcPr>
          <w:p>
            <w:r>
              <w:t>Architecture Review Board.</w:t>
            </w:r>
          </w:p>
        </w:tc>
      </w:tr>
      <w:tr>
        <w:tc>
          <w:tcPr>
            <w:tcW w:type="dxa" w:w="4320"/>
          </w:tcPr>
          <w:p>
            <w:r>
              <w:t>EA</w:t>
            </w:r>
          </w:p>
        </w:tc>
        <w:tc>
          <w:tcPr>
            <w:tcW w:type="dxa" w:w="4320"/>
          </w:tcPr>
          <w:p>
            <w:r>
              <w:t>Enterprise Architecture.</w:t>
            </w:r>
          </w:p>
        </w:tc>
      </w:tr>
      <w:tr>
        <w:tc>
          <w:tcPr>
            <w:tcW w:type="dxa" w:w="4320"/>
          </w:tcPr>
          <w:p>
            <w:r>
              <w:t>BAPI</w:t>
            </w:r>
          </w:p>
        </w:tc>
        <w:tc>
          <w:tcPr>
            <w:tcW w:type="dxa" w:w="4320"/>
          </w:tcPr>
          <w:p>
            <w:r>
              <w:t>Business Application Programming Interface (SAP).</w:t>
            </w:r>
          </w:p>
        </w:tc>
      </w:tr>
      <w:tr>
        <w:tc>
          <w:tcPr>
            <w:tcW w:type="dxa" w:w="4320"/>
          </w:tcPr>
          <w:p>
            <w:r>
              <w:t>OData</w:t>
            </w:r>
          </w:p>
        </w:tc>
        <w:tc>
          <w:tcPr>
            <w:tcW w:type="dxa" w:w="4320"/>
          </w:tcPr>
          <w:p>
            <w:r>
              <w:t>Open Data Protocol (SAP API standard).</w:t>
            </w:r>
          </w:p>
        </w:tc>
      </w:tr>
      <w:tr>
        <w:tc>
          <w:tcPr>
            <w:tcW w:type="dxa" w:w="4320"/>
          </w:tcPr>
          <w:p>
            <w:r>
              <w:t>WAF</w:t>
            </w:r>
          </w:p>
        </w:tc>
        <w:tc>
          <w:tcPr>
            <w:tcW w:type="dxa" w:w="4320"/>
          </w:tcPr>
          <w:p>
            <w:r>
              <w:t>Web Application Firewall.</w:t>
            </w:r>
          </w:p>
        </w:tc>
      </w:tr>
      <w:tr>
        <w:tc>
          <w:tcPr>
            <w:tcW w:type="dxa" w:w="4320"/>
          </w:tcPr>
          <w:p>
            <w:r>
              <w:t>APM</w:t>
            </w:r>
          </w:p>
        </w:tc>
        <w:tc>
          <w:tcPr>
            <w:tcW w:type="dxa" w:w="4320"/>
          </w:tcPr>
          <w:p>
            <w:r>
              <w:t>Application Performance Monitoring.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