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AARKI ANALYTICS CHALLENGE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F7B8C"/>
          <w:sz w:val="32"/>
          <w:szCs w:val="32"/>
        </w:rPr>
        <w:t xml:space="preserve">Lead Quality Analysis &amp; Optimization Recommendations</w:t>
      </w:r>
    </w:p>
    <w:p>
      <w:pPr>
        <w:spacing w:after="160" w:before="0"/>
      </w:pPr>
    </w:p>
    <w:p>
      <w:pPr>
        <w:pBdr>
          <w:bottom w:val="single" w:color="0F7B8C" w:sz="12" w:space="1"/>
        </w:pBdr>
        <w:spacing w:after="160" w:before="0"/>
      </w:pPr>
    </w:p>
    <w:p>
      <w:pPr>
        <w:spacing w:after="3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Satyam Mishra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Analyst  |  SQL  •  Excel  •  Power BI  •  Business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B.Tech in Electronics &amp; Communication Engineering with AI &amp; ML, NSUT</w:t>
      </w:r>
    </w:p>
    <w:p>
      <w:pPr>
        <w:spacing w:after="1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0F7B8C"/>
          <w:sz w:val="22"/>
          <w:szCs w:val="22"/>
        </w:rPr>
        <w:t xml:space="preserve">satyam.mishra.dec17@gmail.com  |  +91 8882687033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7B8C"/>
          <w:sz w:val="22"/>
          <w:szCs w:val="22"/>
        </w:rPr>
        <w:t xml:space="preserve">linkedin.com/in/satyam-mishra-dec17</w:t>
      </w:r>
    </w:p>
    <w:p>
      <w:pPr>
        <w:spacing w:after="4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May 2026  |  Associate Analyst Application – Bengaluru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analysis examines a dataset of 3,021 leads generated through multiple advertising creatives, publisher placements, and acquisition channels for a debt reduction advertiser. The objective was to evaluate lead quality trends, identify the key drivers of downstream conversion quality, and recommend optimizations that could justify a higher Cost Per Lead (CPL).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Key Findings at a Glance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Trend volatility, not decline: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Weekly lead quality fluctuated but was not statistically significant at the 95% confidence level, indicating normal operational variance.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Creative design matters: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Widget design and form structure had a material impact on downstream lead quality outcomes.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Validation signals are predictive: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PhoneScore and AddressScore demonstrated a strong positive correlation with close rates.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Significant untapped opportunity: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Approximately 71% of leads remained in an 'Unknown' status, representing a major operational gap.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Segment performance varies: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Certain publisher placements and creative variants consistently outperformed others.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Highest-impact opportunity: Prioritising high-validation-score leads and reallocating traffic to stronger widget variants could materially improve lead quality and support a CPL increase.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Objective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analysis was structured to answer three core business questions: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Trend direction: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Are lead quality trends improving or declining over time?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Quality drivers: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What factors most strongly influence lead quality?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CPL justification: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Can lead quality improve sufficiently to justify a 20% increase in advertiser CPL?</w:t>
      </w:r>
    </w:p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Data Cleaning &amp; Preparation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Lead Quality Mapping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original CallStatus field was standardised into three analytical categories to enable consistent cross-segment comparison: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Included Statuses</w:t>
            </w:r>
          </w:p>
        </w:tc>
      </w:tr>
      <w:tr>
        <w:tc>
          <w:tcPr>
            <w:tcW w:type="dxa" w:w="234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Good</w:t>
            </w:r>
          </w:p>
        </w:tc>
        <w:tc>
          <w:tcPr>
            <w:tcW w:type="dxa" w:w="70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Closed, EP Sent, EP Received, EP Confirmed</w:t>
            </w:r>
          </w:p>
        </w:tc>
      </w:tr>
      <w:tr>
        <w:tc>
          <w:tcPr>
            <w:tcW w:type="dxa" w:w="234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Bad</w:t>
            </w:r>
          </w:p>
        </w:tc>
        <w:tc>
          <w:tcPr>
            <w:tcW w:type="dxa" w:w="70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Unable to Contact, Invalid Profile, Doesn't Qualify</w:t>
            </w:r>
          </w:p>
        </w:tc>
      </w:tr>
      <w:tr>
        <w:tc>
          <w:tcPr>
            <w:tcW w:type="dxa" w:w="234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Unknown</w:t>
            </w:r>
          </w:p>
        </w:tc>
        <w:tc>
          <w:tcPr>
            <w:tcW w:type="dxa" w:w="70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remaining statuses</w:t>
            </w:r>
          </w:p>
        </w:tc>
      </w:tr>
    </w:tbl>
    <w:p>
      <w:pPr>
        <w:spacing w:after="16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Approximately 71% of leads remained in the 'Unknown' category — representing a substantial opportunity to improve operational follow-up and qualification workflows.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Key Performance Indicators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Performance Indicator</w:t>
            </w:r>
          </w:p>
        </w:tc>
        <w:tc>
          <w:tcPr>
            <w:tcW w:type="dxa" w:w="3744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Dataset Leads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3,021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Known / Evaluable Leads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881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Good Lead % (Known)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44.6%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Bad Lead % (Known)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55.4%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Overall Closed Rate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8.1%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Closed Rate (Known Leads)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27.8%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Trend Analysis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Weekly lead quality was tracked using the Lead Created Date field. Good Lead Rates and Bad Lead Rates were calculated and assessed for directional movement over the analysis period.</w:t>
      </w:r>
    </w:p>
    <w:p>
      <w:pPr>
        <w:spacing w:after="80" w:before="0"/>
      </w:pPr>
    </w:p>
    <w:p>
      <w:pPr>
        <w:spacing w:after="80" w:before="80"/>
        <w:jc w:val="center"/>
      </w:pPr>
      <w:r>
        <w:drawing>
          <wp:inline distT="0" distB="0" distL="0" distR="0">
            <wp:extent cx="61912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quality fluctuated substantially across weeks.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Several periods experienced elevated Bad Lead Rates.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sustained improvement trend was observed over the analysis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Traffic quality appeared operationally volatile rather than directionally deteriorating.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Conclusion: Lead quality did not exhibit a consistent upward or downward trend — variance appears to be driven by operational factors rather than systemic campaign degradation.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Statistical Validation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determine whether observed fluctuations were meaningful, a Chi-Square test was applied comparing Early vs. Late lead periods. Unknown leads were excluded; a contingency table was built using Good vs. Bad leads.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Chi-Square Results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744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Chi-Square Statistic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~1.84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Degrees of Freedom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Critical Threshold (95%)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3.84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Significance Level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95%</w:t>
            </w:r>
          </w:p>
        </w:tc>
      </w:tr>
      <w:tr>
        <w:tc>
          <w:tcPr>
            <w:tcW w:type="dxa" w:w="5616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Conclusion</w:t>
            </w:r>
          </w:p>
        </w:tc>
        <w:tc>
          <w:tcPr>
            <w:tcW w:type="dxa" w:w="3744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 Statistically Significant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Because the Chi-Square statistic (1.84) remained below the 95% critical threshold (3.84), observed fluctuations were not statistically significant — consistent with normal operational variability.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Widget Performance Analysis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Creative-level analysis was conducted to determine whether widget design and form structure influenced downstream lead quality. Good Lead % was calculated using evaluable leads only.</w:t>
      </w:r>
    </w:p>
    <w:p>
      <w:pPr>
        <w:spacing w:after="80" w:before="0"/>
      </w:pPr>
    </w:p>
    <w:p>
      <w:pPr>
        <w:spacing w:after="80" w:before="8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Significant quality variation existed across widget variants.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Certain lower-volume creatives materially outperformed higher-volume widgets.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Several 'yellowarrow' variants consistently underperformed on lead quality.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CreditSolutions (45%) and BlueMeter (67%) variants demonstrated stronger quality outcomes.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Business Insight: Creative design and form structure materially impact downstream conversion quality. Traffic reallocation towards stronger widgets is a high-confidence optimisation lever.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Segment Exploration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Publisher Zone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TopLeft-302252 inventory generated marginally stronger lead quality compared to Top Right placements, indicating placement-level optimisation potential.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Acquisition Channel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Online form traffic slightly outperformed call-centre sourced traffic on lead quality metrics. Digitally submitted leads appear to exhibit stronger qualification intent.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Geography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State-level analysis revealed substantial regional variability. Low-volume states were excluded to avoid statistically unreliable conclusions. Several high-volume states demonstrated materially stronger Good Lead Rates, indicating regional targeting opportunities.</w:t>
      </w:r>
    </w:p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Validation Correlation Analysis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Validation signals (PhoneScore and AddressScore) were analysed against downstream close rates using the ClosedFlag variable. Results were segmented into High, Medium, and Low groups.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PhoneScore vs. Close Rate</w:t>
      </w:r>
    </w:p>
    <w:p>
      <w:pPr>
        <w:spacing w:after="80" w:before="0"/>
      </w:pPr>
    </w:p>
    <w:p>
      <w:pPr>
        <w:spacing w:after="80" w:before="80"/>
        <w:jc w:val="center"/>
      </w:pPr>
      <w:r>
        <w:drawing>
          <wp:inline distT="0" distB="0" distL="0" distR="0">
            <wp:extent cx="370522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PhoneScore Group</w:t>
            </w:r>
          </w:p>
        </w:tc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Close Rate</w:t>
            </w:r>
          </w:p>
        </w:tc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8.6%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★ Strong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6.6%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0.1%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Weak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AddressScore vs. Close Rate</w:t>
      </w:r>
    </w:p>
    <w:p>
      <w:pPr>
        <w:spacing w:after="80" w:before="0"/>
      </w:pPr>
    </w:p>
    <w:p>
      <w:pPr>
        <w:spacing w:after="80" w:before="80"/>
        <w:jc w:val="center"/>
      </w:pPr>
      <w:r>
        <w:drawing>
          <wp:inline distT="0" distB="0" distL="0" distR="0">
            <wp:extent cx="370522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AddressScore Group</w:t>
            </w:r>
          </w:p>
        </w:tc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Close Rate</w:t>
            </w:r>
          </w:p>
        </w:tc>
        <w:tc>
          <w:tcPr>
            <w:tcW w:type="dxa" w:w="312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8.3%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★ Strong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5.4%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4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0.2%</w:t>
            </w:r>
          </w:p>
        </w:tc>
        <w:tc>
          <w:tcPr>
            <w:tcW w:type="dxa" w:w="312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Weak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Key Insight: Higher validation scores strongly correlate with close rates. Low-score leads produce negligible conversion. Pre-validation filtering is the single strongest optimisation opportunity identified in the dataset.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Recommendations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recommendations are prioritised by estimated impact on lead quality and CPL justification: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Recommendation 1: </w:t>
            </w:r>
            <w:r>
              <w:rPr>
                <w:rFonts w:ascii="Arial" w:cs="Arial" w:eastAsia="Arial" w:hAnsi="Arial"/>
                <w:b/>
                <w:bCs/>
                <w:color w:val="0F7B8C"/>
                <w:sz w:val="22"/>
                <w:szCs w:val="22"/>
              </w:rPr>
              <w:t xml:space="preserve">Implement Pre-Validation Lead Filtering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Leads with high PhoneScore and AddressScore demonstrated close rates up to 86× higher than low-score leads. Applying pre-validation filters to exclude low-score leads before delivery would materially lift overall lead quality and downstream ROI.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Recommendation 2: </w:t>
            </w:r>
            <w:r>
              <w:rPr>
                <w:rFonts w:ascii="Arial" w:cs="Arial" w:eastAsia="Arial" w:hAnsi="Arial"/>
                <w:b/>
                <w:bCs/>
                <w:color w:val="0F7B8C"/>
                <w:sz w:val="22"/>
                <w:szCs w:val="22"/>
              </w:rPr>
              <w:t xml:space="preserve">Reallocate Spend Toward Top-Performing Widgets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CreditSolutions (45% good lead rate) and BlueMeter (67%) creative variants outperformed on lead quality. Shifting budget away from underperforming variants toward these themes could improve quality without increasing CPL.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Recommendation 3: </w:t>
            </w:r>
            <w:r>
              <w:rPr>
                <w:rFonts w:ascii="Arial" w:cs="Arial" w:eastAsia="Arial" w:hAnsi="Arial"/>
                <w:b/>
                <w:bCs/>
                <w:color w:val="0F7B8C"/>
                <w:sz w:val="22"/>
                <w:szCs w:val="22"/>
              </w:rPr>
              <w:t xml:space="preserve">Reduce or Redesign 'Yellowarrow' Variants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Yellowarrow creatives (41% good lead rate) consistently underperformed. These variants should be redesigned, retargeted, or removed from the media mix to reduce waste.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Recommendation 4: </w:t>
            </w:r>
            <w:r>
              <w:rPr>
                <w:rFonts w:ascii="Arial" w:cs="Arial" w:eastAsia="Arial" w:hAnsi="Arial"/>
                <w:b/>
                <w:bCs/>
                <w:color w:val="0F7B8C"/>
                <w:sz w:val="22"/>
                <w:szCs w:val="22"/>
              </w:rPr>
              <w:t xml:space="preserve">Improve Operational Follow-Up for Unknown Leads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~71% of leads are unresolved. Resolving even a portion of these through improved follow-up workflows would significantly improve campaign visibility and optimisation accuracy.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0" w:sz="4"/>
              <w:left w:val="single" w:color="C5D8E0" w:sz="4"/>
              <w:bottom w:val="single" w:color="C5D8E0" w:sz="4"/>
              <w:right w:val="single" w:color="C5D8E0" w:sz="4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Recommendation 5: </w:t>
            </w:r>
            <w:r>
              <w:rPr>
                <w:rFonts w:ascii="Arial" w:cs="Arial" w:eastAsia="Arial" w:hAnsi="Arial"/>
                <w:b/>
                <w:bCs/>
                <w:color w:val="0F7B8C"/>
                <w:sz w:val="22"/>
                <w:szCs w:val="22"/>
              </w:rPr>
              <w:t xml:space="preserve">Optimise Traffic by Placement &amp; Geography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Publisher zone and state-level data reveal meaningful quality differences. Prioritising TopLeft placements and high-performing geographic segments can improve quality at equivalent CPL.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Conclusion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analysis identified meaningful differences in lead quality across creatives, acquisition sources, geographic segments, and validation-quality indicators.</w:t>
      </w:r>
    </w:p>
    <w:p>
      <w:pPr>
        <w:spacing w:after="8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While weekly lead quality fluctuations were not statistically significant, several high-confidence operational and creative optimisation opportunities exist. The strongest lever is pre-validation score filtering, which has the potential to dramatically improve downstream close rates.</w:t>
      </w:r>
    </w:p>
    <w:p>
      <w:pPr>
        <w:spacing w:after="8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Implementing the recommendations above — particularly validation filtering and widget reallocation — could materially improve lead quality, reduce waste, and provide a robust basis for justifying a 20% CPL increase with the advertiser.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8C" w:sz="24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These findings demonstrate that the path to a higher CPL is not through more leads, but through smarter qualification, better creatives, and data-driven traffic allocation.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F7B8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Appendix: Tools &amp;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Microsoft Excel – primary analysis environment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Pivot Tables – segmentation and KPI calculation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Chi-Square Testing – statistical significance validation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Segmentation &amp; KPI Analysis – trend and quality profiling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Visualisation – trend and distribution charting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Analytical Approach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quality was mapped from raw CallStatus fields into Good / Bad / Unknown categories.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Known leads (Good + Bad) were used as the denominator for quality rate calculations.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Statistical testing was applied to determine whether observed trends were meaningful.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score correlation was measured using actual close rates by segment, not averages.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8C" w:sz="4" w:space="4"/>
      </w:pBdr>
      <w:tabs>
        <w:tab w:val="center" w:pos="4680"/>
        <w:tab w:val="right" w:pos="9360"/>
      </w:tabs>
      <w:spacing w:after="60" w:before="0"/>
    </w:pPr>
    <w:r>
      <w:rPr>
        <w:rFonts w:ascii="Arial" w:cs="Arial" w:eastAsia="Arial" w:hAnsi="Arial"/>
        <w:color w:val="6B7280"/>
        <w:sz w:val="18"/>
        <w:szCs w:val="18"/>
      </w:rPr>
      <w:t xml:space="preserve">Aarki Analytics Challenge</w:t>
    </w:r>
    <w:r>
      <w:rPr>
        <w:rFonts w:ascii="Arial" w:cs="Arial" w:eastAsia="Arial" w:hAnsi="Arial"/>
        <w:color w:val="6B7280"/>
        <w:sz w:val="18"/>
        <w:szCs w:val="18"/>
      </w:rPr>
      <w:t xml:space="preserve">	Lead Quality Analysis &amp; Optimization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5a5e90b4bd950349a62db1a1c5535eff8d2d2c4e.png"/><Relationship Id="rId9" Type="http://schemas.openxmlformats.org/officeDocument/2006/relationships/image" Target="media/43289968fb5d8d3c89b821143541b8e60f5ccc55.png"/><Relationship Id="rId10" Type="http://schemas.openxmlformats.org/officeDocument/2006/relationships/image" Target="media/b88a1ab31d4405774da45dd1b666219d40f6d4e6.png"/><Relationship Id="rId11" Type="http://schemas.openxmlformats.org/officeDocument/2006/relationships/image" Target="media/685c1aae75c753cf8d6997e2e971e398b8748f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2026-05-11T05:35:36.525Z</dcterms:created>
  <dcterms:modified xsi:type="dcterms:W3CDTF">2026-05-11T05:35:36.525Z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