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385" w:rsidRDefault="00EF3E79">
      <w:pPr>
        <w:spacing w:before="240" w:after="40"/>
        <w:jc w:val="center"/>
      </w:pPr>
      <w:bookmarkStart w:id="0" w:name="_GoBack"/>
      <w:bookmarkEnd w:id="0"/>
      <w:r>
        <w:rPr>
          <w:rFonts w:ascii="Times New Roman" w:hAnsi="Times New Roman"/>
          <w:b/>
          <w:color w:val="154360"/>
          <w:sz w:val="30"/>
        </w:rPr>
        <w:t>INDIAN INSTITUTE OF INFORMATION TECHNOLOGY, PUNE</w:t>
      </w:r>
    </w:p>
    <w:p w:rsidR="000F1385" w:rsidRDefault="00EF3E79">
      <w:pPr>
        <w:spacing w:after="720"/>
        <w:jc w:val="center"/>
      </w:pPr>
      <w:r>
        <w:rPr>
          <w:rFonts w:ascii="Times New Roman" w:hAnsi="Times New Roman"/>
          <w:b/>
          <w:color w:val="1B4F72"/>
          <w:sz w:val="24"/>
        </w:rPr>
        <w:t>Department of Computer Science and Engineering</w:t>
      </w:r>
    </w:p>
    <w:p w:rsidR="000F1385" w:rsidRDefault="00EF3E79">
      <w:pPr>
        <w:spacing w:before="480" w:after="360" w:line="300" w:lineRule="auto"/>
        <w:jc w:val="center"/>
      </w:pPr>
      <w:r>
        <w:rPr>
          <w:rFonts w:ascii="Times New Roman" w:hAnsi="Times New Roman"/>
          <w:b/>
          <w:color w:val="154360"/>
          <w:sz w:val="36"/>
        </w:rPr>
        <w:t>ArogyaMitra: A Secure, Explainable, Fail-Closed AI-Assisted Primary-Healthcare Decision Support System</w:t>
      </w:r>
    </w:p>
    <w:p w:rsidR="000F1385" w:rsidRDefault="00EF3E79">
      <w:pPr>
        <w:spacing w:before="360" w:after="720"/>
        <w:jc w:val="center"/>
      </w:pPr>
      <w:r>
        <w:rPr>
          <w:rFonts w:ascii="Times New Roman" w:hAnsi="Times New Roman"/>
          <w:i/>
          <w:color w:val="546E7A"/>
          <w:sz w:val="23"/>
        </w:rPr>
        <w:t>A Project Report Submitted in Partial Fulfillment of the</w:t>
      </w:r>
      <w:r>
        <w:rPr>
          <w:rFonts w:ascii="Times New Roman" w:hAnsi="Times New Roman"/>
          <w:i/>
          <w:color w:val="546E7A"/>
          <w:sz w:val="23"/>
        </w:rPr>
        <w:t xml:space="preserve"> Requirements</w:t>
      </w:r>
      <w:r>
        <w:rPr>
          <w:rFonts w:ascii="Times New Roman" w:hAnsi="Times New Roman"/>
          <w:i/>
          <w:color w:val="546E7A"/>
          <w:sz w:val="23"/>
        </w:rPr>
        <w:br/>
        <w:t>for the Degree of Bachelor of Technology in Computer Science and Engineering</w:t>
      </w:r>
    </w:p>
    <w:tbl>
      <w:tblPr>
        <w:tblW w:w="0" w:type="auto"/>
        <w:jc w:val="center"/>
        <w:tblLayout w:type="fixed"/>
        <w:tblLook w:val="04A0" w:firstRow="1" w:lastRow="0" w:firstColumn="1" w:lastColumn="0" w:noHBand="0" w:noVBand="1"/>
      </w:tblPr>
      <w:tblGrid>
        <w:gridCol w:w="4500"/>
        <w:gridCol w:w="4500"/>
      </w:tblGrid>
      <w:tr w:rsidR="000F1385">
        <w:trPr>
          <w:jc w:val="center"/>
        </w:trPr>
        <w:tc>
          <w:tcPr>
            <w:tcW w:w="4500" w:type="dxa"/>
          </w:tcPr>
          <w:p w:rsidR="000F1385" w:rsidRDefault="00EF3E79">
            <w:r>
              <w:rPr>
                <w:rFonts w:ascii="Times New Roman" w:hAnsi="Times New Roman"/>
                <w:b/>
              </w:rPr>
              <w:t>Submitted By:</w:t>
            </w:r>
            <w:r>
              <w:rPr>
                <w:rFonts w:ascii="Times New Roman" w:hAnsi="Times New Roman"/>
                <w:b/>
              </w:rPr>
              <w:br/>
            </w:r>
            <w:r>
              <w:rPr>
                <w:rFonts w:ascii="Times New Roman" w:hAnsi="Times New Roman"/>
                <w:b/>
                <w:sz w:val="24"/>
              </w:rPr>
              <w:t>Satyam Keshari</w:t>
            </w:r>
            <w:r>
              <w:rPr>
                <w:rFonts w:ascii="Times New Roman" w:hAnsi="Times New Roman"/>
                <w:b/>
                <w:sz w:val="24"/>
              </w:rPr>
              <w:br/>
            </w:r>
            <w:r>
              <w:rPr>
                <w:rFonts w:ascii="Times New Roman" w:hAnsi="Times New Roman"/>
              </w:rPr>
              <w:t>MIS: 112315168</w:t>
            </w:r>
            <w:r>
              <w:rPr>
                <w:rFonts w:ascii="Times New Roman" w:hAnsi="Times New Roman"/>
              </w:rPr>
              <w:br/>
              <w:t>B.Tech CSE (Semester VII)</w:t>
            </w:r>
          </w:p>
        </w:tc>
        <w:tc>
          <w:tcPr>
            <w:tcW w:w="4500" w:type="dxa"/>
          </w:tcPr>
          <w:p w:rsidR="000F1385" w:rsidRDefault="00EF3E79">
            <w:pPr>
              <w:jc w:val="right"/>
            </w:pPr>
            <w:r>
              <w:rPr>
                <w:rFonts w:ascii="Times New Roman" w:hAnsi="Times New Roman"/>
                <w:b/>
              </w:rPr>
              <w:t>Under the Guidance of:</w:t>
            </w:r>
            <w:r>
              <w:rPr>
                <w:rFonts w:ascii="Times New Roman" w:hAnsi="Times New Roman"/>
                <w:b/>
              </w:rPr>
              <w:br/>
            </w:r>
            <w:r>
              <w:rPr>
                <w:rFonts w:ascii="Times New Roman" w:hAnsi="Times New Roman"/>
                <w:b/>
                <w:sz w:val="24"/>
              </w:rPr>
              <w:t>Dr. Ashish Singh</w:t>
            </w:r>
            <w:r>
              <w:rPr>
                <w:rFonts w:ascii="Times New Roman" w:hAnsi="Times New Roman"/>
                <w:b/>
                <w:sz w:val="24"/>
              </w:rPr>
              <w:br/>
            </w:r>
            <w:r>
              <w:rPr>
                <w:rFonts w:ascii="Times New Roman" w:hAnsi="Times New Roman"/>
              </w:rPr>
              <w:t>Assistant Professor</w:t>
            </w:r>
            <w:r>
              <w:rPr>
                <w:rFonts w:ascii="Times New Roman" w:hAnsi="Times New Roman"/>
              </w:rPr>
              <w:br/>
              <w:t>Dept. of Computer Science &amp; Enginee</w:t>
            </w:r>
            <w:r>
              <w:rPr>
                <w:rFonts w:ascii="Times New Roman" w:hAnsi="Times New Roman"/>
              </w:rPr>
              <w:t>ring</w:t>
            </w:r>
          </w:p>
        </w:tc>
      </w:tr>
      <w:tr w:rsidR="000F1385">
        <w:trPr>
          <w:jc w:val="center"/>
        </w:trPr>
        <w:tc>
          <w:tcPr>
            <w:tcW w:w="4500" w:type="dxa"/>
          </w:tcPr>
          <w:p w:rsidR="000F1385" w:rsidRDefault="000F1385"/>
        </w:tc>
        <w:tc>
          <w:tcPr>
            <w:tcW w:w="4500" w:type="dxa"/>
          </w:tcPr>
          <w:p w:rsidR="000F1385" w:rsidRDefault="000F1385"/>
        </w:tc>
      </w:tr>
    </w:tbl>
    <w:p w:rsidR="000F1385" w:rsidRDefault="00EF3E79">
      <w:pPr>
        <w:spacing w:before="1440" w:after="0"/>
        <w:jc w:val="center"/>
      </w:pPr>
      <w:r>
        <w:rPr>
          <w:rFonts w:ascii="Times New Roman" w:hAnsi="Times New Roman"/>
          <w:b/>
          <w:color w:val="212121"/>
        </w:rPr>
        <w:t>Department of Computer Science and Engineering</w:t>
      </w:r>
      <w:r>
        <w:rPr>
          <w:rFonts w:ascii="Times New Roman" w:hAnsi="Times New Roman"/>
          <w:b/>
          <w:color w:val="212121"/>
        </w:rPr>
        <w:br/>
        <w:t>Indian Institute of Information Technology, Pune</w:t>
      </w:r>
      <w:r>
        <w:rPr>
          <w:rFonts w:ascii="Times New Roman" w:hAnsi="Times New Roman"/>
          <w:b/>
          <w:color w:val="212121"/>
        </w:rPr>
        <w:br/>
        <w:t>November 2026 (Academic Year 2026–2027)</w:t>
      </w:r>
    </w:p>
    <w:p w:rsidR="000F1385" w:rsidRDefault="00EF3E79">
      <w:r>
        <w:br w:type="page"/>
      </w:r>
    </w:p>
    <w:p w:rsidR="000F1385" w:rsidRDefault="00EF3E79">
      <w:pPr>
        <w:spacing w:before="360" w:after="120"/>
        <w:jc w:val="center"/>
      </w:pPr>
      <w:r>
        <w:rPr>
          <w:rFonts w:ascii="Times New Roman" w:hAnsi="Times New Roman"/>
          <w:b/>
          <w:color w:val="154360"/>
          <w:sz w:val="28"/>
        </w:rPr>
        <w:lastRenderedPageBreak/>
        <w:t>INDIAN INSTITUTE OF INFORMATION TECHNOLOGY, PUNE</w:t>
      </w:r>
    </w:p>
    <w:p w:rsidR="000F1385" w:rsidRDefault="00EF3E79">
      <w:pPr>
        <w:spacing w:after="480"/>
        <w:jc w:val="center"/>
      </w:pPr>
      <w:r>
        <w:rPr>
          <w:rFonts w:ascii="Times New Roman" w:hAnsi="Times New Roman"/>
          <w:b/>
          <w:sz w:val="24"/>
        </w:rPr>
        <w:t>Department of Computer Science and Engineering</w:t>
      </w:r>
    </w:p>
    <w:p w:rsidR="000F1385" w:rsidRDefault="00EF3E79">
      <w:pPr>
        <w:spacing w:before="240" w:after="360"/>
        <w:jc w:val="center"/>
      </w:pPr>
      <w:r>
        <w:rPr>
          <w:rFonts w:ascii="Times New Roman" w:hAnsi="Times New Roman"/>
          <w:b/>
          <w:color w:val="154360"/>
          <w:sz w:val="30"/>
          <w:u w:val="single"/>
        </w:rPr>
        <w:t xml:space="preserve">BONAFIDE </w:t>
      </w:r>
      <w:r>
        <w:rPr>
          <w:rFonts w:ascii="Times New Roman" w:hAnsi="Times New Roman"/>
          <w:b/>
          <w:color w:val="154360"/>
          <w:sz w:val="30"/>
          <w:u w:val="single"/>
        </w:rPr>
        <w:t>CERTIFICATE</w:t>
      </w:r>
    </w:p>
    <w:p w:rsidR="000F1385" w:rsidRDefault="00EF3E79">
      <w:pPr>
        <w:spacing w:before="240" w:after="240" w:line="360" w:lineRule="auto"/>
        <w:jc w:val="both"/>
      </w:pPr>
      <w:r>
        <w:rPr>
          <w:rFonts w:ascii="Times New Roman" w:hAnsi="Times New Roman"/>
          <w:color w:val="212121"/>
          <w:sz w:val="24"/>
        </w:rPr>
        <w:t>This is to certify that the project report entitled "ArogyaMitra: A Secure, Explainable, Fail-Closed AI-Assisted Primary-Healthcare Decision Support System" submitted by Satyam Keshari (MIS: 112315168) in partial fulfillment of the requirements</w:t>
      </w:r>
      <w:r>
        <w:rPr>
          <w:rFonts w:ascii="Times New Roman" w:hAnsi="Times New Roman"/>
          <w:color w:val="212121"/>
          <w:sz w:val="24"/>
        </w:rPr>
        <w:t xml:space="preserve"> for the award of the degree of Bachelor of Technology in Computer Science and Engineering at the Indian Institute of Information Technology, Pune, is a bonafide record of the work carried out by him under my supervision and guidance during the academic ye</w:t>
      </w:r>
      <w:r>
        <w:rPr>
          <w:rFonts w:ascii="Times New Roman" w:hAnsi="Times New Roman"/>
          <w:color w:val="212121"/>
          <w:sz w:val="24"/>
        </w:rPr>
        <w:t>ar 2026–2027.</w:t>
      </w:r>
    </w:p>
    <w:p w:rsidR="000F1385" w:rsidRDefault="00EF3E79">
      <w:pPr>
        <w:spacing w:before="120" w:after="720" w:line="360" w:lineRule="auto"/>
        <w:jc w:val="both"/>
      </w:pPr>
      <w:r>
        <w:rPr>
          <w:rFonts w:ascii="Times New Roman" w:hAnsi="Times New Roman"/>
          <w:color w:val="212121"/>
          <w:sz w:val="24"/>
        </w:rPr>
        <w:t>The matter embodied in this report has not been submitted to any other University or Institute for the award of any degree or diploma. To the best of my knowledge and belief, the project adheres to all academic integrity, software safety, and</w:t>
      </w:r>
      <w:r>
        <w:rPr>
          <w:rFonts w:ascii="Times New Roman" w:hAnsi="Times New Roman"/>
          <w:color w:val="212121"/>
          <w:sz w:val="24"/>
        </w:rPr>
        <w:t xml:space="preserve"> institutional verification standards.</w:t>
      </w:r>
    </w:p>
    <w:tbl>
      <w:tblPr>
        <w:tblW w:w="0" w:type="auto"/>
        <w:jc w:val="center"/>
        <w:tblLayout w:type="fixed"/>
        <w:tblLook w:val="04A0" w:firstRow="1" w:lastRow="0" w:firstColumn="1" w:lastColumn="0" w:noHBand="0" w:noVBand="1"/>
      </w:tblPr>
      <w:tblGrid>
        <w:gridCol w:w="3000"/>
        <w:gridCol w:w="3000"/>
        <w:gridCol w:w="3000"/>
      </w:tblGrid>
      <w:tr w:rsidR="000F1385">
        <w:trPr>
          <w:jc w:val="center"/>
        </w:trPr>
        <w:tc>
          <w:tcPr>
            <w:tcW w:w="3000" w:type="dxa"/>
          </w:tcPr>
          <w:p w:rsidR="000F1385" w:rsidRDefault="00EF3E79">
            <w:pPr>
              <w:jc w:val="center"/>
            </w:pPr>
            <w:r>
              <w:t>_____________________</w:t>
            </w:r>
            <w:r>
              <w:br/>
            </w:r>
            <w:r>
              <w:rPr>
                <w:rFonts w:ascii="Times New Roman" w:hAnsi="Times New Roman"/>
                <w:sz w:val="20"/>
              </w:rPr>
              <w:t>Dr. Ashish Singh</w:t>
            </w:r>
            <w:r>
              <w:rPr>
                <w:rFonts w:ascii="Times New Roman" w:hAnsi="Times New Roman"/>
                <w:sz w:val="20"/>
              </w:rPr>
              <w:br/>
              <w:t>Project Supervisor</w:t>
            </w:r>
            <w:r>
              <w:rPr>
                <w:rFonts w:ascii="Times New Roman" w:hAnsi="Times New Roman"/>
                <w:sz w:val="20"/>
              </w:rPr>
              <w:br/>
              <w:t>Assistant Professor, CSE</w:t>
            </w:r>
            <w:r>
              <w:rPr>
                <w:rFonts w:ascii="Times New Roman" w:hAnsi="Times New Roman"/>
                <w:sz w:val="20"/>
              </w:rPr>
              <w:br/>
              <w:t>IIIT Pune</w:t>
            </w:r>
          </w:p>
        </w:tc>
        <w:tc>
          <w:tcPr>
            <w:tcW w:w="3000" w:type="dxa"/>
          </w:tcPr>
          <w:p w:rsidR="000F1385" w:rsidRDefault="00EF3E79">
            <w:pPr>
              <w:jc w:val="center"/>
            </w:pPr>
            <w:r>
              <w:t>_____________________</w:t>
            </w:r>
            <w:r>
              <w:br/>
            </w:r>
            <w:r>
              <w:rPr>
                <w:rFonts w:ascii="Times New Roman" w:hAnsi="Times New Roman"/>
                <w:sz w:val="20"/>
              </w:rPr>
              <w:t>[CONFIRM HOD NAME]</w:t>
            </w:r>
            <w:r>
              <w:rPr>
                <w:rFonts w:ascii="Times New Roman" w:hAnsi="Times New Roman"/>
                <w:sz w:val="20"/>
              </w:rPr>
              <w:br/>
              <w:t>Head of Department</w:t>
            </w:r>
            <w:r>
              <w:rPr>
                <w:rFonts w:ascii="Times New Roman" w:hAnsi="Times New Roman"/>
                <w:sz w:val="20"/>
              </w:rPr>
              <w:br/>
              <w:t>Dept. of CSE</w:t>
            </w:r>
            <w:r>
              <w:rPr>
                <w:rFonts w:ascii="Times New Roman" w:hAnsi="Times New Roman"/>
                <w:sz w:val="20"/>
              </w:rPr>
              <w:br/>
              <w:t>IIIT Pune</w:t>
            </w:r>
          </w:p>
        </w:tc>
        <w:tc>
          <w:tcPr>
            <w:tcW w:w="3000" w:type="dxa"/>
          </w:tcPr>
          <w:p w:rsidR="000F1385" w:rsidRDefault="00EF3E79">
            <w:pPr>
              <w:jc w:val="center"/>
            </w:pPr>
            <w:r>
              <w:t>_____________________</w:t>
            </w:r>
            <w:r>
              <w:br/>
            </w:r>
            <w:r>
              <w:rPr>
                <w:rFonts w:ascii="Times New Roman" w:hAnsi="Times New Roman"/>
                <w:sz w:val="20"/>
              </w:rPr>
              <w:t>External Examiner</w:t>
            </w:r>
            <w:r>
              <w:rPr>
                <w:rFonts w:ascii="Times New Roman" w:hAnsi="Times New Roman"/>
                <w:sz w:val="20"/>
              </w:rPr>
              <w:br/>
              <w:t>E</w:t>
            </w:r>
            <w:r>
              <w:rPr>
                <w:rFonts w:ascii="Times New Roman" w:hAnsi="Times New Roman"/>
                <w:sz w:val="20"/>
              </w:rPr>
              <w:t>valuation Committee</w:t>
            </w:r>
            <w:r>
              <w:rPr>
                <w:rFonts w:ascii="Times New Roman" w:hAnsi="Times New Roman"/>
                <w:sz w:val="20"/>
              </w:rPr>
              <w:br/>
              <w:t>IIIT Pune</w:t>
            </w:r>
          </w:p>
        </w:tc>
      </w:tr>
    </w:tbl>
    <w:p w:rsidR="000F1385" w:rsidRDefault="00EF3E79">
      <w:r>
        <w:br w:type="page"/>
      </w:r>
    </w:p>
    <w:p w:rsidR="000F1385" w:rsidRDefault="00EF3E79">
      <w:pPr>
        <w:spacing w:before="360" w:after="480"/>
        <w:jc w:val="center"/>
      </w:pPr>
      <w:r>
        <w:rPr>
          <w:rFonts w:ascii="Times New Roman" w:hAnsi="Times New Roman"/>
          <w:b/>
          <w:color w:val="154360"/>
          <w:sz w:val="28"/>
          <w:u w:val="single"/>
        </w:rPr>
        <w:lastRenderedPageBreak/>
        <w:t>DECLARATION &amp; PLAGIARISM UNDERTAKING</w:t>
      </w:r>
    </w:p>
    <w:p w:rsidR="000F1385" w:rsidRDefault="00EF3E79">
      <w:pPr>
        <w:spacing w:before="240" w:after="240" w:line="360" w:lineRule="auto"/>
        <w:jc w:val="both"/>
      </w:pPr>
      <w:r>
        <w:rPr>
          <w:rFonts w:ascii="Times New Roman" w:hAnsi="Times New Roman"/>
          <w:color w:val="212121"/>
          <w:sz w:val="24"/>
        </w:rPr>
        <w:t xml:space="preserve">I, Satyam Keshari (MIS: 112315168), student of Bachelor of Technology in Computer Science and Engineering, Semester VII, Indian Institute of Information Technology, Pune, hereby declare </w:t>
      </w:r>
      <w:r>
        <w:rPr>
          <w:rFonts w:ascii="Times New Roman" w:hAnsi="Times New Roman"/>
          <w:color w:val="212121"/>
          <w:sz w:val="24"/>
        </w:rPr>
        <w:t>that the work presented in this project report entitled "ArogyaMitra: A Secure, Explainable, Fail-Closed AI-Assisted Primary-Healthcare Decision Support System" is entirely my original research and engineering implementation carried out under the supervisi</w:t>
      </w:r>
      <w:r>
        <w:rPr>
          <w:rFonts w:ascii="Times New Roman" w:hAnsi="Times New Roman"/>
          <w:color w:val="212121"/>
          <w:sz w:val="24"/>
        </w:rPr>
        <w:t>on of Dr. Ashish Singh.</w:t>
      </w:r>
    </w:p>
    <w:p w:rsidR="000F1385" w:rsidRDefault="00EF3E79">
      <w:pPr>
        <w:spacing w:before="120" w:after="120" w:line="360" w:lineRule="auto"/>
        <w:jc w:val="both"/>
      </w:pPr>
      <w:r>
        <w:rPr>
          <w:rFonts w:ascii="Times New Roman" w:hAnsi="Times New Roman"/>
          <w:b/>
          <w:color w:val="212121"/>
          <w:sz w:val="24"/>
        </w:rPr>
        <w:t>I solemnly affirm that:</w:t>
      </w:r>
    </w:p>
    <w:p w:rsidR="000F1385" w:rsidRDefault="00EF3E79">
      <w:pPr>
        <w:spacing w:before="40" w:after="80" w:line="360" w:lineRule="auto"/>
        <w:jc w:val="both"/>
      </w:pPr>
      <w:r>
        <w:rPr>
          <w:rFonts w:ascii="Times New Roman" w:hAnsi="Times New Roman"/>
          <w:color w:val="212121"/>
          <w:sz w:val="24"/>
        </w:rPr>
        <w:t>1. This report does not contain any work or text copied from any other project, thesis, dissertation, journal article, or published material without formal citation and explicit attribution.</w:t>
      </w:r>
    </w:p>
    <w:p w:rsidR="000F1385" w:rsidRDefault="00EF3E79">
      <w:pPr>
        <w:spacing w:before="40" w:after="80" w:line="360" w:lineRule="auto"/>
        <w:jc w:val="both"/>
      </w:pPr>
      <w:r>
        <w:rPr>
          <w:rFonts w:ascii="Times New Roman" w:hAnsi="Times New Roman"/>
          <w:color w:val="212121"/>
          <w:sz w:val="24"/>
        </w:rPr>
        <w:t>2. All software c</w:t>
      </w:r>
      <w:r>
        <w:rPr>
          <w:rFonts w:ascii="Times New Roman" w:hAnsi="Times New Roman"/>
          <w:color w:val="212121"/>
          <w:sz w:val="24"/>
        </w:rPr>
        <w:t>omponents, algorithmic pipelines, mathematical derivations, container definitions, and empirical validation suites described herein were engineered directly within the repository codebase.</w:t>
      </w:r>
    </w:p>
    <w:p w:rsidR="000F1385" w:rsidRDefault="00EF3E79">
      <w:pPr>
        <w:spacing w:before="40" w:after="80" w:line="360" w:lineRule="auto"/>
        <w:jc w:val="both"/>
      </w:pPr>
      <w:r>
        <w:rPr>
          <w:rFonts w:ascii="Times New Roman" w:hAnsi="Times New Roman"/>
          <w:color w:val="212121"/>
          <w:sz w:val="24"/>
        </w:rPr>
        <w:t>3. All reported empirical metrics, including cross-validation accur</w:t>
      </w:r>
      <w:r>
        <w:rPr>
          <w:rFonts w:ascii="Times New Roman" w:hAnsi="Times New Roman"/>
          <w:color w:val="212121"/>
          <w:sz w:val="24"/>
        </w:rPr>
        <w:t>acies, log-likelihood ratios, calibration errors, throughput measurements, and security scan outputs, correspond directly to verifiable execution logs in the repository evidence ledger (docs/evidence/). No figures have been fabricated, smoothed, or extrapo</w:t>
      </w:r>
      <w:r>
        <w:rPr>
          <w:rFonts w:ascii="Times New Roman" w:hAnsi="Times New Roman"/>
          <w:color w:val="212121"/>
          <w:sz w:val="24"/>
        </w:rPr>
        <w:t>lated.</w:t>
      </w:r>
    </w:p>
    <w:p w:rsidR="000F1385" w:rsidRDefault="00EF3E79">
      <w:pPr>
        <w:spacing w:before="40" w:after="360" w:line="360" w:lineRule="auto"/>
        <w:jc w:val="both"/>
      </w:pPr>
      <w:r>
        <w:rPr>
          <w:rFonts w:ascii="Times New Roman" w:hAnsi="Times New Roman"/>
          <w:color w:val="212121"/>
          <w:sz w:val="24"/>
        </w:rPr>
        <w:t>4. Any generative AI tools utilized during system design or drafting were employed strictly in accordance with institutional guidelines for coding assistance and syntactic refactoring, with all intellectual architecture, analytical deductions, and s</w:t>
      </w:r>
      <w:r>
        <w:rPr>
          <w:rFonts w:ascii="Times New Roman" w:hAnsi="Times New Roman"/>
          <w:color w:val="212121"/>
          <w:sz w:val="24"/>
        </w:rPr>
        <w:t>ystem verification remaining my own.</w:t>
      </w:r>
    </w:p>
    <w:p w:rsidR="000F1385" w:rsidRDefault="00EF3E79">
      <w:pPr>
        <w:spacing w:before="720"/>
        <w:jc w:val="right"/>
      </w:pPr>
      <w:r>
        <w:t>______________________________</w:t>
      </w:r>
      <w:r>
        <w:br/>
      </w:r>
      <w:r>
        <w:rPr>
          <w:b/>
        </w:rPr>
        <w:t>Satyam Keshari</w:t>
      </w:r>
      <w:r>
        <w:rPr>
          <w:b/>
        </w:rPr>
        <w:br/>
      </w:r>
      <w:r>
        <w:rPr>
          <w:rFonts w:ascii="Times New Roman" w:hAnsi="Times New Roman"/>
        </w:rPr>
        <w:t>MIS: 112315168</w:t>
      </w:r>
      <w:r>
        <w:rPr>
          <w:rFonts w:ascii="Times New Roman" w:hAnsi="Times New Roman"/>
        </w:rPr>
        <w:br/>
        <w:t>Department of CSE, IIIT Pune</w:t>
      </w:r>
      <w:r>
        <w:rPr>
          <w:rFonts w:ascii="Times New Roman" w:hAnsi="Times New Roman"/>
        </w:rPr>
        <w:br/>
        <w:t>Date: November 01, 2026</w:t>
      </w:r>
    </w:p>
    <w:p w:rsidR="000F1385" w:rsidRDefault="00EF3E79">
      <w:r>
        <w:br w:type="page"/>
      </w:r>
    </w:p>
    <w:p w:rsidR="000F1385" w:rsidRDefault="00EF3E79">
      <w:pPr>
        <w:spacing w:before="360" w:after="480"/>
        <w:jc w:val="center"/>
      </w:pPr>
      <w:r>
        <w:rPr>
          <w:rFonts w:ascii="Times New Roman" w:hAnsi="Times New Roman"/>
          <w:b/>
          <w:color w:val="154360"/>
          <w:sz w:val="28"/>
          <w:u w:val="single"/>
        </w:rPr>
        <w:lastRenderedPageBreak/>
        <w:t>CONFLICT OF INTEREST STATEMENT</w:t>
      </w:r>
    </w:p>
    <w:p w:rsidR="000F1385" w:rsidRDefault="00EF3E79">
      <w:pPr>
        <w:spacing w:before="240" w:after="240" w:line="360" w:lineRule="auto"/>
        <w:jc w:val="both"/>
      </w:pPr>
      <w:r>
        <w:rPr>
          <w:rFonts w:ascii="Times New Roman" w:hAnsi="Times New Roman"/>
          <w:color w:val="212121"/>
          <w:sz w:val="24"/>
        </w:rPr>
        <w:t>The author declares that there are no financial, commercial, or personal</w:t>
      </w:r>
      <w:r>
        <w:rPr>
          <w:rFonts w:ascii="Times New Roman" w:hAnsi="Times New Roman"/>
          <w:color w:val="212121"/>
          <w:sz w:val="24"/>
        </w:rPr>
        <w:t xml:space="preserve"> conflicts of interest that could be perceived as improperly influencing or biasing the research, design, implementation, or empirical findings presented in this report.</w:t>
      </w:r>
    </w:p>
    <w:p w:rsidR="000F1385" w:rsidRDefault="00EF3E79">
      <w:pPr>
        <w:spacing w:before="120" w:after="240" w:line="360" w:lineRule="auto"/>
        <w:jc w:val="both"/>
      </w:pPr>
      <w:r>
        <w:rPr>
          <w:rFonts w:ascii="Times New Roman" w:hAnsi="Times New Roman"/>
          <w:color w:val="212121"/>
          <w:sz w:val="24"/>
        </w:rPr>
        <w:t>The ArogyaMitra system was engineered strictly as an academic research and engineering</w:t>
      </w:r>
      <w:r>
        <w:rPr>
          <w:rFonts w:ascii="Times New Roman" w:hAnsi="Times New Roman"/>
          <w:color w:val="212121"/>
          <w:sz w:val="24"/>
        </w:rPr>
        <w:t xml:space="preserve"> prototype in primary-healthcare clinical decision support. No commercial sponsorship, hardware subsidy, or proprietary corporate data was accepted during the development of this project.</w:t>
      </w:r>
    </w:p>
    <w:p w:rsidR="000F1385" w:rsidRDefault="00EF3E79">
      <w:pPr>
        <w:spacing w:before="120" w:after="480" w:line="360" w:lineRule="auto"/>
        <w:jc w:val="both"/>
      </w:pPr>
      <w:r>
        <w:rPr>
          <w:rFonts w:ascii="Times New Roman" w:hAnsi="Times New Roman"/>
          <w:color w:val="212121"/>
          <w:sz w:val="24"/>
        </w:rPr>
        <w:t>The machine learning models described herein were trained and benchm</w:t>
      </w:r>
      <w:r>
        <w:rPr>
          <w:rFonts w:ascii="Times New Roman" w:hAnsi="Times New Roman"/>
          <w:color w:val="212121"/>
          <w:sz w:val="24"/>
        </w:rPr>
        <w:t>arked exclusively on synthetic clinical symptom datasets. The system has not been deployed on live human patients, has not accessed identifiable protected health information (PHI) of any living individual, and is not certified as a medical device by the Ce</w:t>
      </w:r>
      <w:r>
        <w:rPr>
          <w:rFonts w:ascii="Times New Roman" w:hAnsi="Times New Roman"/>
          <w:color w:val="212121"/>
          <w:sz w:val="24"/>
        </w:rPr>
        <w:t>ntral Drugs Standard Control Organisation (CDSCO) or the United States Food and Drug Administration (FDA).</w:t>
      </w:r>
    </w:p>
    <w:p w:rsidR="000F1385" w:rsidRDefault="00EF3E79">
      <w:pPr>
        <w:spacing w:before="480"/>
        <w:jc w:val="right"/>
      </w:pPr>
      <w:r>
        <w:rPr>
          <w:rFonts w:ascii="Times New Roman" w:hAnsi="Times New Roman"/>
        </w:rPr>
        <w:t>Satyam Keshari</w:t>
      </w:r>
      <w:r>
        <w:rPr>
          <w:rFonts w:ascii="Times New Roman" w:hAnsi="Times New Roman"/>
        </w:rPr>
        <w:br/>
        <w:t>MIS: 112315168</w:t>
      </w:r>
    </w:p>
    <w:p w:rsidR="000F1385" w:rsidRDefault="00EF3E79">
      <w:r>
        <w:br w:type="page"/>
      </w:r>
    </w:p>
    <w:p w:rsidR="000F1385" w:rsidRDefault="00EF3E79">
      <w:pPr>
        <w:spacing w:before="360" w:after="480"/>
        <w:jc w:val="center"/>
      </w:pPr>
      <w:r>
        <w:rPr>
          <w:rFonts w:ascii="Times New Roman" w:hAnsi="Times New Roman"/>
          <w:b/>
          <w:color w:val="154360"/>
          <w:sz w:val="28"/>
          <w:u w:val="single"/>
        </w:rPr>
        <w:lastRenderedPageBreak/>
        <w:t>ACKNOWLEDGEMENTS</w:t>
      </w:r>
    </w:p>
    <w:p w:rsidR="000F1385" w:rsidRDefault="00EF3E79">
      <w:pPr>
        <w:spacing w:before="240" w:after="240" w:line="360" w:lineRule="auto"/>
        <w:jc w:val="both"/>
      </w:pPr>
      <w:r>
        <w:rPr>
          <w:rFonts w:ascii="Times New Roman" w:hAnsi="Times New Roman"/>
          <w:color w:val="212121"/>
          <w:sz w:val="24"/>
        </w:rPr>
        <w:t>I express my deepest gratitude to my project supervisor, Dr. Ashish Singh, Assistant Professor, Depa</w:t>
      </w:r>
      <w:r>
        <w:rPr>
          <w:rFonts w:ascii="Times New Roman" w:hAnsi="Times New Roman"/>
          <w:color w:val="212121"/>
          <w:sz w:val="24"/>
        </w:rPr>
        <w:t>rtment of Computer Science and Engineering, IIIT Pune, for his indispensable guidance, intellectual rigor, and constant encouragement throughout the design and realization of ArogyaMitra. His uncompromising insistence on empirical verification, probabilist</w:t>
      </w:r>
      <w:r>
        <w:rPr>
          <w:rFonts w:ascii="Times New Roman" w:hAnsi="Times New Roman"/>
          <w:color w:val="212121"/>
          <w:sz w:val="24"/>
        </w:rPr>
        <w:t>ic rigor, and fail-closed safety principles transformed this work from a conventional machine learning demonstration into an academically rigorous, multi-layered clinical decision support prototype.</w:t>
      </w:r>
    </w:p>
    <w:p w:rsidR="000F1385" w:rsidRDefault="00EF3E79">
      <w:pPr>
        <w:spacing w:before="120" w:after="240" w:line="360" w:lineRule="auto"/>
        <w:jc w:val="both"/>
      </w:pPr>
      <w:r>
        <w:rPr>
          <w:rFonts w:ascii="Times New Roman" w:hAnsi="Times New Roman"/>
          <w:color w:val="212121"/>
          <w:sz w:val="24"/>
        </w:rPr>
        <w:t>I extend my sincere appreciation to the Head of Departmen</w:t>
      </w:r>
      <w:r>
        <w:rPr>
          <w:rFonts w:ascii="Times New Roman" w:hAnsi="Times New Roman"/>
          <w:color w:val="212121"/>
          <w:sz w:val="24"/>
        </w:rPr>
        <w:t>t, [CONFIRM HOD NAME], Department of Computer Science and Engineering, and Dr. [CONFIRM DIRECTOR NAME], Director, IIIT Pune, for providing the institutional infrastructure, computing facilities, and scholarly environment essential for completing this B.Tec</w:t>
      </w:r>
      <w:r>
        <w:rPr>
          <w:rFonts w:ascii="Times New Roman" w:hAnsi="Times New Roman"/>
          <w:color w:val="212121"/>
          <w:sz w:val="24"/>
        </w:rPr>
        <w:t>h capstone project.</w:t>
      </w:r>
    </w:p>
    <w:p w:rsidR="000F1385" w:rsidRDefault="00EF3E79">
      <w:pPr>
        <w:spacing w:before="120" w:after="240" w:line="360" w:lineRule="auto"/>
        <w:jc w:val="both"/>
      </w:pPr>
      <w:r>
        <w:rPr>
          <w:rFonts w:ascii="Times New Roman" w:hAnsi="Times New Roman"/>
          <w:color w:val="212121"/>
          <w:sz w:val="24"/>
        </w:rPr>
        <w:t>I also thank the faculty members of the Department of Computer Science and Engineering for their insightful feedback during intermediate project reviews, which directly shaped our multi-tier microservice architecture, cryptographic isol</w:t>
      </w:r>
      <w:r>
        <w:rPr>
          <w:rFonts w:ascii="Times New Roman" w:hAnsi="Times New Roman"/>
          <w:color w:val="212121"/>
          <w:sz w:val="24"/>
        </w:rPr>
        <w:t>ation boundaries, and rigorous threat modeling methodology.</w:t>
      </w:r>
    </w:p>
    <w:p w:rsidR="000F1385" w:rsidRDefault="00EF3E79">
      <w:pPr>
        <w:spacing w:before="120" w:after="480" w:line="360" w:lineRule="auto"/>
        <w:jc w:val="both"/>
      </w:pPr>
      <w:r>
        <w:rPr>
          <w:rFonts w:ascii="Times New Roman" w:hAnsi="Times New Roman"/>
          <w:color w:val="212121"/>
          <w:sz w:val="24"/>
        </w:rPr>
        <w:t>Finally, I owe an immeasurable debt of gratitude to my family and peers for their unwavering patience, support, and sacrifices during numerous late-night debugging and benchmarking sessions.</w:t>
      </w:r>
    </w:p>
    <w:p w:rsidR="000F1385" w:rsidRDefault="00EF3E79">
      <w:pPr>
        <w:jc w:val="right"/>
      </w:pPr>
      <w:r>
        <w:rPr>
          <w:rFonts w:ascii="Times New Roman" w:hAnsi="Times New Roman"/>
        </w:rPr>
        <w:t>Satya</w:t>
      </w:r>
      <w:r>
        <w:rPr>
          <w:rFonts w:ascii="Times New Roman" w:hAnsi="Times New Roman"/>
        </w:rPr>
        <w:t>m Keshari</w:t>
      </w:r>
      <w:r>
        <w:rPr>
          <w:rFonts w:ascii="Times New Roman" w:hAnsi="Times New Roman"/>
        </w:rPr>
        <w:br/>
        <w:t>MIS: 112315168</w:t>
      </w:r>
    </w:p>
    <w:p w:rsidR="000F1385" w:rsidRDefault="00EF3E79">
      <w:r>
        <w:br w:type="page"/>
      </w:r>
    </w:p>
    <w:p w:rsidR="000F1385" w:rsidRDefault="00EF3E79">
      <w:pPr>
        <w:spacing w:before="360" w:after="480"/>
        <w:jc w:val="center"/>
      </w:pPr>
      <w:r>
        <w:rPr>
          <w:rFonts w:ascii="Times New Roman" w:hAnsi="Times New Roman"/>
          <w:b/>
          <w:color w:val="154360"/>
          <w:sz w:val="28"/>
          <w:u w:val="single"/>
        </w:rPr>
        <w:lastRenderedPageBreak/>
        <w:t>ABSTRACT</w:t>
      </w:r>
    </w:p>
    <w:p w:rsidR="000F1385" w:rsidRDefault="00EF3E79">
      <w:pPr>
        <w:spacing w:before="240" w:line="360" w:lineRule="auto"/>
        <w:jc w:val="both"/>
      </w:pPr>
      <w:r>
        <w:rPr>
          <w:rFonts w:ascii="Times New Roman" w:hAnsi="Times New Roman"/>
          <w:color w:val="212121"/>
          <w:sz w:val="24"/>
        </w:rPr>
        <w:t>In primary healthcare settings across rural and semi-urban India, Accredited Social Health Activists (ASHAs) and community health workers operate at the frontlines of patient intake under severe resource constraints, hig</w:t>
      </w:r>
      <w:r>
        <w:rPr>
          <w:rFonts w:ascii="Times New Roman" w:hAnsi="Times New Roman"/>
          <w:color w:val="212121"/>
          <w:sz w:val="24"/>
        </w:rPr>
        <w:t xml:space="preserve">h patient-to-physician ratios, and geographic isolation. While digital symptom checkers have emerged to assist frontline triage, recent clinical meta-analyses (notably Wallace et al., npj Digital Medicine 2022) demonstrate that commercial symptom checkers </w:t>
      </w:r>
      <w:r>
        <w:rPr>
          <w:rFonts w:ascii="Times New Roman" w:hAnsi="Times New Roman"/>
          <w:color w:val="212121"/>
          <w:sz w:val="24"/>
        </w:rPr>
        <w:t>suffer from low diagnostic accuracy (19–37.9%) and align failure modes in a 'Swiss-cheese' configuration that poses catastrophic patient safety hazards. Furthermore, theoretical machine learning literature (Niculescu-Mizil &amp; Caruana, ICML 2005) proves that</w:t>
      </w:r>
      <w:r>
        <w:rPr>
          <w:rFonts w:ascii="Times New Roman" w:hAnsi="Times New Roman"/>
          <w:color w:val="212121"/>
          <w:sz w:val="24"/>
        </w:rPr>
        <w:t xml:space="preserve"> common classifiers, particularly Naive Bayes, produce severely distorted, overconfident posterior estimates due to feature independence assumptions, while post-hoc calibration methods like Platt scaling overfit and degrade on scarce clinical data.</w:t>
      </w:r>
    </w:p>
    <w:p w:rsidR="000F1385" w:rsidRDefault="00EF3E79">
      <w:pPr>
        <w:spacing w:before="120" w:line="360" w:lineRule="auto"/>
        <w:jc w:val="both"/>
      </w:pPr>
      <w:r>
        <w:rPr>
          <w:rFonts w:ascii="Times New Roman" w:hAnsi="Times New Roman"/>
          <w:color w:val="212121"/>
          <w:sz w:val="24"/>
        </w:rPr>
        <w:t>To addr</w:t>
      </w:r>
      <w:r>
        <w:rPr>
          <w:rFonts w:ascii="Times New Roman" w:hAnsi="Times New Roman"/>
          <w:color w:val="212121"/>
          <w:sz w:val="24"/>
        </w:rPr>
        <w:t>ess these systemic vulnerabilities, this project presents ArogyaMitra, a secure, explainable, fail-closed AI-assisted primary-healthcare decision support system prototype. ArogyaMitra is architected around four core engineering pillars: (1) an explainable,</w:t>
      </w:r>
      <w:r>
        <w:rPr>
          <w:rFonts w:ascii="Times New Roman" w:hAnsi="Times New Roman"/>
          <w:color w:val="212121"/>
          <w:sz w:val="24"/>
        </w:rPr>
        <w:t xml:space="preserve"> stateless Bernoulli Naive Bayes classification engine operating across 41 disease classes and 131 symptoms, accompanied by machine-precision additive log-odds feature attributions; (2) a deterministic, rule-based clinical red-flag screening layer that irr</w:t>
      </w:r>
      <w:r>
        <w:rPr>
          <w:rFonts w:ascii="Times New Roman" w:hAnsi="Times New Roman"/>
          <w:color w:val="212121"/>
          <w:sz w:val="24"/>
        </w:rPr>
        <w:t>evocably overrides machine learning predictions whenever life-threatening symptoms are detected; (3) a multi-tier Large Language Model (LLM) narrative layer utilizing Google Gemini with ordered model fallbacks, hard time caps (10s per-attempt, 20s total ca</w:t>
      </w:r>
      <w:r>
        <w:rPr>
          <w:rFonts w:ascii="Times New Roman" w:hAnsi="Times New Roman"/>
          <w:color w:val="212121"/>
          <w:sz w:val="24"/>
        </w:rPr>
        <w:t>p), and whole-phrase confidence filtering backed by pre-compiled clinical templates; and (4) an audited, defense-in-depth security infrastructure enforcing mutual container isolation, TLS 1.3 encryption, Argon2id credential hashing, field-level AES-256-GCM</w:t>
      </w:r>
      <w:r>
        <w:rPr>
          <w:rFonts w:ascii="Times New Roman" w:hAnsi="Times New Roman"/>
          <w:color w:val="212121"/>
          <w:sz w:val="24"/>
        </w:rPr>
        <w:t xml:space="preserve"> data encryption, and optimistic concurrency controls.</w:t>
      </w:r>
    </w:p>
    <w:p w:rsidR="000F1385" w:rsidRDefault="00EF3E79">
      <w:pPr>
        <w:spacing w:before="120" w:after="320" w:line="360" w:lineRule="auto"/>
        <w:jc w:val="both"/>
      </w:pPr>
      <w:r>
        <w:rPr>
          <w:rFonts w:ascii="Times New Roman" w:hAnsi="Times New Roman"/>
          <w:color w:val="212121"/>
          <w:sz w:val="24"/>
        </w:rPr>
        <w:t xml:space="preserve">Empirical evaluation on a rigorously deduplicated benchmark (304 unique rows from 4,920 raw records, eliminating a 93.8% synthetic duplication artifact) via 5x3 repeated stratified k-fold </w:t>
      </w:r>
      <w:r>
        <w:rPr>
          <w:rFonts w:ascii="Times New Roman" w:hAnsi="Times New Roman"/>
          <w:color w:val="212121"/>
          <w:sz w:val="24"/>
        </w:rPr>
        <w:t xml:space="preserve">cross-validation demonstrates BernoulliNB outperforming tuned tree ensembles under symptom dropout: achieving 1.000 ± 0.000 at 0% dropout, 0.989 ± 0.014 at 30% dropout, </w:t>
      </w:r>
      <w:r>
        <w:rPr>
          <w:rFonts w:ascii="Times New Roman" w:hAnsi="Times New Roman"/>
          <w:color w:val="212121"/>
          <w:sz w:val="24"/>
        </w:rPr>
        <w:lastRenderedPageBreak/>
        <w:t xml:space="preserve">and 0.919 ± 0.023 at 50% dropout, compared to Tuned LightGBM (0.989, 0.864, 0.683) and </w:t>
      </w:r>
      <w:r>
        <w:rPr>
          <w:rFonts w:ascii="Times New Roman" w:hAnsi="Times New Roman"/>
          <w:color w:val="212121"/>
          <w:sz w:val="24"/>
        </w:rPr>
        <w:t>Tuned XGBoost (0.984, 0.868, 0.720). Load testing across 2,400 standardized requests established system throughput reaching 14.7 req/s under 50 concurrent users with zero unhandled exceptions, while database index projection reduced worker consultation lis</w:t>
      </w:r>
      <w:r>
        <w:rPr>
          <w:rFonts w:ascii="Times New Roman" w:hAnsi="Times New Roman"/>
          <w:color w:val="212121"/>
          <w:sz w:val="24"/>
        </w:rPr>
        <w:t>t latency by 60.5% (p50: 193.0 ms to 76.2 ms). The entire prototype is validated across 321 automated tests, 20 golden clinical cases, 11 end-to-end Playwright journeys, and zero unfixed High-severity container vulnerabilities, providing a transparent, ver</w:t>
      </w:r>
      <w:r>
        <w:rPr>
          <w:rFonts w:ascii="Times New Roman" w:hAnsi="Times New Roman"/>
          <w:color w:val="212121"/>
          <w:sz w:val="24"/>
        </w:rPr>
        <w:t>ifiable architectural blueprint for safe, AI-assisted primary healthcare triage.</w:t>
      </w:r>
    </w:p>
    <w:p w:rsidR="000F1385" w:rsidRDefault="00EF3E79">
      <w:pPr>
        <w:jc w:val="both"/>
      </w:pPr>
      <w:r>
        <w:rPr>
          <w:rFonts w:ascii="Times New Roman" w:hAnsi="Times New Roman"/>
          <w:b/>
        </w:rPr>
        <w:t xml:space="preserve">Keywords: </w:t>
      </w:r>
      <w:r>
        <w:rPr>
          <w:rFonts w:ascii="Times New Roman" w:hAnsi="Times New Roman"/>
          <w:i/>
        </w:rPr>
        <w:t>Clinical Decision Support Systems, Primary Healthcare Triage, Bernoulli Naive Bayes, Probabilistic Calibration, Fail-Closed Architecture, Large Language Models, Defe</w:t>
      </w:r>
      <w:r>
        <w:rPr>
          <w:rFonts w:ascii="Times New Roman" w:hAnsi="Times New Roman"/>
          <w:i/>
        </w:rPr>
        <w:t>nse-in-Depth Security, Rural Telemedicine.</w:t>
      </w:r>
    </w:p>
    <w:p w:rsidR="000F1385" w:rsidRDefault="00EF3E79">
      <w:r>
        <w:br w:type="page"/>
      </w:r>
    </w:p>
    <w:p w:rsidR="000F1385" w:rsidRDefault="00EF3E79">
      <w:pPr>
        <w:spacing w:before="360" w:after="400"/>
        <w:jc w:val="center"/>
      </w:pPr>
      <w:r>
        <w:rPr>
          <w:rFonts w:ascii="Times New Roman" w:hAnsi="Times New Roman"/>
          <w:b/>
          <w:color w:val="154360"/>
          <w:sz w:val="30"/>
          <w:u w:val="single"/>
        </w:rPr>
        <w:lastRenderedPageBreak/>
        <w:t>TABLE OF CONTENTS</w:t>
      </w:r>
    </w:p>
    <w:p w:rsidR="000F1385" w:rsidRDefault="00EF3E79">
      <w:pPr>
        <w:spacing w:before="40" w:after="40"/>
      </w:pPr>
      <w:r>
        <w:rPr>
          <w:rFonts w:ascii="Times New Roman" w:hAnsi="Times New Roman"/>
          <w:b/>
        </w:rPr>
        <w:t>Bonafide Certificate</w:t>
      </w:r>
      <w:r>
        <w:rPr>
          <w:rFonts w:ascii="Times New Roman" w:hAnsi="Times New Roman"/>
          <w:color w:val="546E7A"/>
          <w:sz w:val="19"/>
        </w:rPr>
        <w:t xml:space="preserve"> . . . . . . . . . . . . . . . . . . . . . . . . . . .  </w:t>
      </w:r>
      <w:r>
        <w:rPr>
          <w:rFonts w:ascii="Times New Roman" w:hAnsi="Times New Roman"/>
          <w:b/>
        </w:rPr>
        <w:t>ii</w:t>
      </w:r>
    </w:p>
    <w:p w:rsidR="000F1385" w:rsidRDefault="00EF3E79">
      <w:pPr>
        <w:spacing w:before="40" w:after="40"/>
      </w:pPr>
      <w:r>
        <w:rPr>
          <w:rFonts w:ascii="Times New Roman" w:hAnsi="Times New Roman"/>
          <w:b/>
        </w:rPr>
        <w:t>Declaration &amp; Plagiarism Undertaking</w:t>
      </w:r>
      <w:r>
        <w:rPr>
          <w:rFonts w:ascii="Times New Roman" w:hAnsi="Times New Roman"/>
          <w:color w:val="546E7A"/>
          <w:sz w:val="19"/>
        </w:rPr>
        <w:t xml:space="preserve"> . . . . . . . . . . . . . . . . . . .  </w:t>
      </w:r>
      <w:r>
        <w:rPr>
          <w:rFonts w:ascii="Times New Roman" w:hAnsi="Times New Roman"/>
          <w:b/>
        </w:rPr>
        <w:t>iii</w:t>
      </w:r>
    </w:p>
    <w:p w:rsidR="000F1385" w:rsidRDefault="00EF3E79">
      <w:pPr>
        <w:spacing w:before="40" w:after="40"/>
      </w:pPr>
      <w:r>
        <w:rPr>
          <w:rFonts w:ascii="Times New Roman" w:hAnsi="Times New Roman"/>
          <w:b/>
        </w:rPr>
        <w:t>Conflict of Interest Statement</w:t>
      </w:r>
      <w:r>
        <w:rPr>
          <w:rFonts w:ascii="Times New Roman" w:hAnsi="Times New Roman"/>
          <w:color w:val="546E7A"/>
          <w:sz w:val="19"/>
        </w:rPr>
        <w:t xml:space="preserve"> . . . . . . . . . . . . . . . . . . . . . .  </w:t>
      </w:r>
      <w:r>
        <w:rPr>
          <w:rFonts w:ascii="Times New Roman" w:hAnsi="Times New Roman"/>
          <w:b/>
        </w:rPr>
        <w:t>iv</w:t>
      </w:r>
    </w:p>
    <w:p w:rsidR="000F1385" w:rsidRDefault="00EF3E79">
      <w:pPr>
        <w:spacing w:before="40" w:after="40"/>
      </w:pPr>
      <w:r>
        <w:rPr>
          <w:rFonts w:ascii="Times New Roman" w:hAnsi="Times New Roman"/>
          <w:b/>
        </w:rPr>
        <w:t>Acknowledgements</w:t>
      </w:r>
      <w:r>
        <w:rPr>
          <w:rFonts w:ascii="Times New Roman" w:hAnsi="Times New Roman"/>
          <w:color w:val="546E7A"/>
          <w:sz w:val="19"/>
        </w:rPr>
        <w:t xml:space="preserve"> . . . . . . . . . . . . . . . . . . . . . . . . . . . . .  </w:t>
      </w:r>
      <w:r>
        <w:rPr>
          <w:rFonts w:ascii="Times New Roman" w:hAnsi="Times New Roman"/>
          <w:b/>
        </w:rPr>
        <w:t>v</w:t>
      </w:r>
    </w:p>
    <w:p w:rsidR="000F1385" w:rsidRDefault="00EF3E79">
      <w:pPr>
        <w:spacing w:before="40" w:after="40"/>
      </w:pPr>
      <w:r>
        <w:rPr>
          <w:rFonts w:ascii="Times New Roman" w:hAnsi="Times New Roman"/>
          <w:b/>
        </w:rPr>
        <w:t>Abstract</w:t>
      </w:r>
      <w:r>
        <w:rPr>
          <w:rFonts w:ascii="Times New Roman" w:hAnsi="Times New Roman"/>
          <w:color w:val="546E7A"/>
          <w:sz w:val="19"/>
        </w:rPr>
        <w:t xml:space="preserve"> . . . . . . . . . . . . . . . . . . . . . . . . . . . . . . . . .  </w:t>
      </w:r>
      <w:r>
        <w:rPr>
          <w:rFonts w:ascii="Times New Roman" w:hAnsi="Times New Roman"/>
          <w:b/>
        </w:rPr>
        <w:t>vi</w:t>
      </w:r>
    </w:p>
    <w:p w:rsidR="000F1385" w:rsidRDefault="00EF3E79">
      <w:pPr>
        <w:spacing w:before="40" w:after="40"/>
      </w:pPr>
      <w:r>
        <w:rPr>
          <w:rFonts w:ascii="Times New Roman" w:hAnsi="Times New Roman"/>
          <w:b/>
        </w:rPr>
        <w:t>List of Figures</w:t>
      </w:r>
      <w:r>
        <w:rPr>
          <w:rFonts w:ascii="Times New Roman" w:hAnsi="Times New Roman"/>
          <w:color w:val="546E7A"/>
          <w:sz w:val="19"/>
        </w:rPr>
        <w:t xml:space="preserve"> . . . . . . . . . . . . . . . . . </w:t>
      </w:r>
      <w:r>
        <w:rPr>
          <w:rFonts w:ascii="Times New Roman" w:hAnsi="Times New Roman"/>
          <w:color w:val="546E7A"/>
          <w:sz w:val="19"/>
        </w:rPr>
        <w:t xml:space="preserve">. . . . . . . . . . . . .  </w:t>
      </w:r>
      <w:r>
        <w:rPr>
          <w:rFonts w:ascii="Times New Roman" w:hAnsi="Times New Roman"/>
          <w:b/>
        </w:rPr>
        <w:t>ix</w:t>
      </w:r>
    </w:p>
    <w:p w:rsidR="000F1385" w:rsidRDefault="00EF3E79">
      <w:pPr>
        <w:spacing w:before="40" w:after="40"/>
      </w:pPr>
      <w:r>
        <w:rPr>
          <w:rFonts w:ascii="Times New Roman" w:hAnsi="Times New Roman"/>
          <w:b/>
        </w:rPr>
        <w:t>List of Tables</w:t>
      </w:r>
      <w:r>
        <w:rPr>
          <w:rFonts w:ascii="Times New Roman" w:hAnsi="Times New Roman"/>
          <w:color w:val="546E7A"/>
          <w:sz w:val="19"/>
        </w:rPr>
        <w:t xml:space="preserve"> . . . . . . . . . . . . . . . . . . . . . . . . . . . . . .  </w:t>
      </w:r>
      <w:r>
        <w:rPr>
          <w:rFonts w:ascii="Times New Roman" w:hAnsi="Times New Roman"/>
          <w:b/>
        </w:rPr>
        <w:t>xi</w:t>
      </w:r>
    </w:p>
    <w:p w:rsidR="000F1385" w:rsidRDefault="00EF3E79">
      <w:pPr>
        <w:spacing w:before="40" w:after="40"/>
      </w:pPr>
      <w:r>
        <w:rPr>
          <w:rFonts w:ascii="Times New Roman" w:hAnsi="Times New Roman"/>
          <w:b/>
        </w:rPr>
        <w:t>List of Abbreviations</w:t>
      </w:r>
      <w:r>
        <w:rPr>
          <w:rFonts w:ascii="Times New Roman" w:hAnsi="Times New Roman"/>
          <w:color w:val="546E7A"/>
          <w:sz w:val="19"/>
        </w:rPr>
        <w:t xml:space="preserve"> . . . . . . . . . . . . . . . . . . . . . . . . . . .  </w:t>
      </w:r>
      <w:r>
        <w:rPr>
          <w:rFonts w:ascii="Times New Roman" w:hAnsi="Times New Roman"/>
          <w:b/>
        </w:rPr>
        <w:t>xii</w:t>
      </w:r>
    </w:p>
    <w:p w:rsidR="000F1385" w:rsidRDefault="00EF3E79">
      <w:pPr>
        <w:spacing w:before="40" w:after="40"/>
      </w:pPr>
      <w:r>
        <w:rPr>
          <w:rFonts w:ascii="Times New Roman" w:hAnsi="Times New Roman"/>
          <w:b/>
          <w:color w:val="154360"/>
        </w:rPr>
        <w:t>Chapter 1: Introduction &amp; Literature Review</w:t>
      </w:r>
      <w:r>
        <w:rPr>
          <w:rFonts w:ascii="Times New Roman" w:hAnsi="Times New Roman"/>
          <w:color w:val="546E7A"/>
          <w:sz w:val="19"/>
        </w:rPr>
        <w:t xml:space="preserve"> . . . . . . . . . . . </w:t>
      </w:r>
      <w:r>
        <w:rPr>
          <w:rFonts w:ascii="Times New Roman" w:hAnsi="Times New Roman"/>
          <w:color w:val="546E7A"/>
          <w:sz w:val="19"/>
        </w:rPr>
        <w:t xml:space="preserve">. . . . .  </w:t>
      </w:r>
      <w:r>
        <w:rPr>
          <w:rFonts w:ascii="Times New Roman" w:hAnsi="Times New Roman"/>
          <w:b/>
        </w:rPr>
        <w:t>1</w:t>
      </w:r>
    </w:p>
    <w:p w:rsidR="000F1385" w:rsidRDefault="00EF3E79">
      <w:pPr>
        <w:spacing w:before="40" w:after="40"/>
      </w:pPr>
      <w:r>
        <w:rPr>
          <w:rFonts w:ascii="Times New Roman" w:hAnsi="Times New Roman"/>
          <w:sz w:val="21"/>
        </w:rPr>
        <w:t xml:space="preserve">    1.1 Motivation &amp; Primary Healthcare Challenges in Rural India</w:t>
      </w:r>
      <w:r>
        <w:rPr>
          <w:rFonts w:ascii="Times New Roman" w:hAnsi="Times New Roman"/>
          <w:color w:val="546E7A"/>
          <w:sz w:val="19"/>
        </w:rPr>
        <w:t xml:space="preserve"> . . . . .  </w:t>
      </w:r>
      <w:r>
        <w:rPr>
          <w:rFonts w:ascii="Times New Roman" w:hAnsi="Times New Roman"/>
          <w:sz w:val="21"/>
        </w:rPr>
        <w:t>1</w:t>
      </w:r>
    </w:p>
    <w:p w:rsidR="000F1385" w:rsidRDefault="00EF3E79">
      <w:pPr>
        <w:spacing w:before="40" w:after="40"/>
      </w:pPr>
      <w:r>
        <w:rPr>
          <w:rFonts w:ascii="Times New Roman" w:hAnsi="Times New Roman"/>
          <w:sz w:val="21"/>
        </w:rPr>
        <w:t xml:space="preserve">    1.2 Comprehensive Literature Review</w:t>
      </w:r>
      <w:r>
        <w:rPr>
          <w:rFonts w:ascii="Times New Roman" w:hAnsi="Times New Roman"/>
          <w:color w:val="546E7A"/>
          <w:sz w:val="19"/>
        </w:rPr>
        <w:t xml:space="preserve"> . . . . . . . . . . . . . . . . . .  </w:t>
      </w:r>
      <w:r>
        <w:rPr>
          <w:rFonts w:ascii="Times New Roman" w:hAnsi="Times New Roman"/>
          <w:sz w:val="21"/>
        </w:rPr>
        <w:t>3</w:t>
      </w:r>
    </w:p>
    <w:p w:rsidR="000F1385" w:rsidRDefault="00EF3E79">
      <w:pPr>
        <w:spacing w:before="40" w:after="40"/>
      </w:pPr>
      <w:r>
        <w:rPr>
          <w:rFonts w:ascii="Times New Roman" w:hAnsi="Times New Roman"/>
          <w:sz w:val="21"/>
        </w:rPr>
        <w:t xml:space="preserve">        1.2.1 Review of Symptom Checkers, Clinical Decision Support Systems, and Cali</w:t>
      </w:r>
      <w:r>
        <w:rPr>
          <w:rFonts w:ascii="Times New Roman" w:hAnsi="Times New Roman"/>
          <w:sz w:val="21"/>
        </w:rPr>
        <w:t>bration in Medicine</w:t>
      </w:r>
      <w:r>
        <w:rPr>
          <w:rFonts w:ascii="Times New Roman" w:hAnsi="Times New Roman"/>
          <w:color w:val="546E7A"/>
          <w:sz w:val="19"/>
        </w:rPr>
        <w:t xml:space="preserve"> . .  </w:t>
      </w:r>
      <w:r>
        <w:rPr>
          <w:rFonts w:ascii="Times New Roman" w:hAnsi="Times New Roman"/>
          <w:sz w:val="21"/>
        </w:rPr>
        <w:t>3</w:t>
      </w:r>
    </w:p>
    <w:p w:rsidR="000F1385" w:rsidRDefault="00EF3E79">
      <w:pPr>
        <w:spacing w:before="40" w:after="40"/>
      </w:pPr>
      <w:r>
        <w:rPr>
          <w:rFonts w:ascii="Times New Roman" w:hAnsi="Times New Roman"/>
          <w:sz w:val="21"/>
        </w:rPr>
        <w:t xml:space="preserve">        1.2.2 Comparison with Existing Work</w:t>
      </w:r>
      <w:r>
        <w:rPr>
          <w:rFonts w:ascii="Times New Roman" w:hAnsi="Times New Roman"/>
          <w:color w:val="546E7A"/>
          <w:sz w:val="19"/>
        </w:rPr>
        <w:t xml:space="preserve"> . . . . . . . . . . . . . . . .  </w:t>
      </w:r>
      <w:r>
        <w:rPr>
          <w:rFonts w:ascii="Times New Roman" w:hAnsi="Times New Roman"/>
          <w:sz w:val="21"/>
        </w:rPr>
        <w:t>8</w:t>
      </w:r>
    </w:p>
    <w:p w:rsidR="000F1385" w:rsidRDefault="00EF3E79">
      <w:pPr>
        <w:spacing w:before="40" w:after="40"/>
      </w:pPr>
      <w:r>
        <w:rPr>
          <w:rFonts w:ascii="Times New Roman" w:hAnsi="Times New Roman"/>
          <w:sz w:val="21"/>
        </w:rPr>
        <w:t xml:space="preserve">    1.3 Problem Statement &amp; Design Objectives</w:t>
      </w:r>
      <w:r>
        <w:rPr>
          <w:rFonts w:ascii="Times New Roman" w:hAnsi="Times New Roman"/>
          <w:color w:val="546E7A"/>
          <w:sz w:val="19"/>
        </w:rPr>
        <w:t xml:space="preserve"> . . . . . . . . . . . . . . .  </w:t>
      </w:r>
      <w:r>
        <w:rPr>
          <w:rFonts w:ascii="Times New Roman" w:hAnsi="Times New Roman"/>
          <w:sz w:val="21"/>
        </w:rPr>
        <w:t>10</w:t>
      </w:r>
    </w:p>
    <w:p w:rsidR="000F1385" w:rsidRDefault="00EF3E79">
      <w:pPr>
        <w:spacing w:before="40" w:after="40"/>
      </w:pPr>
      <w:r>
        <w:rPr>
          <w:rFonts w:ascii="Times New Roman" w:hAnsi="Times New Roman"/>
          <w:sz w:val="21"/>
        </w:rPr>
        <w:t xml:space="preserve">    1.4 Faculty Guidance &amp; Architectural Evolution</w:t>
      </w:r>
      <w:r>
        <w:rPr>
          <w:rFonts w:ascii="Times New Roman" w:hAnsi="Times New Roman"/>
          <w:color w:val="546E7A"/>
          <w:sz w:val="19"/>
        </w:rPr>
        <w:t xml:space="preserve"> . . . . . . . . . .</w:t>
      </w:r>
      <w:r>
        <w:rPr>
          <w:rFonts w:ascii="Times New Roman" w:hAnsi="Times New Roman"/>
          <w:color w:val="546E7A"/>
          <w:sz w:val="19"/>
        </w:rPr>
        <w:t xml:space="preserve"> . .  </w:t>
      </w:r>
      <w:r>
        <w:rPr>
          <w:rFonts w:ascii="Times New Roman" w:hAnsi="Times New Roman"/>
          <w:sz w:val="21"/>
        </w:rPr>
        <w:t>12</w:t>
      </w:r>
    </w:p>
    <w:p w:rsidR="000F1385" w:rsidRDefault="00EF3E79">
      <w:pPr>
        <w:spacing w:before="40" w:after="40"/>
      </w:pPr>
      <w:r>
        <w:rPr>
          <w:rFonts w:ascii="Times New Roman" w:hAnsi="Times New Roman"/>
          <w:sz w:val="21"/>
        </w:rPr>
        <w:t xml:space="preserve">    1.5 Report Outline &amp; Organization</w:t>
      </w:r>
      <w:r>
        <w:rPr>
          <w:rFonts w:ascii="Times New Roman" w:hAnsi="Times New Roman"/>
          <w:color w:val="546E7A"/>
          <w:sz w:val="19"/>
        </w:rPr>
        <w:t xml:space="preserve"> . . . . . . . . . . . . . . . . . . .  </w:t>
      </w:r>
      <w:r>
        <w:rPr>
          <w:rFonts w:ascii="Times New Roman" w:hAnsi="Times New Roman"/>
          <w:sz w:val="21"/>
        </w:rPr>
        <w:t>14</w:t>
      </w:r>
    </w:p>
    <w:p w:rsidR="000F1385" w:rsidRDefault="00EF3E79">
      <w:pPr>
        <w:spacing w:before="40" w:after="40"/>
      </w:pPr>
      <w:r>
        <w:rPr>
          <w:rFonts w:ascii="Times New Roman" w:hAnsi="Times New Roman"/>
          <w:b/>
          <w:color w:val="154360"/>
        </w:rPr>
        <w:t>Chapter 2: System Requirements &amp; Threat Modeling</w:t>
      </w:r>
      <w:r>
        <w:rPr>
          <w:rFonts w:ascii="Times New Roman" w:hAnsi="Times New Roman"/>
          <w:color w:val="546E7A"/>
          <w:sz w:val="19"/>
        </w:rPr>
        <w:t xml:space="preserve"> . . . . . . . . . . . . .  </w:t>
      </w:r>
      <w:r>
        <w:rPr>
          <w:rFonts w:ascii="Times New Roman" w:hAnsi="Times New Roman"/>
          <w:b/>
        </w:rPr>
        <w:t>15</w:t>
      </w:r>
    </w:p>
    <w:p w:rsidR="000F1385" w:rsidRDefault="00EF3E79">
      <w:pPr>
        <w:spacing w:before="40" w:after="40"/>
      </w:pPr>
      <w:r>
        <w:rPr>
          <w:rFonts w:ascii="Times New Roman" w:hAnsi="Times New Roman"/>
          <w:sz w:val="21"/>
        </w:rPr>
        <w:t xml:space="preserve">    2.1 Functional Requirements (FR-1 to FR-10)</w:t>
      </w:r>
      <w:r>
        <w:rPr>
          <w:rFonts w:ascii="Times New Roman" w:hAnsi="Times New Roman"/>
          <w:color w:val="546E7A"/>
          <w:sz w:val="19"/>
        </w:rPr>
        <w:t xml:space="preserve"> . . . . . . . . . . . . . .  </w:t>
      </w:r>
      <w:r>
        <w:rPr>
          <w:rFonts w:ascii="Times New Roman" w:hAnsi="Times New Roman"/>
          <w:sz w:val="21"/>
        </w:rPr>
        <w:t>15</w:t>
      </w:r>
    </w:p>
    <w:p w:rsidR="000F1385" w:rsidRDefault="00EF3E79">
      <w:pPr>
        <w:spacing w:before="40" w:after="40"/>
      </w:pPr>
      <w:r>
        <w:rPr>
          <w:rFonts w:ascii="Times New Roman" w:hAnsi="Times New Roman"/>
          <w:sz w:val="21"/>
        </w:rPr>
        <w:t xml:space="preserve">    2.2 </w:t>
      </w:r>
      <w:r>
        <w:rPr>
          <w:rFonts w:ascii="Times New Roman" w:hAnsi="Times New Roman"/>
          <w:sz w:val="21"/>
        </w:rPr>
        <w:t>Non-Functional Requirements (NFR-1 to NFR-8)</w:t>
      </w:r>
      <w:r>
        <w:rPr>
          <w:rFonts w:ascii="Times New Roman" w:hAnsi="Times New Roman"/>
          <w:color w:val="546E7A"/>
          <w:sz w:val="19"/>
        </w:rPr>
        <w:t xml:space="preserve"> . . . . . . . . . . .  </w:t>
      </w:r>
      <w:r>
        <w:rPr>
          <w:rFonts w:ascii="Times New Roman" w:hAnsi="Times New Roman"/>
          <w:sz w:val="21"/>
        </w:rPr>
        <w:t>18</w:t>
      </w:r>
    </w:p>
    <w:p w:rsidR="000F1385" w:rsidRDefault="00EF3E79">
      <w:pPr>
        <w:spacing w:before="40" w:after="40"/>
      </w:pPr>
      <w:r>
        <w:rPr>
          <w:rFonts w:ascii="Times New Roman" w:hAnsi="Times New Roman"/>
          <w:sz w:val="21"/>
        </w:rPr>
        <w:t xml:space="preserve">    2.3 Threat Model &amp; Security Analysis (STRIDE Matrix)</w:t>
      </w:r>
      <w:r>
        <w:rPr>
          <w:rFonts w:ascii="Times New Roman" w:hAnsi="Times New Roman"/>
          <w:color w:val="546E7A"/>
          <w:sz w:val="19"/>
        </w:rPr>
        <w:t xml:space="preserve"> . . . . . . . . .  </w:t>
      </w:r>
      <w:r>
        <w:rPr>
          <w:rFonts w:ascii="Times New Roman" w:hAnsi="Times New Roman"/>
          <w:sz w:val="21"/>
        </w:rPr>
        <w:t>20</w:t>
      </w:r>
    </w:p>
    <w:p w:rsidR="000F1385" w:rsidRDefault="00EF3E79">
      <w:pPr>
        <w:spacing w:before="40" w:after="40"/>
      </w:pPr>
      <w:r>
        <w:rPr>
          <w:rFonts w:ascii="Times New Roman" w:hAnsi="Times New Roman"/>
          <w:sz w:val="21"/>
        </w:rPr>
        <w:t xml:space="preserve">    2.4 Clinical Safety &amp; Ethics Requirements</w:t>
      </w:r>
      <w:r>
        <w:rPr>
          <w:rFonts w:ascii="Times New Roman" w:hAnsi="Times New Roman"/>
          <w:color w:val="546E7A"/>
          <w:sz w:val="19"/>
        </w:rPr>
        <w:t xml:space="preserve"> . . . . . . . . . . . . . . .  </w:t>
      </w:r>
      <w:r>
        <w:rPr>
          <w:rFonts w:ascii="Times New Roman" w:hAnsi="Times New Roman"/>
          <w:sz w:val="21"/>
        </w:rPr>
        <w:t>23</w:t>
      </w:r>
    </w:p>
    <w:p w:rsidR="000F1385" w:rsidRDefault="00EF3E79">
      <w:pPr>
        <w:spacing w:before="40" w:after="40"/>
      </w:pPr>
      <w:r>
        <w:rPr>
          <w:rFonts w:ascii="Times New Roman" w:hAnsi="Times New Roman"/>
          <w:b/>
          <w:color w:val="154360"/>
        </w:rPr>
        <w:t xml:space="preserve">Chapter 3: System </w:t>
      </w:r>
      <w:r>
        <w:rPr>
          <w:rFonts w:ascii="Times New Roman" w:hAnsi="Times New Roman"/>
          <w:b/>
          <w:color w:val="154360"/>
        </w:rPr>
        <w:t>Architecture &amp; Design</w:t>
      </w:r>
      <w:r>
        <w:rPr>
          <w:rFonts w:ascii="Times New Roman" w:hAnsi="Times New Roman"/>
          <w:color w:val="546E7A"/>
          <w:sz w:val="19"/>
        </w:rPr>
        <w:t xml:space="preserve"> . . . . . . . . . . . . . . . . . .  </w:t>
      </w:r>
      <w:r>
        <w:rPr>
          <w:rFonts w:ascii="Times New Roman" w:hAnsi="Times New Roman"/>
          <w:b/>
        </w:rPr>
        <w:t>25</w:t>
      </w:r>
    </w:p>
    <w:p w:rsidR="000F1385" w:rsidRDefault="00EF3E79">
      <w:pPr>
        <w:spacing w:before="40" w:after="40"/>
      </w:pPr>
      <w:r>
        <w:rPr>
          <w:rFonts w:ascii="Times New Roman" w:hAnsi="Times New Roman"/>
          <w:sz w:val="21"/>
        </w:rPr>
        <w:t xml:space="preserve">    3.1 Architectural Overview &amp; Container Topology</w:t>
      </w:r>
      <w:r>
        <w:rPr>
          <w:rFonts w:ascii="Times New Roman" w:hAnsi="Times New Roman"/>
          <w:color w:val="546E7A"/>
          <w:sz w:val="19"/>
        </w:rPr>
        <w:t xml:space="preserve"> . . . . . . . . . . . .  </w:t>
      </w:r>
      <w:r>
        <w:rPr>
          <w:rFonts w:ascii="Times New Roman" w:hAnsi="Times New Roman"/>
          <w:sz w:val="21"/>
        </w:rPr>
        <w:t>25</w:t>
      </w:r>
    </w:p>
    <w:p w:rsidR="000F1385" w:rsidRDefault="00EF3E79">
      <w:pPr>
        <w:spacing w:before="40" w:after="40"/>
      </w:pPr>
      <w:r>
        <w:rPr>
          <w:rFonts w:ascii="Times New Roman" w:hAnsi="Times New Roman"/>
          <w:sz w:val="21"/>
        </w:rPr>
        <w:t xml:space="preserve">    3.2 Machine Learning Inference &amp; Calibration Engine</w:t>
      </w:r>
      <w:r>
        <w:rPr>
          <w:rFonts w:ascii="Times New Roman" w:hAnsi="Times New Roman"/>
          <w:color w:val="546E7A"/>
          <w:sz w:val="19"/>
        </w:rPr>
        <w:t xml:space="preserve"> . . . . . . . . . .  </w:t>
      </w:r>
      <w:r>
        <w:rPr>
          <w:rFonts w:ascii="Times New Roman" w:hAnsi="Times New Roman"/>
          <w:sz w:val="21"/>
        </w:rPr>
        <w:t>28</w:t>
      </w:r>
    </w:p>
    <w:p w:rsidR="000F1385" w:rsidRDefault="00EF3E79">
      <w:pPr>
        <w:spacing w:before="40" w:after="40"/>
      </w:pPr>
      <w:r>
        <w:rPr>
          <w:rFonts w:ascii="Times New Roman" w:hAnsi="Times New Roman"/>
          <w:sz w:val="21"/>
        </w:rPr>
        <w:t xml:space="preserve">        3.2.1 Bernoulli Naive Bayes Mathematical Formulation</w:t>
      </w:r>
      <w:r>
        <w:rPr>
          <w:rFonts w:ascii="Times New Roman" w:hAnsi="Times New Roman"/>
          <w:color w:val="546E7A"/>
          <w:sz w:val="19"/>
        </w:rPr>
        <w:t xml:space="preserve"> . . . . . . .  </w:t>
      </w:r>
      <w:r>
        <w:rPr>
          <w:rFonts w:ascii="Times New Roman" w:hAnsi="Times New Roman"/>
          <w:sz w:val="21"/>
        </w:rPr>
        <w:t>28</w:t>
      </w:r>
    </w:p>
    <w:p w:rsidR="000F1385" w:rsidRDefault="00EF3E79">
      <w:pPr>
        <w:spacing w:before="40" w:after="40"/>
      </w:pPr>
      <w:r>
        <w:rPr>
          <w:rFonts w:ascii="Times New Roman" w:hAnsi="Times New Roman"/>
          <w:sz w:val="21"/>
        </w:rPr>
        <w:t xml:space="preserve">        3.2.2 Feature Engineering &amp; Vocabulary Alignment</w:t>
      </w:r>
      <w:r>
        <w:rPr>
          <w:rFonts w:ascii="Times New Roman" w:hAnsi="Times New Roman"/>
          <w:color w:val="546E7A"/>
          <w:sz w:val="19"/>
        </w:rPr>
        <w:t xml:space="preserve"> . . . . . . . . .  </w:t>
      </w:r>
      <w:r>
        <w:rPr>
          <w:rFonts w:ascii="Times New Roman" w:hAnsi="Times New Roman"/>
          <w:sz w:val="21"/>
        </w:rPr>
        <w:t>30</w:t>
      </w:r>
    </w:p>
    <w:p w:rsidR="000F1385" w:rsidRDefault="00EF3E79">
      <w:pPr>
        <w:spacing w:before="40" w:after="40"/>
      </w:pPr>
      <w:r>
        <w:rPr>
          <w:rFonts w:ascii="Times New Roman" w:hAnsi="Times New Roman"/>
          <w:sz w:val="21"/>
        </w:rPr>
        <w:t xml:space="preserve">        3.2.3 Explainability via Top-Feature Attribution</w:t>
      </w:r>
      <w:r>
        <w:rPr>
          <w:rFonts w:ascii="Times New Roman" w:hAnsi="Times New Roman"/>
          <w:color w:val="546E7A"/>
          <w:sz w:val="19"/>
        </w:rPr>
        <w:t xml:space="preserve"> . . . . . . . . .  </w:t>
      </w:r>
      <w:r>
        <w:rPr>
          <w:rFonts w:ascii="Times New Roman" w:hAnsi="Times New Roman"/>
          <w:sz w:val="21"/>
        </w:rPr>
        <w:t>31</w:t>
      </w:r>
    </w:p>
    <w:p w:rsidR="000F1385" w:rsidRDefault="00EF3E79">
      <w:pPr>
        <w:spacing w:before="40" w:after="40"/>
      </w:pPr>
      <w:r>
        <w:rPr>
          <w:rFonts w:ascii="Times New Roman" w:hAnsi="Times New Roman"/>
          <w:sz w:val="21"/>
        </w:rPr>
        <w:t xml:space="preserve">        3.2.4 Calib</w:t>
      </w:r>
      <w:r>
        <w:rPr>
          <w:rFonts w:ascii="Times New Roman" w:hAnsi="Times New Roman"/>
          <w:sz w:val="21"/>
        </w:rPr>
        <w:t>ration Theoretical Background &amp; Analysis</w:t>
      </w:r>
      <w:r>
        <w:rPr>
          <w:rFonts w:ascii="Times New Roman" w:hAnsi="Times New Roman"/>
          <w:color w:val="546E7A"/>
          <w:sz w:val="19"/>
        </w:rPr>
        <w:t xml:space="preserve"> . . . . . . . .  </w:t>
      </w:r>
      <w:r>
        <w:rPr>
          <w:rFonts w:ascii="Times New Roman" w:hAnsi="Times New Roman"/>
          <w:sz w:val="21"/>
        </w:rPr>
        <w:t>33</w:t>
      </w:r>
    </w:p>
    <w:p w:rsidR="000F1385" w:rsidRDefault="00EF3E79">
      <w:pPr>
        <w:spacing w:before="40" w:after="40"/>
      </w:pPr>
      <w:r>
        <w:rPr>
          <w:rFonts w:ascii="Times New Roman" w:hAnsi="Times New Roman"/>
          <w:sz w:val="21"/>
        </w:rPr>
        <w:t xml:space="preserve">        3.2.5 Comparative Model Selection</w:t>
      </w:r>
      <w:r>
        <w:rPr>
          <w:rFonts w:ascii="Times New Roman" w:hAnsi="Times New Roman"/>
          <w:color w:val="546E7A"/>
          <w:sz w:val="19"/>
        </w:rPr>
        <w:t xml:space="preserve"> . . . . . . . . . . . . . . . . .  </w:t>
      </w:r>
      <w:r>
        <w:rPr>
          <w:rFonts w:ascii="Times New Roman" w:hAnsi="Times New Roman"/>
          <w:sz w:val="21"/>
        </w:rPr>
        <w:t>35</w:t>
      </w:r>
    </w:p>
    <w:p w:rsidR="000F1385" w:rsidRDefault="00EF3E79">
      <w:pPr>
        <w:spacing w:before="40" w:after="40"/>
      </w:pPr>
      <w:r>
        <w:rPr>
          <w:rFonts w:ascii="Times New Roman" w:hAnsi="Times New Roman"/>
          <w:sz w:val="21"/>
        </w:rPr>
        <w:t xml:space="preserve">    3.3 Rule-Based Clinical Red-Flag Override System</w:t>
      </w:r>
      <w:r>
        <w:rPr>
          <w:rFonts w:ascii="Times New Roman" w:hAnsi="Times New Roman"/>
          <w:color w:val="546E7A"/>
          <w:sz w:val="19"/>
        </w:rPr>
        <w:t xml:space="preserve"> . . . . . . . . . . .  </w:t>
      </w:r>
      <w:r>
        <w:rPr>
          <w:rFonts w:ascii="Times New Roman" w:hAnsi="Times New Roman"/>
          <w:sz w:val="21"/>
        </w:rPr>
        <w:t>37</w:t>
      </w:r>
    </w:p>
    <w:p w:rsidR="000F1385" w:rsidRDefault="00EF3E79">
      <w:pPr>
        <w:spacing w:before="40" w:after="40"/>
      </w:pPr>
      <w:r>
        <w:rPr>
          <w:rFonts w:ascii="Times New Roman" w:hAnsi="Times New Roman"/>
          <w:sz w:val="21"/>
        </w:rPr>
        <w:t xml:space="preserve">    3.4 Multi-Tier LLM Explanation &amp;</w:t>
      </w:r>
      <w:r>
        <w:rPr>
          <w:rFonts w:ascii="Times New Roman" w:hAnsi="Times New Roman"/>
          <w:sz w:val="21"/>
        </w:rPr>
        <w:t xml:space="preserve"> Resilient Fallback Layer</w:t>
      </w:r>
      <w:r>
        <w:rPr>
          <w:rFonts w:ascii="Times New Roman" w:hAnsi="Times New Roman"/>
          <w:color w:val="546E7A"/>
          <w:sz w:val="19"/>
        </w:rPr>
        <w:t xml:space="preserve"> . . . . . . .  </w:t>
      </w:r>
      <w:r>
        <w:rPr>
          <w:rFonts w:ascii="Times New Roman" w:hAnsi="Times New Roman"/>
          <w:sz w:val="21"/>
        </w:rPr>
        <w:t>39</w:t>
      </w:r>
    </w:p>
    <w:p w:rsidR="000F1385" w:rsidRDefault="00EF3E79">
      <w:pPr>
        <w:spacing w:before="40" w:after="40"/>
      </w:pPr>
      <w:r>
        <w:rPr>
          <w:rFonts w:ascii="Times New Roman" w:hAnsi="Times New Roman"/>
          <w:sz w:val="21"/>
        </w:rPr>
        <w:t xml:space="preserve">    3.5 End-to-End Clinical Consultation Workflow</w:t>
      </w:r>
      <w:r>
        <w:rPr>
          <w:rFonts w:ascii="Times New Roman" w:hAnsi="Times New Roman"/>
          <w:color w:val="546E7A"/>
          <w:sz w:val="19"/>
        </w:rPr>
        <w:t xml:space="preserve"> . . . . . . . . . . . . .  </w:t>
      </w:r>
      <w:r>
        <w:rPr>
          <w:rFonts w:ascii="Times New Roman" w:hAnsi="Times New Roman"/>
          <w:sz w:val="21"/>
        </w:rPr>
        <w:t>42</w:t>
      </w:r>
    </w:p>
    <w:p w:rsidR="000F1385" w:rsidRDefault="00EF3E79">
      <w:pPr>
        <w:spacing w:before="40" w:after="40"/>
      </w:pPr>
      <w:r>
        <w:rPr>
          <w:rFonts w:ascii="Times New Roman" w:hAnsi="Times New Roman"/>
          <w:sz w:val="21"/>
        </w:rPr>
        <w:t xml:space="preserve">    3.6 Security Architecture &amp; Cryptographic Implementation</w:t>
      </w:r>
      <w:r>
        <w:rPr>
          <w:rFonts w:ascii="Times New Roman" w:hAnsi="Times New Roman"/>
          <w:color w:val="546E7A"/>
          <w:sz w:val="19"/>
        </w:rPr>
        <w:t xml:space="preserve"> . . . . . . .  </w:t>
      </w:r>
      <w:r>
        <w:rPr>
          <w:rFonts w:ascii="Times New Roman" w:hAnsi="Times New Roman"/>
          <w:sz w:val="21"/>
        </w:rPr>
        <w:t>45</w:t>
      </w:r>
    </w:p>
    <w:p w:rsidR="000F1385" w:rsidRDefault="00EF3E79">
      <w:pPr>
        <w:spacing w:before="40" w:after="40"/>
      </w:pPr>
      <w:r>
        <w:rPr>
          <w:rFonts w:ascii="Times New Roman" w:hAnsi="Times New Roman"/>
          <w:sz w:val="21"/>
        </w:rPr>
        <w:t xml:space="preserve">    3.7 Database Design, Concurrency &amp; Data Integrity</w:t>
      </w:r>
      <w:r>
        <w:rPr>
          <w:rFonts w:ascii="Times New Roman" w:hAnsi="Times New Roman"/>
          <w:color w:val="546E7A"/>
          <w:sz w:val="19"/>
        </w:rPr>
        <w:t xml:space="preserve"> . . . . . . . . . . .  </w:t>
      </w:r>
      <w:r>
        <w:rPr>
          <w:rFonts w:ascii="Times New Roman" w:hAnsi="Times New Roman"/>
          <w:sz w:val="21"/>
        </w:rPr>
        <w:t>48</w:t>
      </w:r>
    </w:p>
    <w:p w:rsidR="000F1385" w:rsidRDefault="00EF3E79">
      <w:pPr>
        <w:spacing w:before="40" w:after="40"/>
      </w:pPr>
      <w:r>
        <w:rPr>
          <w:rFonts w:ascii="Times New Roman" w:hAnsi="Times New Roman"/>
          <w:b/>
          <w:color w:val="154360"/>
        </w:rPr>
        <w:t>Chapter 4: Empirical Evaluation &amp; Experimental Results</w:t>
      </w:r>
      <w:r>
        <w:rPr>
          <w:rFonts w:ascii="Times New Roman" w:hAnsi="Times New Roman"/>
          <w:color w:val="546E7A"/>
          <w:sz w:val="19"/>
        </w:rPr>
        <w:t xml:space="preserve"> . . . . . . . . . .  </w:t>
      </w:r>
      <w:r>
        <w:rPr>
          <w:rFonts w:ascii="Times New Roman" w:hAnsi="Times New Roman"/>
          <w:b/>
        </w:rPr>
        <w:t>51</w:t>
      </w:r>
    </w:p>
    <w:p w:rsidR="000F1385" w:rsidRDefault="00EF3E79">
      <w:pPr>
        <w:spacing w:before="40" w:after="40"/>
      </w:pPr>
      <w:r>
        <w:rPr>
          <w:rFonts w:ascii="Times New Roman" w:hAnsi="Times New Roman"/>
          <w:sz w:val="21"/>
        </w:rPr>
        <w:t xml:space="preserve">    4.1 Dataset Profile &amp; Methodological Integrity</w:t>
      </w:r>
      <w:r>
        <w:rPr>
          <w:rFonts w:ascii="Times New Roman" w:hAnsi="Times New Roman"/>
          <w:color w:val="546E7A"/>
          <w:sz w:val="19"/>
        </w:rPr>
        <w:t xml:space="preserve"> . . . . . . . . . . . .  </w:t>
      </w:r>
      <w:r>
        <w:rPr>
          <w:rFonts w:ascii="Times New Roman" w:hAnsi="Times New Roman"/>
          <w:sz w:val="21"/>
        </w:rPr>
        <w:t>51</w:t>
      </w:r>
    </w:p>
    <w:p w:rsidR="000F1385" w:rsidRDefault="00EF3E79">
      <w:pPr>
        <w:spacing w:before="40" w:after="40"/>
      </w:pPr>
      <w:r>
        <w:rPr>
          <w:rFonts w:ascii="Times New Roman" w:hAnsi="Times New Roman"/>
          <w:sz w:val="21"/>
        </w:rPr>
        <w:t xml:space="preserve">    4.2 Machine Learning Performance &amp; Robustness</w:t>
      </w:r>
      <w:r>
        <w:rPr>
          <w:rFonts w:ascii="Times New Roman" w:hAnsi="Times New Roman"/>
          <w:color w:val="546E7A"/>
          <w:sz w:val="19"/>
        </w:rPr>
        <w:t xml:space="preserve"> . . . . . . . . . . .</w:t>
      </w:r>
      <w:r>
        <w:rPr>
          <w:rFonts w:ascii="Times New Roman" w:hAnsi="Times New Roman"/>
          <w:color w:val="546E7A"/>
          <w:sz w:val="19"/>
        </w:rPr>
        <w:t xml:space="preserve"> . .  </w:t>
      </w:r>
      <w:r>
        <w:rPr>
          <w:rFonts w:ascii="Times New Roman" w:hAnsi="Times New Roman"/>
          <w:sz w:val="21"/>
        </w:rPr>
        <w:t>53</w:t>
      </w:r>
    </w:p>
    <w:p w:rsidR="000F1385" w:rsidRDefault="00EF3E79">
      <w:pPr>
        <w:spacing w:before="40" w:after="40"/>
      </w:pPr>
      <w:r>
        <w:rPr>
          <w:rFonts w:ascii="Times New Roman" w:hAnsi="Times New Roman"/>
          <w:sz w:val="21"/>
        </w:rPr>
        <w:lastRenderedPageBreak/>
        <w:t xml:space="preserve">    4.3 Load Testing, Concurrency &amp; System Throughput</w:t>
      </w:r>
      <w:r>
        <w:rPr>
          <w:rFonts w:ascii="Times New Roman" w:hAnsi="Times New Roman"/>
          <w:color w:val="546E7A"/>
          <w:sz w:val="19"/>
        </w:rPr>
        <w:t xml:space="preserve"> . . . . . . . . . . .  </w:t>
      </w:r>
      <w:r>
        <w:rPr>
          <w:rFonts w:ascii="Times New Roman" w:hAnsi="Times New Roman"/>
          <w:sz w:val="21"/>
        </w:rPr>
        <w:t>57</w:t>
      </w:r>
    </w:p>
    <w:p w:rsidR="000F1385" w:rsidRDefault="00EF3E79">
      <w:pPr>
        <w:spacing w:before="40" w:after="40"/>
      </w:pPr>
      <w:r>
        <w:rPr>
          <w:rFonts w:ascii="Times New Roman" w:hAnsi="Times New Roman"/>
          <w:sz w:val="21"/>
        </w:rPr>
        <w:t xml:space="preserve">    4.4 Automated Testing &amp; Verification Suite</w:t>
      </w:r>
      <w:r>
        <w:rPr>
          <w:rFonts w:ascii="Times New Roman" w:hAnsi="Times New Roman"/>
          <w:color w:val="546E7A"/>
          <w:sz w:val="19"/>
        </w:rPr>
        <w:t xml:space="preserve"> . . . . . . . . . . . . . .  </w:t>
      </w:r>
      <w:r>
        <w:rPr>
          <w:rFonts w:ascii="Times New Roman" w:hAnsi="Times New Roman"/>
          <w:sz w:val="21"/>
        </w:rPr>
        <w:t>61</w:t>
      </w:r>
    </w:p>
    <w:p w:rsidR="000F1385" w:rsidRDefault="00EF3E79">
      <w:pPr>
        <w:spacing w:before="40" w:after="40"/>
      </w:pPr>
      <w:r>
        <w:rPr>
          <w:rFonts w:ascii="Times New Roman" w:hAnsi="Times New Roman"/>
          <w:sz w:val="21"/>
        </w:rPr>
        <w:t xml:space="preserve">    4.5 Security Vulnerability &amp; Dependency Auditing</w:t>
      </w:r>
      <w:r>
        <w:rPr>
          <w:rFonts w:ascii="Times New Roman" w:hAnsi="Times New Roman"/>
          <w:color w:val="546E7A"/>
          <w:sz w:val="19"/>
        </w:rPr>
        <w:t xml:space="preserve"> . . . . . . . . . . .  </w:t>
      </w:r>
      <w:r>
        <w:rPr>
          <w:rFonts w:ascii="Times New Roman" w:hAnsi="Times New Roman"/>
          <w:sz w:val="21"/>
        </w:rPr>
        <w:t>64</w:t>
      </w:r>
    </w:p>
    <w:p w:rsidR="000F1385" w:rsidRDefault="00EF3E79">
      <w:pPr>
        <w:spacing w:before="40" w:after="40"/>
      </w:pPr>
      <w:r>
        <w:rPr>
          <w:rFonts w:ascii="Times New Roman" w:hAnsi="Times New Roman"/>
          <w:sz w:val="21"/>
        </w:rPr>
        <w:t xml:space="preserve">    4.6 L</w:t>
      </w:r>
      <w:r>
        <w:rPr>
          <w:rFonts w:ascii="Times New Roman" w:hAnsi="Times New Roman"/>
          <w:sz w:val="21"/>
        </w:rPr>
        <w:t>iterature-Linked Discussion &amp; Analysis</w:t>
      </w:r>
      <w:r>
        <w:rPr>
          <w:rFonts w:ascii="Times New Roman" w:hAnsi="Times New Roman"/>
          <w:color w:val="546E7A"/>
          <w:sz w:val="19"/>
        </w:rPr>
        <w:t xml:space="preserve"> . . . . . . . . . . . . . .  </w:t>
      </w:r>
      <w:r>
        <w:rPr>
          <w:rFonts w:ascii="Times New Roman" w:hAnsi="Times New Roman"/>
          <w:sz w:val="21"/>
        </w:rPr>
        <w:t>66</w:t>
      </w:r>
    </w:p>
    <w:p w:rsidR="000F1385" w:rsidRDefault="00EF3E79">
      <w:pPr>
        <w:spacing w:before="40" w:after="40"/>
      </w:pPr>
      <w:r>
        <w:rPr>
          <w:rFonts w:ascii="Times New Roman" w:hAnsi="Times New Roman"/>
          <w:sz w:val="21"/>
        </w:rPr>
        <w:t xml:space="preserve">    4.7 Limitations &amp; Threats to Validity</w:t>
      </w:r>
      <w:r>
        <w:rPr>
          <w:rFonts w:ascii="Times New Roman" w:hAnsi="Times New Roman"/>
          <w:color w:val="546E7A"/>
          <w:sz w:val="19"/>
        </w:rPr>
        <w:t xml:space="preserve"> . . . . . . . . . . . . . . . . .  </w:t>
      </w:r>
      <w:r>
        <w:rPr>
          <w:rFonts w:ascii="Times New Roman" w:hAnsi="Times New Roman"/>
          <w:sz w:val="21"/>
        </w:rPr>
        <w:t>68</w:t>
      </w:r>
    </w:p>
    <w:p w:rsidR="000F1385" w:rsidRDefault="00EF3E79">
      <w:pPr>
        <w:spacing w:before="40" w:after="40"/>
      </w:pPr>
      <w:r>
        <w:rPr>
          <w:rFonts w:ascii="Times New Roman" w:hAnsi="Times New Roman"/>
          <w:b/>
          <w:color w:val="154360"/>
        </w:rPr>
        <w:t>Chapter 5: Conclusion &amp; Future Scope</w:t>
      </w:r>
      <w:r>
        <w:rPr>
          <w:rFonts w:ascii="Times New Roman" w:hAnsi="Times New Roman"/>
          <w:color w:val="546E7A"/>
          <w:sz w:val="19"/>
        </w:rPr>
        <w:t xml:space="preserve"> . . . . . . . . . . . . . . . . . . .  </w:t>
      </w:r>
      <w:r>
        <w:rPr>
          <w:rFonts w:ascii="Times New Roman" w:hAnsi="Times New Roman"/>
          <w:b/>
        </w:rPr>
        <w:t>70</w:t>
      </w:r>
    </w:p>
    <w:p w:rsidR="000F1385" w:rsidRDefault="00EF3E79">
      <w:pPr>
        <w:spacing w:before="40" w:after="40"/>
      </w:pPr>
      <w:r>
        <w:rPr>
          <w:rFonts w:ascii="Times New Roman" w:hAnsi="Times New Roman"/>
          <w:sz w:val="21"/>
        </w:rPr>
        <w:t xml:space="preserve">    5.1 Project Summary &amp;</w:t>
      </w:r>
      <w:r>
        <w:rPr>
          <w:rFonts w:ascii="Times New Roman" w:hAnsi="Times New Roman"/>
          <w:sz w:val="21"/>
        </w:rPr>
        <w:t xml:space="preserve"> Achievements</w:t>
      </w:r>
      <w:r>
        <w:rPr>
          <w:rFonts w:ascii="Times New Roman" w:hAnsi="Times New Roman"/>
          <w:color w:val="546E7A"/>
          <w:sz w:val="19"/>
        </w:rPr>
        <w:t xml:space="preserve"> . . . . . . . . . . . . . . . . . .  </w:t>
      </w:r>
      <w:r>
        <w:rPr>
          <w:rFonts w:ascii="Times New Roman" w:hAnsi="Times New Roman"/>
          <w:sz w:val="21"/>
        </w:rPr>
        <w:t>70</w:t>
      </w:r>
    </w:p>
    <w:p w:rsidR="000F1385" w:rsidRDefault="00EF3E79">
      <w:pPr>
        <w:spacing w:before="40" w:after="40"/>
      </w:pPr>
      <w:r>
        <w:rPr>
          <w:rFonts w:ascii="Times New Roman" w:hAnsi="Times New Roman"/>
          <w:sz w:val="21"/>
        </w:rPr>
        <w:t xml:space="preserve">    5.2 Lessons Learned &amp; Engineering Insights</w:t>
      </w:r>
      <w:r>
        <w:rPr>
          <w:rFonts w:ascii="Times New Roman" w:hAnsi="Times New Roman"/>
          <w:color w:val="546E7A"/>
          <w:sz w:val="19"/>
        </w:rPr>
        <w:t xml:space="preserve"> . . . . . . . . . . . . . .  </w:t>
      </w:r>
      <w:r>
        <w:rPr>
          <w:rFonts w:ascii="Times New Roman" w:hAnsi="Times New Roman"/>
          <w:sz w:val="21"/>
        </w:rPr>
        <w:t>71</w:t>
      </w:r>
    </w:p>
    <w:p w:rsidR="000F1385" w:rsidRDefault="00EF3E79">
      <w:pPr>
        <w:spacing w:before="40" w:after="40"/>
      </w:pPr>
      <w:r>
        <w:rPr>
          <w:rFonts w:ascii="Times New Roman" w:hAnsi="Times New Roman"/>
          <w:sz w:val="21"/>
        </w:rPr>
        <w:t xml:space="preserve">    5.3 Future Work &amp; Roadmap</w:t>
      </w:r>
      <w:r>
        <w:rPr>
          <w:rFonts w:ascii="Times New Roman" w:hAnsi="Times New Roman"/>
          <w:color w:val="546E7A"/>
          <w:sz w:val="19"/>
        </w:rPr>
        <w:t xml:space="preserve"> . . . . . . . . . . . . . . . . . . . . . . .  </w:t>
      </w:r>
      <w:r>
        <w:rPr>
          <w:rFonts w:ascii="Times New Roman" w:hAnsi="Times New Roman"/>
          <w:sz w:val="21"/>
        </w:rPr>
        <w:t>72</w:t>
      </w:r>
    </w:p>
    <w:p w:rsidR="000F1385" w:rsidRDefault="00EF3E79">
      <w:pPr>
        <w:spacing w:before="40" w:after="40"/>
      </w:pPr>
      <w:r>
        <w:rPr>
          <w:rFonts w:ascii="Times New Roman" w:hAnsi="Times New Roman"/>
          <w:b/>
        </w:rPr>
        <w:t>References</w:t>
      </w:r>
      <w:r>
        <w:rPr>
          <w:rFonts w:ascii="Times New Roman" w:hAnsi="Times New Roman"/>
          <w:color w:val="546E7A"/>
          <w:sz w:val="19"/>
        </w:rPr>
        <w:t xml:space="preserve"> . . . . . . . . . . . . . . . . </w:t>
      </w:r>
      <w:r>
        <w:rPr>
          <w:rFonts w:ascii="Times New Roman" w:hAnsi="Times New Roman"/>
          <w:color w:val="546E7A"/>
          <w:sz w:val="19"/>
        </w:rPr>
        <w:t xml:space="preserve">. . . . . . . . . . . . . . . .  </w:t>
      </w:r>
      <w:r>
        <w:rPr>
          <w:rFonts w:ascii="Times New Roman" w:hAnsi="Times New Roman"/>
          <w:b/>
        </w:rPr>
        <w:t>74</w:t>
      </w:r>
    </w:p>
    <w:p w:rsidR="000F1385" w:rsidRDefault="00EF3E79">
      <w:pPr>
        <w:spacing w:before="40" w:after="40"/>
      </w:pPr>
      <w:r>
        <w:rPr>
          <w:rFonts w:ascii="Times New Roman" w:hAnsi="Times New Roman"/>
          <w:b/>
        </w:rPr>
        <w:t>Appendix A: Engineering Challenges, Root Causes, and Architectural Remediation Fixes</w:t>
      </w:r>
      <w:r>
        <w:rPr>
          <w:rFonts w:ascii="Times New Roman" w:hAnsi="Times New Roman"/>
          <w:color w:val="546E7A"/>
          <w:sz w:val="19"/>
        </w:rPr>
        <w:t xml:space="preserve"> . .  </w:t>
      </w:r>
      <w:r>
        <w:rPr>
          <w:rFonts w:ascii="Times New Roman" w:hAnsi="Times New Roman"/>
          <w:b/>
        </w:rPr>
        <w:t>77</w:t>
      </w:r>
    </w:p>
    <w:p w:rsidR="000F1385" w:rsidRDefault="00EF3E79">
      <w:pPr>
        <w:spacing w:before="40" w:after="40"/>
      </w:pPr>
      <w:r>
        <w:rPr>
          <w:rFonts w:ascii="Times New Roman" w:hAnsi="Times New Roman"/>
          <w:b/>
        </w:rPr>
        <w:t>Appendix B: Reproduction Commands &amp; Verification Playbook</w:t>
      </w:r>
      <w:r>
        <w:rPr>
          <w:rFonts w:ascii="Times New Roman" w:hAnsi="Times New Roman"/>
          <w:color w:val="546E7A"/>
          <w:sz w:val="19"/>
        </w:rPr>
        <w:t xml:space="preserve"> . . . . . . . . .  </w:t>
      </w:r>
      <w:r>
        <w:rPr>
          <w:rFonts w:ascii="Times New Roman" w:hAnsi="Times New Roman"/>
          <w:b/>
        </w:rPr>
        <w:t>83</w:t>
      </w:r>
    </w:p>
    <w:p w:rsidR="000F1385" w:rsidRDefault="00EF3E79">
      <w:pPr>
        <w:spacing w:before="40" w:after="40"/>
      </w:pPr>
      <w:r>
        <w:rPr>
          <w:rFonts w:ascii="Times New Roman" w:hAnsi="Times New Roman"/>
          <w:b/>
        </w:rPr>
        <w:t>Appendix C: Complete Prototype Test Suite Inven</w:t>
      </w:r>
      <w:r>
        <w:rPr>
          <w:rFonts w:ascii="Times New Roman" w:hAnsi="Times New Roman"/>
          <w:b/>
        </w:rPr>
        <w:t>tory</w:t>
      </w:r>
      <w:r>
        <w:rPr>
          <w:rFonts w:ascii="Times New Roman" w:hAnsi="Times New Roman"/>
          <w:color w:val="546E7A"/>
          <w:sz w:val="19"/>
        </w:rPr>
        <w:t xml:space="preserve"> . . . . . . . . . . . .  </w:t>
      </w:r>
      <w:r>
        <w:rPr>
          <w:rFonts w:ascii="Times New Roman" w:hAnsi="Times New Roman"/>
          <w:b/>
        </w:rPr>
        <w:t>86</w:t>
      </w:r>
    </w:p>
    <w:p w:rsidR="000F1385" w:rsidRDefault="00EF3E79">
      <w:r>
        <w:br w:type="page"/>
      </w:r>
    </w:p>
    <w:p w:rsidR="000F1385" w:rsidRDefault="00EF3E79">
      <w:pPr>
        <w:spacing w:before="360" w:after="320"/>
        <w:jc w:val="center"/>
      </w:pPr>
      <w:r>
        <w:rPr>
          <w:rFonts w:ascii="Times New Roman" w:hAnsi="Times New Roman"/>
          <w:b/>
          <w:color w:val="154360"/>
          <w:sz w:val="28"/>
          <w:u w:val="single"/>
        </w:rPr>
        <w:lastRenderedPageBreak/>
        <w:t>LIST OF FIGURES</w:t>
      </w:r>
    </w:p>
    <w:p w:rsidR="000F1385" w:rsidRDefault="00EF3E79">
      <w:pPr>
        <w:spacing w:before="40" w:after="40"/>
      </w:pPr>
      <w:r>
        <w:rPr>
          <w:rFonts w:ascii="Times New Roman" w:hAnsi="Times New Roman"/>
          <w:sz w:val="20"/>
        </w:rPr>
        <w:t>Figure 3.1: Microservice Container Topology &amp; Trust Boundaries</w:t>
      </w:r>
      <w:r>
        <w:rPr>
          <w:rFonts w:ascii="Times New Roman" w:hAnsi="Times New Roman"/>
          <w:color w:val="546E7A"/>
          <w:sz w:val="19"/>
        </w:rPr>
        <w:t xml:space="preserve"> . . . . . . . .  </w:t>
      </w:r>
      <w:r>
        <w:rPr>
          <w:rFonts w:ascii="Times New Roman" w:hAnsi="Times New Roman"/>
          <w:b/>
          <w:sz w:val="20"/>
        </w:rPr>
        <w:t>26</w:t>
      </w:r>
    </w:p>
    <w:p w:rsidR="000F1385" w:rsidRDefault="00EF3E79">
      <w:pPr>
        <w:spacing w:before="40" w:after="40"/>
      </w:pPr>
      <w:r>
        <w:rPr>
          <w:rFonts w:ascii="Times New Roman" w:hAnsi="Times New Roman"/>
          <w:sz w:val="20"/>
        </w:rPr>
        <w:t>Figure 3.2: Docker Bridge Network Isolation &amp; Persistent Volumes</w:t>
      </w:r>
      <w:r>
        <w:rPr>
          <w:rFonts w:ascii="Times New Roman" w:hAnsi="Times New Roman"/>
          <w:color w:val="546E7A"/>
          <w:sz w:val="19"/>
        </w:rPr>
        <w:t xml:space="preserve"> . . . . . . .  </w:t>
      </w:r>
      <w:r>
        <w:rPr>
          <w:rFonts w:ascii="Times New Roman" w:hAnsi="Times New Roman"/>
          <w:b/>
          <w:sz w:val="20"/>
        </w:rPr>
        <w:t>27</w:t>
      </w:r>
    </w:p>
    <w:p w:rsidR="000F1385" w:rsidRDefault="00EF3E79">
      <w:pPr>
        <w:spacing w:before="40" w:after="40"/>
      </w:pPr>
      <w:r>
        <w:rPr>
          <w:rFonts w:ascii="Times New Roman" w:hAnsi="Times New Roman"/>
          <w:sz w:val="20"/>
        </w:rPr>
        <w:t xml:space="preserve">Figure 3.3: Hierarchical LLM Request </w:t>
      </w:r>
      <w:r>
        <w:rPr>
          <w:rFonts w:ascii="Times New Roman" w:hAnsi="Times New Roman"/>
          <w:sz w:val="20"/>
        </w:rPr>
        <w:t>Timeout Cascade &amp; Guardrail Budgets</w:t>
      </w:r>
      <w:r>
        <w:rPr>
          <w:rFonts w:ascii="Times New Roman" w:hAnsi="Times New Roman"/>
          <w:color w:val="546E7A"/>
          <w:sz w:val="19"/>
        </w:rPr>
        <w:t xml:space="preserve"> . . .  </w:t>
      </w:r>
      <w:r>
        <w:rPr>
          <w:rFonts w:ascii="Times New Roman" w:hAnsi="Times New Roman"/>
          <w:b/>
          <w:sz w:val="20"/>
        </w:rPr>
        <w:t>40</w:t>
      </w:r>
    </w:p>
    <w:p w:rsidR="000F1385" w:rsidRDefault="00EF3E79">
      <w:pPr>
        <w:spacing w:before="40" w:after="40"/>
      </w:pPr>
      <w:r>
        <w:rPr>
          <w:rFonts w:ascii="Times New Roman" w:hAnsi="Times New Roman"/>
          <w:sz w:val="20"/>
        </w:rPr>
        <w:t>Figure 3.4: End-to-End Clinical Consultation Sequence Workflow</w:t>
      </w:r>
      <w:r>
        <w:rPr>
          <w:rFonts w:ascii="Times New Roman" w:hAnsi="Times New Roman"/>
          <w:color w:val="546E7A"/>
          <w:sz w:val="19"/>
        </w:rPr>
        <w:t xml:space="preserve"> . . . . . . . .  </w:t>
      </w:r>
      <w:r>
        <w:rPr>
          <w:rFonts w:ascii="Times New Roman" w:hAnsi="Times New Roman"/>
          <w:b/>
          <w:sz w:val="20"/>
        </w:rPr>
        <w:t>43</w:t>
      </w:r>
    </w:p>
    <w:p w:rsidR="000F1385" w:rsidRDefault="00EF3E79">
      <w:pPr>
        <w:spacing w:before="40" w:after="40"/>
      </w:pPr>
      <w:r>
        <w:rPr>
          <w:rFonts w:ascii="Times New Roman" w:hAnsi="Times New Roman"/>
          <w:sz w:val="20"/>
        </w:rPr>
        <w:t>Figure 3.5: Consultation Lifecycle State Machine &amp; Decision Gate B</w:t>
      </w:r>
      <w:r>
        <w:rPr>
          <w:rFonts w:ascii="Times New Roman" w:hAnsi="Times New Roman"/>
          <w:color w:val="546E7A"/>
          <w:sz w:val="19"/>
        </w:rPr>
        <w:t xml:space="preserve"> . . . . . .  </w:t>
      </w:r>
      <w:r>
        <w:rPr>
          <w:rFonts w:ascii="Times New Roman" w:hAnsi="Times New Roman"/>
          <w:b/>
          <w:sz w:val="20"/>
        </w:rPr>
        <w:t>44</w:t>
      </w:r>
    </w:p>
    <w:p w:rsidR="000F1385" w:rsidRDefault="00EF3E79">
      <w:pPr>
        <w:spacing w:before="40" w:after="40"/>
      </w:pPr>
      <w:r>
        <w:rPr>
          <w:rFonts w:ascii="Times New Roman" w:hAnsi="Times New Roman"/>
          <w:sz w:val="20"/>
        </w:rPr>
        <w:t>Figure 3.6: Five-Layer Defense-in-Depth Secu</w:t>
      </w:r>
      <w:r>
        <w:rPr>
          <w:rFonts w:ascii="Times New Roman" w:hAnsi="Times New Roman"/>
          <w:sz w:val="20"/>
        </w:rPr>
        <w:t>rity Architecture</w:t>
      </w:r>
      <w:r>
        <w:rPr>
          <w:rFonts w:ascii="Times New Roman" w:hAnsi="Times New Roman"/>
          <w:color w:val="546E7A"/>
          <w:sz w:val="19"/>
        </w:rPr>
        <w:t xml:space="preserve"> . . . . . . . .  </w:t>
      </w:r>
      <w:r>
        <w:rPr>
          <w:rFonts w:ascii="Times New Roman" w:hAnsi="Times New Roman"/>
          <w:b/>
          <w:sz w:val="20"/>
        </w:rPr>
        <w:t>46</w:t>
      </w:r>
    </w:p>
    <w:p w:rsidR="000F1385" w:rsidRDefault="00EF3E79">
      <w:pPr>
        <w:spacing w:before="40" w:after="40"/>
      </w:pPr>
      <w:r>
        <w:rPr>
          <w:rFonts w:ascii="Times New Roman" w:hAnsi="Times New Roman"/>
          <w:sz w:val="20"/>
        </w:rPr>
        <w:t>Figure 3.7: Packet Interception Analysis: Cleartext HTTP vs Encrypted TLS 1.3</w:t>
      </w:r>
      <w:r>
        <w:rPr>
          <w:rFonts w:ascii="Times New Roman" w:hAnsi="Times New Roman"/>
          <w:color w:val="546E7A"/>
          <w:sz w:val="19"/>
        </w:rPr>
        <w:t xml:space="preserve"> . .  </w:t>
      </w:r>
      <w:r>
        <w:rPr>
          <w:rFonts w:ascii="Times New Roman" w:hAnsi="Times New Roman"/>
          <w:b/>
          <w:sz w:val="20"/>
        </w:rPr>
        <w:t>47</w:t>
      </w:r>
    </w:p>
    <w:p w:rsidR="000F1385" w:rsidRDefault="00EF3E79">
      <w:pPr>
        <w:spacing w:before="40" w:after="40"/>
      </w:pPr>
      <w:r>
        <w:rPr>
          <w:rFonts w:ascii="Times New Roman" w:hAnsi="Times New Roman"/>
          <w:sz w:val="20"/>
        </w:rPr>
        <w:t>Figure 4.1: Dataset Profile: Raw Kaggle Duplication vs Deduplicated Cohort</w:t>
      </w:r>
      <w:r>
        <w:rPr>
          <w:rFonts w:ascii="Times New Roman" w:hAnsi="Times New Roman"/>
          <w:color w:val="546E7A"/>
          <w:sz w:val="19"/>
        </w:rPr>
        <w:t xml:space="preserve"> . .  </w:t>
      </w:r>
      <w:r>
        <w:rPr>
          <w:rFonts w:ascii="Times New Roman" w:hAnsi="Times New Roman"/>
          <w:b/>
          <w:sz w:val="20"/>
        </w:rPr>
        <w:t>52</w:t>
      </w:r>
    </w:p>
    <w:p w:rsidR="000F1385" w:rsidRDefault="00EF3E79">
      <w:pPr>
        <w:spacing w:before="40" w:after="40"/>
      </w:pPr>
      <w:r>
        <w:rPr>
          <w:rFonts w:ascii="Times New Roman" w:hAnsi="Times New Roman"/>
          <w:sz w:val="20"/>
        </w:rPr>
        <w:t>Figure 4.2: Classification Accuracy Across Sympto</w:t>
      </w:r>
      <w:r>
        <w:rPr>
          <w:rFonts w:ascii="Times New Roman" w:hAnsi="Times New Roman"/>
          <w:sz w:val="20"/>
        </w:rPr>
        <w:t>m Dropout Rates (0%, 30%, 50%)</w:t>
      </w:r>
      <w:r>
        <w:rPr>
          <w:rFonts w:ascii="Times New Roman" w:hAnsi="Times New Roman"/>
          <w:color w:val="546E7A"/>
          <w:sz w:val="19"/>
        </w:rPr>
        <w:t xml:space="preserve"> . .  </w:t>
      </w:r>
      <w:r>
        <w:rPr>
          <w:rFonts w:ascii="Times New Roman" w:hAnsi="Times New Roman"/>
          <w:b/>
          <w:sz w:val="20"/>
        </w:rPr>
        <w:t>54</w:t>
      </w:r>
    </w:p>
    <w:p w:rsidR="000F1385" w:rsidRDefault="00EF3E79">
      <w:pPr>
        <w:spacing w:before="40" w:after="40"/>
      </w:pPr>
      <w:r>
        <w:rPr>
          <w:rFonts w:ascii="Times New Roman" w:hAnsi="Times New Roman"/>
          <w:sz w:val="20"/>
        </w:rPr>
        <w:t>Figure 4.3: Expected Calibration Error (ECE) Across Dropout Rates</w:t>
      </w:r>
      <w:r>
        <w:rPr>
          <w:rFonts w:ascii="Times New Roman" w:hAnsi="Times New Roman"/>
          <w:color w:val="546E7A"/>
          <w:sz w:val="19"/>
        </w:rPr>
        <w:t xml:space="preserve"> . . . . . .  </w:t>
      </w:r>
      <w:r>
        <w:rPr>
          <w:rFonts w:ascii="Times New Roman" w:hAnsi="Times New Roman"/>
          <w:b/>
          <w:sz w:val="20"/>
        </w:rPr>
        <w:t>56</w:t>
      </w:r>
    </w:p>
    <w:p w:rsidR="000F1385" w:rsidRDefault="00EF3E79">
      <w:pPr>
        <w:spacing w:before="40" w:after="40"/>
      </w:pPr>
      <w:r>
        <w:rPr>
          <w:rFonts w:ascii="Times New Roman" w:hAnsi="Times New Roman"/>
          <w:sz w:val="20"/>
        </w:rPr>
        <w:t>Figure 4.4: Load Test Throughput &amp; Latency Distributions (C=1, 10, 50)</w:t>
      </w:r>
      <w:r>
        <w:rPr>
          <w:rFonts w:ascii="Times New Roman" w:hAnsi="Times New Roman"/>
          <w:color w:val="546E7A"/>
          <w:sz w:val="19"/>
        </w:rPr>
        <w:t xml:space="preserve"> . . . .  </w:t>
      </w:r>
      <w:r>
        <w:rPr>
          <w:rFonts w:ascii="Times New Roman" w:hAnsi="Times New Roman"/>
          <w:b/>
          <w:sz w:val="20"/>
        </w:rPr>
        <w:t>58</w:t>
      </w:r>
    </w:p>
    <w:p w:rsidR="000F1385" w:rsidRDefault="00EF3E79">
      <w:pPr>
        <w:spacing w:before="40" w:after="40"/>
      </w:pPr>
      <w:r>
        <w:rPr>
          <w:rFonts w:ascii="Times New Roman" w:hAnsi="Times New Roman"/>
          <w:sz w:val="20"/>
        </w:rPr>
        <w:t xml:space="preserve">Figure 4.5: Worker List Latency Before vs After </w:t>
      </w:r>
      <w:r>
        <w:rPr>
          <w:rFonts w:ascii="Times New Roman" w:hAnsi="Times New Roman"/>
          <w:sz w:val="20"/>
        </w:rPr>
        <w:t>Index Projection Optimization</w:t>
      </w:r>
      <w:r>
        <w:rPr>
          <w:rFonts w:ascii="Times New Roman" w:hAnsi="Times New Roman"/>
          <w:color w:val="546E7A"/>
          <w:sz w:val="19"/>
        </w:rPr>
        <w:t xml:space="preserve"> . .  </w:t>
      </w:r>
      <w:r>
        <w:rPr>
          <w:rFonts w:ascii="Times New Roman" w:hAnsi="Times New Roman"/>
          <w:b/>
          <w:sz w:val="20"/>
        </w:rPr>
        <w:t>60</w:t>
      </w:r>
    </w:p>
    <w:p w:rsidR="000F1385" w:rsidRDefault="00EF3E79">
      <w:pPr>
        <w:spacing w:before="40" w:after="40"/>
      </w:pPr>
      <w:r>
        <w:rPr>
          <w:rFonts w:ascii="Times New Roman" w:hAnsi="Times New Roman"/>
          <w:sz w:val="20"/>
        </w:rPr>
        <w:t>Figure 4.6: Test Suite Distribution Across Prototype Architectural Layers (321 Tests)</w:t>
      </w:r>
      <w:r>
        <w:rPr>
          <w:rFonts w:ascii="Times New Roman" w:hAnsi="Times New Roman"/>
          <w:color w:val="546E7A"/>
          <w:sz w:val="19"/>
        </w:rPr>
        <w:t xml:space="preserve"> . .  </w:t>
      </w:r>
      <w:r>
        <w:rPr>
          <w:rFonts w:ascii="Times New Roman" w:hAnsi="Times New Roman"/>
          <w:b/>
          <w:sz w:val="20"/>
        </w:rPr>
        <w:t>61</w:t>
      </w:r>
    </w:p>
    <w:p w:rsidR="000F1385" w:rsidRDefault="00EF3E79">
      <w:pPr>
        <w:spacing w:before="40" w:after="40"/>
      </w:pPr>
      <w:r>
        <w:rPr>
          <w:rFonts w:ascii="Times New Roman" w:hAnsi="Times New Roman"/>
          <w:sz w:val="20"/>
        </w:rPr>
        <w:t>Figure 4.7: User Interface: Primary Health Worker Consultation Intake &amp; Accept Journey</w:t>
      </w:r>
      <w:r>
        <w:rPr>
          <w:rFonts w:ascii="Times New Roman" w:hAnsi="Times New Roman"/>
          <w:color w:val="546E7A"/>
          <w:sz w:val="19"/>
        </w:rPr>
        <w:t xml:space="preserve"> . .  </w:t>
      </w:r>
      <w:r>
        <w:rPr>
          <w:rFonts w:ascii="Times New Roman" w:hAnsi="Times New Roman"/>
          <w:b/>
          <w:sz w:val="20"/>
        </w:rPr>
        <w:t>62</w:t>
      </w:r>
    </w:p>
    <w:p w:rsidR="000F1385" w:rsidRDefault="00EF3E79">
      <w:pPr>
        <w:spacing w:before="40" w:after="40"/>
      </w:pPr>
      <w:r>
        <w:rPr>
          <w:rFonts w:ascii="Times New Roman" w:hAnsi="Times New Roman"/>
          <w:sz w:val="20"/>
        </w:rPr>
        <w:t>Figure 4.8: User Interface: R</w:t>
      </w:r>
      <w:r>
        <w:rPr>
          <w:rFonts w:ascii="Times New Roman" w:hAnsi="Times New Roman"/>
          <w:sz w:val="20"/>
        </w:rPr>
        <w:t>ed-Flag Emergency Detection &amp; Blocked Direct Triage</w:t>
      </w:r>
      <w:r>
        <w:rPr>
          <w:rFonts w:ascii="Times New Roman" w:hAnsi="Times New Roman"/>
          <w:color w:val="546E7A"/>
          <w:sz w:val="19"/>
        </w:rPr>
        <w:t xml:space="preserve"> . .  </w:t>
      </w:r>
      <w:r>
        <w:rPr>
          <w:rFonts w:ascii="Times New Roman" w:hAnsi="Times New Roman"/>
          <w:b/>
          <w:sz w:val="20"/>
        </w:rPr>
        <w:t>63</w:t>
      </w:r>
    </w:p>
    <w:p w:rsidR="000F1385" w:rsidRDefault="00EF3E79">
      <w:pPr>
        <w:spacing w:before="40" w:after="40"/>
      </w:pPr>
      <w:r>
        <w:rPr>
          <w:rFonts w:ascii="Times New Roman" w:hAnsi="Times New Roman"/>
          <w:sz w:val="20"/>
        </w:rPr>
        <w:t>Figure 4.9: User Interface: Server-Side Consultation Pagination &amp; Historical Record Review</w:t>
      </w:r>
      <w:r>
        <w:rPr>
          <w:rFonts w:ascii="Times New Roman" w:hAnsi="Times New Roman"/>
          <w:color w:val="546E7A"/>
          <w:sz w:val="19"/>
        </w:rPr>
        <w:t xml:space="preserve"> . .  </w:t>
      </w:r>
      <w:r>
        <w:rPr>
          <w:rFonts w:ascii="Times New Roman" w:hAnsi="Times New Roman"/>
          <w:b/>
          <w:sz w:val="20"/>
        </w:rPr>
        <w:t>63</w:t>
      </w:r>
    </w:p>
    <w:p w:rsidR="000F1385" w:rsidRDefault="00EF3E79">
      <w:pPr>
        <w:spacing w:before="40" w:after="40"/>
      </w:pPr>
      <w:r>
        <w:rPr>
          <w:rFonts w:ascii="Times New Roman" w:hAnsi="Times New Roman"/>
          <w:sz w:val="20"/>
        </w:rPr>
        <w:t>Figure 4.10: User Interface: Fail-Closed Resilient Error State on ML Service Outage</w:t>
      </w:r>
      <w:r>
        <w:rPr>
          <w:rFonts w:ascii="Times New Roman" w:hAnsi="Times New Roman"/>
          <w:color w:val="546E7A"/>
          <w:sz w:val="19"/>
        </w:rPr>
        <w:t xml:space="preserve"> . .  </w:t>
      </w:r>
      <w:r>
        <w:rPr>
          <w:rFonts w:ascii="Times New Roman" w:hAnsi="Times New Roman"/>
          <w:b/>
          <w:sz w:val="20"/>
        </w:rPr>
        <w:t>64</w:t>
      </w:r>
    </w:p>
    <w:p w:rsidR="000F1385" w:rsidRDefault="00EF3E79">
      <w:r>
        <w:br w:type="page"/>
      </w:r>
    </w:p>
    <w:p w:rsidR="000F1385" w:rsidRDefault="00EF3E79">
      <w:pPr>
        <w:spacing w:before="360" w:after="320"/>
        <w:jc w:val="center"/>
      </w:pPr>
      <w:r>
        <w:rPr>
          <w:rFonts w:ascii="Times New Roman" w:hAnsi="Times New Roman"/>
          <w:b/>
          <w:color w:val="154360"/>
          <w:sz w:val="28"/>
          <w:u w:val="single"/>
        </w:rPr>
        <w:lastRenderedPageBreak/>
        <w:t>LIS</w:t>
      </w:r>
      <w:r>
        <w:rPr>
          <w:rFonts w:ascii="Times New Roman" w:hAnsi="Times New Roman"/>
          <w:b/>
          <w:color w:val="154360"/>
          <w:sz w:val="28"/>
          <w:u w:val="single"/>
        </w:rPr>
        <w:t>T OF TABLES</w:t>
      </w:r>
    </w:p>
    <w:p w:rsidR="000F1385" w:rsidRDefault="00EF3E79">
      <w:pPr>
        <w:spacing w:before="40" w:after="40"/>
      </w:pPr>
      <w:r>
        <w:rPr>
          <w:rFonts w:ascii="Times New Roman" w:hAnsi="Times New Roman"/>
          <w:sz w:val="20"/>
        </w:rPr>
        <w:t>Table 1.1: Comprehensive Literature Review Summary Matrix</w:t>
      </w:r>
      <w:r>
        <w:rPr>
          <w:rFonts w:ascii="Times New Roman" w:hAnsi="Times New Roman"/>
          <w:color w:val="546E7A"/>
          <w:sz w:val="19"/>
        </w:rPr>
        <w:t xml:space="preserve"> . . . . . . . . . .  </w:t>
      </w:r>
      <w:r>
        <w:rPr>
          <w:rFonts w:ascii="Times New Roman" w:hAnsi="Times New Roman"/>
          <w:b/>
          <w:sz w:val="20"/>
        </w:rPr>
        <w:t>5</w:t>
      </w:r>
    </w:p>
    <w:p w:rsidR="000F1385" w:rsidRDefault="00EF3E79">
      <w:pPr>
        <w:spacing w:before="40" w:after="40"/>
      </w:pPr>
      <w:r>
        <w:rPr>
          <w:rFonts w:ascii="Times New Roman" w:hAnsi="Times New Roman"/>
          <w:sz w:val="20"/>
        </w:rPr>
        <w:t>Table 1.2: Systematic Comparison: Clinical Concerns vs ArogyaMitra Implementations</w:t>
      </w:r>
      <w:r>
        <w:rPr>
          <w:rFonts w:ascii="Times New Roman" w:hAnsi="Times New Roman"/>
          <w:color w:val="546E7A"/>
          <w:sz w:val="19"/>
        </w:rPr>
        <w:t xml:space="preserve"> . .  </w:t>
      </w:r>
      <w:r>
        <w:rPr>
          <w:rFonts w:ascii="Times New Roman" w:hAnsi="Times New Roman"/>
          <w:b/>
          <w:sz w:val="20"/>
        </w:rPr>
        <w:t>9</w:t>
      </w:r>
    </w:p>
    <w:p w:rsidR="000F1385" w:rsidRDefault="00EF3E79">
      <w:pPr>
        <w:spacing w:before="40" w:after="40"/>
      </w:pPr>
      <w:r>
        <w:rPr>
          <w:rFonts w:ascii="Times New Roman" w:hAnsi="Times New Roman"/>
          <w:sz w:val="20"/>
        </w:rPr>
        <w:t>Table 2.1: System Functional Requirements Specification (FR-1 to FR-10)</w:t>
      </w:r>
      <w:r>
        <w:rPr>
          <w:rFonts w:ascii="Times New Roman" w:hAnsi="Times New Roman"/>
          <w:color w:val="546E7A"/>
          <w:sz w:val="19"/>
        </w:rPr>
        <w:t xml:space="preserve"> .</w:t>
      </w:r>
      <w:r>
        <w:rPr>
          <w:rFonts w:ascii="Times New Roman" w:hAnsi="Times New Roman"/>
          <w:color w:val="546E7A"/>
          <w:sz w:val="19"/>
        </w:rPr>
        <w:t xml:space="preserve"> . .  </w:t>
      </w:r>
      <w:r>
        <w:rPr>
          <w:rFonts w:ascii="Times New Roman" w:hAnsi="Times New Roman"/>
          <w:b/>
          <w:sz w:val="20"/>
        </w:rPr>
        <w:t>16</w:t>
      </w:r>
    </w:p>
    <w:p w:rsidR="000F1385" w:rsidRDefault="00EF3E79">
      <w:pPr>
        <w:spacing w:before="40" w:after="40"/>
      </w:pPr>
      <w:r>
        <w:rPr>
          <w:rFonts w:ascii="Times New Roman" w:hAnsi="Times New Roman"/>
          <w:sz w:val="20"/>
        </w:rPr>
        <w:t>Table 2.2: System Non-Functional Requirements Specification (NFR-1 to NFR-8)</w:t>
      </w:r>
      <w:r>
        <w:rPr>
          <w:rFonts w:ascii="Times New Roman" w:hAnsi="Times New Roman"/>
          <w:color w:val="546E7A"/>
          <w:sz w:val="19"/>
        </w:rPr>
        <w:t xml:space="preserve"> . .  </w:t>
      </w:r>
      <w:r>
        <w:rPr>
          <w:rFonts w:ascii="Times New Roman" w:hAnsi="Times New Roman"/>
          <w:b/>
          <w:sz w:val="20"/>
        </w:rPr>
        <w:t>19</w:t>
      </w:r>
    </w:p>
    <w:p w:rsidR="000F1385" w:rsidRDefault="00EF3E79">
      <w:pPr>
        <w:spacing w:before="40" w:after="40"/>
      </w:pPr>
      <w:r>
        <w:rPr>
          <w:rFonts w:ascii="Times New Roman" w:hAnsi="Times New Roman"/>
          <w:sz w:val="20"/>
        </w:rPr>
        <w:t>Table 2.3: STRIDE Threat Model &amp; Architectural Security Controls</w:t>
      </w:r>
      <w:r>
        <w:rPr>
          <w:rFonts w:ascii="Times New Roman" w:hAnsi="Times New Roman"/>
          <w:color w:val="546E7A"/>
          <w:sz w:val="19"/>
        </w:rPr>
        <w:t xml:space="preserve"> . . . . . . .  </w:t>
      </w:r>
      <w:r>
        <w:rPr>
          <w:rFonts w:ascii="Times New Roman" w:hAnsi="Times New Roman"/>
          <w:b/>
          <w:sz w:val="20"/>
        </w:rPr>
        <w:t>21</w:t>
      </w:r>
    </w:p>
    <w:p w:rsidR="000F1385" w:rsidRDefault="00EF3E79">
      <w:pPr>
        <w:spacing w:before="40" w:after="40"/>
      </w:pPr>
      <w:r>
        <w:rPr>
          <w:rFonts w:ascii="Times New Roman" w:hAnsi="Times New Roman"/>
          <w:sz w:val="20"/>
        </w:rPr>
        <w:t>Table 3.1: Rule-Based Emergency Red-Flag Trigger Conditions (DRAFT Status)</w:t>
      </w:r>
      <w:r>
        <w:rPr>
          <w:rFonts w:ascii="Times New Roman" w:hAnsi="Times New Roman"/>
          <w:color w:val="546E7A"/>
          <w:sz w:val="19"/>
        </w:rPr>
        <w:t xml:space="preserve"> . . </w:t>
      </w:r>
      <w:r>
        <w:rPr>
          <w:rFonts w:ascii="Times New Roman" w:hAnsi="Times New Roman"/>
          <w:color w:val="546E7A"/>
          <w:sz w:val="19"/>
        </w:rPr>
        <w:t xml:space="preserve"> </w:t>
      </w:r>
      <w:r>
        <w:rPr>
          <w:rFonts w:ascii="Times New Roman" w:hAnsi="Times New Roman"/>
          <w:b/>
          <w:sz w:val="20"/>
        </w:rPr>
        <w:t>38</w:t>
      </w:r>
    </w:p>
    <w:p w:rsidR="000F1385" w:rsidRDefault="00EF3E79">
      <w:pPr>
        <w:spacing w:before="40" w:after="40"/>
      </w:pPr>
      <w:r>
        <w:rPr>
          <w:rFonts w:ascii="Times New Roman" w:hAnsi="Times New Roman"/>
          <w:sz w:val="20"/>
        </w:rPr>
        <w:t>Table 4.1: Stratified Repeated Cross-Validation Performance Across Dropout Levels</w:t>
      </w:r>
      <w:r>
        <w:rPr>
          <w:rFonts w:ascii="Times New Roman" w:hAnsi="Times New Roman"/>
          <w:color w:val="546E7A"/>
          <w:sz w:val="19"/>
        </w:rPr>
        <w:t xml:space="preserve"> . .  </w:t>
      </w:r>
      <w:r>
        <w:rPr>
          <w:rFonts w:ascii="Times New Roman" w:hAnsi="Times New Roman"/>
          <w:b/>
          <w:sz w:val="20"/>
        </w:rPr>
        <w:t>54</w:t>
      </w:r>
    </w:p>
    <w:p w:rsidR="000F1385" w:rsidRDefault="00EF3E79">
      <w:pPr>
        <w:spacing w:before="40" w:after="40"/>
      </w:pPr>
      <w:r>
        <w:rPr>
          <w:rFonts w:ascii="Times New Roman" w:hAnsi="Times New Roman"/>
          <w:sz w:val="20"/>
        </w:rPr>
        <w:t>Table 4.2: Expected Calibration Error (ECE) and Probabilistic Evaluation</w:t>
      </w:r>
      <w:r>
        <w:rPr>
          <w:rFonts w:ascii="Times New Roman" w:hAnsi="Times New Roman"/>
          <w:color w:val="546E7A"/>
          <w:sz w:val="19"/>
        </w:rPr>
        <w:t xml:space="preserve"> . . .  </w:t>
      </w:r>
      <w:r>
        <w:rPr>
          <w:rFonts w:ascii="Times New Roman" w:hAnsi="Times New Roman"/>
          <w:b/>
          <w:sz w:val="20"/>
        </w:rPr>
        <w:t>56</w:t>
      </w:r>
    </w:p>
    <w:p w:rsidR="000F1385" w:rsidRDefault="00EF3E79">
      <w:pPr>
        <w:spacing w:before="40" w:after="40"/>
      </w:pPr>
      <w:r>
        <w:rPr>
          <w:rFonts w:ascii="Times New Roman" w:hAnsi="Times New Roman"/>
          <w:sz w:val="20"/>
        </w:rPr>
        <w:t>Table 4.3: Comprehensive Multi-Tier Load Test Performance (2,400 Requests)</w:t>
      </w:r>
      <w:r>
        <w:rPr>
          <w:rFonts w:ascii="Times New Roman" w:hAnsi="Times New Roman"/>
          <w:color w:val="546E7A"/>
          <w:sz w:val="19"/>
        </w:rPr>
        <w:t xml:space="preserve"> . .  </w:t>
      </w:r>
      <w:r>
        <w:rPr>
          <w:rFonts w:ascii="Times New Roman" w:hAnsi="Times New Roman"/>
          <w:b/>
          <w:sz w:val="20"/>
        </w:rPr>
        <w:t>58</w:t>
      </w:r>
    </w:p>
    <w:p w:rsidR="000F1385" w:rsidRDefault="00EF3E79">
      <w:pPr>
        <w:spacing w:before="40" w:after="40"/>
      </w:pPr>
      <w:r>
        <w:rPr>
          <w:rFonts w:ascii="Times New Roman" w:hAnsi="Times New Roman"/>
          <w:sz w:val="20"/>
        </w:rPr>
        <w:t>Table 4.4: Worker Consultation List Endpoint Profiling: Full Scan vs Pagination</w:t>
      </w:r>
      <w:r>
        <w:rPr>
          <w:rFonts w:ascii="Times New Roman" w:hAnsi="Times New Roman"/>
          <w:color w:val="546E7A"/>
          <w:sz w:val="19"/>
        </w:rPr>
        <w:t xml:space="preserve"> . .  </w:t>
      </w:r>
      <w:r>
        <w:rPr>
          <w:rFonts w:ascii="Times New Roman" w:hAnsi="Times New Roman"/>
          <w:b/>
          <w:sz w:val="20"/>
        </w:rPr>
        <w:t>60</w:t>
      </w:r>
    </w:p>
    <w:p w:rsidR="000F1385" w:rsidRDefault="00EF3E79">
      <w:pPr>
        <w:spacing w:before="40" w:after="40"/>
      </w:pPr>
      <w:r>
        <w:rPr>
          <w:rFonts w:ascii="Times New Roman" w:hAnsi="Times New Roman"/>
          <w:sz w:val="20"/>
        </w:rPr>
        <w:t>Table 4.5: Automated Prototype Test Suite Breakdown Across Services</w:t>
      </w:r>
      <w:r>
        <w:rPr>
          <w:rFonts w:ascii="Times New Roman" w:hAnsi="Times New Roman"/>
          <w:color w:val="546E7A"/>
          <w:sz w:val="19"/>
        </w:rPr>
        <w:t xml:space="preserve"> . . . . .  </w:t>
      </w:r>
      <w:r>
        <w:rPr>
          <w:rFonts w:ascii="Times New Roman" w:hAnsi="Times New Roman"/>
          <w:b/>
          <w:sz w:val="20"/>
        </w:rPr>
        <w:t>62</w:t>
      </w:r>
    </w:p>
    <w:p w:rsidR="000F1385" w:rsidRDefault="00EF3E79">
      <w:pPr>
        <w:spacing w:before="40" w:after="40"/>
      </w:pPr>
      <w:r>
        <w:rPr>
          <w:rFonts w:ascii="Times New Roman" w:hAnsi="Times New Roman"/>
          <w:sz w:val="20"/>
        </w:rPr>
        <w:t>Table 4.6: OWASP ZAP Dynamic Security Baseline Scan Dispositions</w:t>
      </w:r>
      <w:r>
        <w:rPr>
          <w:rFonts w:ascii="Times New Roman" w:hAnsi="Times New Roman"/>
          <w:color w:val="546E7A"/>
          <w:sz w:val="19"/>
        </w:rPr>
        <w:t xml:space="preserve"> . . . . . . </w:t>
      </w:r>
      <w:r>
        <w:rPr>
          <w:rFonts w:ascii="Times New Roman" w:hAnsi="Times New Roman"/>
          <w:color w:val="546E7A"/>
          <w:sz w:val="19"/>
        </w:rPr>
        <w:t xml:space="preserve">.  </w:t>
      </w:r>
      <w:r>
        <w:rPr>
          <w:rFonts w:ascii="Times New Roman" w:hAnsi="Times New Roman"/>
          <w:b/>
          <w:sz w:val="20"/>
        </w:rPr>
        <w:t>65</w:t>
      </w:r>
    </w:p>
    <w:p w:rsidR="000F1385" w:rsidRDefault="00EF3E79">
      <w:pPr>
        <w:spacing w:before="40" w:after="40"/>
      </w:pPr>
      <w:r>
        <w:rPr>
          <w:rFonts w:ascii="Times New Roman" w:hAnsi="Times New Roman"/>
          <w:sz w:val="20"/>
        </w:rPr>
        <w:t>Table A.1: Engineering Challenges, Root Causes, and Architectural Remediation Fixes</w:t>
      </w:r>
      <w:r>
        <w:rPr>
          <w:rFonts w:ascii="Times New Roman" w:hAnsi="Times New Roman"/>
          <w:color w:val="546E7A"/>
          <w:sz w:val="19"/>
        </w:rPr>
        <w:t xml:space="preserve"> . .  </w:t>
      </w:r>
      <w:r>
        <w:rPr>
          <w:rFonts w:ascii="Times New Roman" w:hAnsi="Times New Roman"/>
          <w:b/>
          <w:sz w:val="20"/>
        </w:rPr>
        <w:t>78</w:t>
      </w:r>
    </w:p>
    <w:p w:rsidR="000F1385" w:rsidRDefault="00EF3E79">
      <w:pPr>
        <w:spacing w:before="40" w:after="40"/>
      </w:pPr>
      <w:r>
        <w:rPr>
          <w:rFonts w:ascii="Times New Roman" w:hAnsi="Times New Roman"/>
          <w:sz w:val="20"/>
        </w:rPr>
        <w:t>Table C.1: Detailed Inventory of 321 Prototype Automated Test Cases</w:t>
      </w:r>
      <w:r>
        <w:rPr>
          <w:rFonts w:ascii="Times New Roman" w:hAnsi="Times New Roman"/>
          <w:color w:val="546E7A"/>
          <w:sz w:val="19"/>
        </w:rPr>
        <w:t xml:space="preserve"> . . . . .  </w:t>
      </w:r>
      <w:r>
        <w:rPr>
          <w:rFonts w:ascii="Times New Roman" w:hAnsi="Times New Roman"/>
          <w:b/>
          <w:sz w:val="20"/>
        </w:rPr>
        <w:t>87</w:t>
      </w:r>
    </w:p>
    <w:p w:rsidR="000F1385" w:rsidRDefault="00EF3E79">
      <w:r>
        <w:br w:type="page"/>
      </w:r>
    </w:p>
    <w:p w:rsidR="000F1385" w:rsidRDefault="00EF3E79">
      <w:pPr>
        <w:spacing w:before="480" w:after="240"/>
      </w:pPr>
      <w:r>
        <w:rPr>
          <w:rFonts w:ascii="Times New Roman" w:hAnsi="Times New Roman"/>
          <w:b/>
          <w:color w:val="154360"/>
          <w:sz w:val="32"/>
        </w:rPr>
        <w:lastRenderedPageBreak/>
        <w:t>Chapter 1: Introduction &amp; Literature Review</w:t>
      </w:r>
    </w:p>
    <w:p w:rsidR="000F1385" w:rsidRDefault="00EF3E79">
      <w:pPr>
        <w:spacing w:before="280" w:after="120"/>
      </w:pPr>
      <w:r>
        <w:rPr>
          <w:rFonts w:ascii="Times New Roman" w:hAnsi="Times New Roman"/>
          <w:b/>
          <w:color w:val="1B4F72"/>
          <w:sz w:val="27"/>
        </w:rPr>
        <w:t xml:space="preserve">1.1 Motivation &amp; Primary </w:t>
      </w:r>
      <w:r>
        <w:rPr>
          <w:rFonts w:ascii="Times New Roman" w:hAnsi="Times New Roman"/>
          <w:b/>
          <w:color w:val="1B4F72"/>
          <w:sz w:val="27"/>
        </w:rPr>
        <w:t>Healthcare Challenges in Rural India</w:t>
      </w:r>
    </w:p>
    <w:p w:rsidR="000F1385" w:rsidRDefault="00EF3E79">
      <w:pPr>
        <w:spacing w:after="120" w:line="360" w:lineRule="auto"/>
        <w:jc w:val="both"/>
      </w:pPr>
      <w:r>
        <w:rPr>
          <w:rFonts w:ascii="Times New Roman" w:hAnsi="Times New Roman"/>
          <w:color w:val="212121"/>
          <w:sz w:val="24"/>
        </w:rPr>
        <w:t>In developing nations with vast geographical dispersion and diverse socio-economic demographics, delivering equitable primary healthcare represents one of the most formidable public health challenges of the twenty-first</w:t>
      </w:r>
      <w:r>
        <w:rPr>
          <w:rFonts w:ascii="Times New Roman" w:hAnsi="Times New Roman"/>
          <w:color w:val="212121"/>
          <w:sz w:val="24"/>
        </w:rPr>
        <w:t xml:space="preserve"> century. In India, the primary healthcare pyramid rests squarely upon community-level frontline workers, primarily Accredited Social Health Activists (ASHAs) and Auxiliary Nurse Midwives (ANMs) stationed across Health and Wellness Centres (HWCs) and Sub-C</w:t>
      </w:r>
      <w:r>
        <w:rPr>
          <w:rFonts w:ascii="Times New Roman" w:hAnsi="Times New Roman"/>
          <w:color w:val="212121"/>
          <w:sz w:val="24"/>
        </w:rPr>
        <w:t>entres. These frontline workers operate under severe operational constraints: an acute scarcity of certified medical officers, high patient-to-physician ratios that frequently exceed 1:10,000 in rural districts, rudimentary diagnostic infrastructure, and s</w:t>
      </w:r>
      <w:r>
        <w:rPr>
          <w:rFonts w:ascii="Times New Roman" w:hAnsi="Times New Roman"/>
          <w:color w:val="212121"/>
          <w:sz w:val="24"/>
        </w:rPr>
        <w:t>ignificant geographic barriers that isolate peripheral villages from tertiary referral hospitals.</w:t>
      </w:r>
    </w:p>
    <w:p w:rsidR="000F1385" w:rsidRDefault="00EF3E79">
      <w:pPr>
        <w:spacing w:after="120" w:line="360" w:lineRule="auto"/>
        <w:jc w:val="both"/>
      </w:pPr>
      <w:r>
        <w:rPr>
          <w:rFonts w:ascii="Times New Roman" w:hAnsi="Times New Roman"/>
          <w:color w:val="212121"/>
          <w:sz w:val="24"/>
        </w:rPr>
        <w:t>When rural patients present with acute symptom constellations, the frontline health worker is tasked with making high-stakes triage decisions: determining whe</w:t>
      </w:r>
      <w:r>
        <w:rPr>
          <w:rFonts w:ascii="Times New Roman" w:hAnsi="Times New Roman"/>
          <w:color w:val="212121"/>
          <w:sz w:val="24"/>
        </w:rPr>
        <w:t>ther an individual can be safely managed with symptomatic outpatient care, requires scheduled primary health centre (PHC) physician evaluation, or demands immediate emergency transfer to a district hospital. Errors in this frontline triage process carry se</w:t>
      </w:r>
      <w:r>
        <w:rPr>
          <w:rFonts w:ascii="Times New Roman" w:hAnsi="Times New Roman"/>
          <w:color w:val="212121"/>
          <w:sz w:val="24"/>
        </w:rPr>
        <w:t>vere clinical repercussions. Under-triage of acute conditions—such as atypical myocardial infarction presenting as epigastric discomfort, or acute pediatric dehydration—leads to preventable morbidity and mortality. Conversely, systematic over-triage conges</w:t>
      </w:r>
      <w:r>
        <w:rPr>
          <w:rFonts w:ascii="Times New Roman" w:hAnsi="Times New Roman"/>
          <w:color w:val="212121"/>
          <w:sz w:val="24"/>
        </w:rPr>
        <w:t>ts already overburdened secondary and tertiary facilities, imposing catastrophic out-of-pocket travel and consultation expenditures on impoverished rural households.</w:t>
      </w:r>
    </w:p>
    <w:p w:rsidR="000F1385" w:rsidRDefault="00EF3E79">
      <w:pPr>
        <w:spacing w:after="120" w:line="360" w:lineRule="auto"/>
        <w:jc w:val="both"/>
      </w:pPr>
      <w:r>
        <w:rPr>
          <w:rFonts w:ascii="Times New Roman" w:hAnsi="Times New Roman"/>
          <w:color w:val="212121"/>
          <w:sz w:val="24"/>
        </w:rPr>
        <w:t>While digital health initiatives under the Ayushman Bharat Digital Mission (ABDM) have acc</w:t>
      </w:r>
      <w:r>
        <w:rPr>
          <w:rFonts w:ascii="Times New Roman" w:hAnsi="Times New Roman"/>
          <w:color w:val="212121"/>
          <w:sz w:val="24"/>
        </w:rPr>
        <w:t>elerated electronic health record adoption, decision support tools for community health workers remain profoundly deficient. Commercial symptom checkers and diagnostic mobile applications frequently fail in this operating environment. They are typically en</w:t>
      </w:r>
      <w:r>
        <w:rPr>
          <w:rFonts w:ascii="Times New Roman" w:hAnsi="Times New Roman"/>
          <w:color w:val="212121"/>
          <w:sz w:val="24"/>
        </w:rPr>
        <w:t>gineered as monolithic, black-box consumer tools that demand broadband connectivity, assume high digital literacy, fail to provide interpretable clinical rationales, and—critically—lack fail-closed safety architectures. When an underlying algorithmic servi</w:t>
      </w:r>
      <w:r>
        <w:rPr>
          <w:rFonts w:ascii="Times New Roman" w:hAnsi="Times New Roman"/>
          <w:color w:val="212121"/>
          <w:sz w:val="24"/>
        </w:rPr>
        <w:t xml:space="preserve">ce experiences network </w:t>
      </w:r>
      <w:r>
        <w:rPr>
          <w:rFonts w:ascii="Times New Roman" w:hAnsi="Times New Roman"/>
          <w:color w:val="212121"/>
          <w:sz w:val="24"/>
        </w:rPr>
        <w:lastRenderedPageBreak/>
        <w:t>timeout or server failure, black-box systems frequently crash or return silent nulls, leaving frontline workers without guidance at critical junctures.</w:t>
      </w:r>
    </w:p>
    <w:p w:rsidR="000F1385" w:rsidRDefault="00EF3E79">
      <w:pPr>
        <w:spacing w:after="120" w:line="360" w:lineRule="auto"/>
        <w:jc w:val="both"/>
      </w:pPr>
      <w:r>
        <w:rPr>
          <w:rFonts w:ascii="Times New Roman" w:hAnsi="Times New Roman"/>
          <w:color w:val="212121"/>
          <w:sz w:val="24"/>
        </w:rPr>
        <w:t>These systemic challenges establish an urgent national imperative: the engineerin</w:t>
      </w:r>
      <w:r>
        <w:rPr>
          <w:rFonts w:ascii="Times New Roman" w:hAnsi="Times New Roman"/>
          <w:color w:val="212121"/>
          <w:sz w:val="24"/>
        </w:rPr>
        <w:t>g of a secure, transparent, and fail-closed AI-assisted clinical decision support system specifically tailored for community healthcare workers. Such a system must not attempt to replace physician diagnosis; rather, it must operate as an auditable cognitiv</w:t>
      </w:r>
      <w:r>
        <w:rPr>
          <w:rFonts w:ascii="Times New Roman" w:hAnsi="Times New Roman"/>
          <w:color w:val="212121"/>
          <w:sz w:val="24"/>
        </w:rPr>
        <w:t>e assistant that provides probabilistic differential estimations, enforces deterministic safety overrides for life-threatening emergencies, operates with strict bounded latency, and preserves patient privacy through verifiable defense-in-depth security.</w:t>
      </w:r>
    </w:p>
    <w:p w:rsidR="000F1385" w:rsidRDefault="00EF3E79">
      <w:pPr>
        <w:spacing w:before="280" w:after="120"/>
      </w:pPr>
      <w:r>
        <w:rPr>
          <w:rFonts w:ascii="Times New Roman" w:hAnsi="Times New Roman"/>
          <w:b/>
          <w:color w:val="1B4F72"/>
          <w:sz w:val="27"/>
        </w:rPr>
        <w:t>1.</w:t>
      </w:r>
      <w:r>
        <w:rPr>
          <w:rFonts w:ascii="Times New Roman" w:hAnsi="Times New Roman"/>
          <w:b/>
          <w:color w:val="1B4F72"/>
          <w:sz w:val="27"/>
        </w:rPr>
        <w:t>2 Comprehensive Literature Review</w:t>
      </w:r>
    </w:p>
    <w:p w:rsidR="000F1385" w:rsidRDefault="00EF3E79">
      <w:pPr>
        <w:spacing w:before="200" w:after="80"/>
      </w:pPr>
      <w:r>
        <w:rPr>
          <w:rFonts w:ascii="Times New Roman" w:hAnsi="Times New Roman"/>
          <w:b/>
          <w:i/>
          <w:color w:val="212121"/>
          <w:sz w:val="24"/>
        </w:rPr>
        <w:t>1.2.1 Review of Symptom Checkers, Clinical Decision Support Systems, and Calibration in Medicine</w:t>
      </w:r>
    </w:p>
    <w:p w:rsidR="000F1385" w:rsidRDefault="00EF3E79">
      <w:pPr>
        <w:spacing w:after="120" w:line="360" w:lineRule="auto"/>
        <w:jc w:val="both"/>
      </w:pPr>
      <w:r>
        <w:rPr>
          <w:rFonts w:ascii="Times New Roman" w:hAnsi="Times New Roman"/>
          <w:color w:val="212121"/>
          <w:sz w:val="24"/>
        </w:rPr>
        <w:t>The academic literature evaluating algorithmic decision support and symptom checking tools reveals deep structural contradict</w:t>
      </w:r>
      <w:r>
        <w:rPr>
          <w:rFonts w:ascii="Times New Roman" w:hAnsi="Times New Roman"/>
          <w:color w:val="212121"/>
          <w:sz w:val="24"/>
        </w:rPr>
        <w:t>ions between theoretical predictive accuracy and real-world clinical safety. A cornerstone analysis by Wallace et al. (npj Digital Medicine, 2022) [W] conducted a rigorous systematic review of 10 clinical studies encompassing 48 distinct digital symptom ch</w:t>
      </w:r>
      <w:r>
        <w:rPr>
          <w:rFonts w:ascii="Times New Roman" w:hAnsi="Times New Roman"/>
          <w:color w:val="212121"/>
          <w:sz w:val="24"/>
        </w:rPr>
        <w:t>eckers using the standardized Quality Assessment of Diagnostic Accuracy Studies (QUADAS-2) methodology. Their systematic findings provide crucial empirical benchmarks for digital health engineering:</w:t>
      </w:r>
    </w:p>
    <w:p w:rsidR="000F1385" w:rsidRDefault="00EF3E79">
      <w:pPr>
        <w:spacing w:after="80" w:line="360" w:lineRule="auto"/>
        <w:jc w:val="both"/>
      </w:pPr>
      <w:r>
        <w:rPr>
          <w:rFonts w:ascii="Times New Roman" w:hAnsi="Times New Roman"/>
          <w:color w:val="212121"/>
          <w:sz w:val="24"/>
        </w:rPr>
        <w:t>1. Extremely Low Diagnostic Accuracy: Across all evaluate</w:t>
      </w:r>
      <w:r>
        <w:rPr>
          <w:rFonts w:ascii="Times New Roman" w:hAnsi="Times New Roman"/>
          <w:color w:val="212121"/>
          <w:sz w:val="24"/>
        </w:rPr>
        <w:t>d platforms, primary diagnostic accuracy was strikingly poor, ranging between 19.0% and 37.9%. Even when evaluating top-3 or top-5 differential accuracy, symptom checkers consistently failed to match the diagnostic precision of human general practitioners.</w:t>
      </w:r>
    </w:p>
    <w:p w:rsidR="000F1385" w:rsidRDefault="00EF3E79">
      <w:pPr>
        <w:spacing w:after="80" w:line="360" w:lineRule="auto"/>
        <w:jc w:val="both"/>
      </w:pPr>
      <w:r>
        <w:rPr>
          <w:rFonts w:ascii="Times New Roman" w:hAnsi="Times New Roman"/>
          <w:color w:val="212121"/>
          <w:sz w:val="24"/>
        </w:rPr>
        <w:t>2. Modest Triage Accuracy with Wide Variance: Triage decision accuracy (determining appropriate level of urgency) performed somewhat better, ranging from 48.8% to 90.1%, but exhibited extreme, unpredictable variability across different commercial checkers</w:t>
      </w:r>
      <w:r>
        <w:rPr>
          <w:rFonts w:ascii="Times New Roman" w:hAnsi="Times New Roman"/>
          <w:color w:val="212121"/>
          <w:sz w:val="24"/>
        </w:rPr>
        <w:t xml:space="preserve"> evaluating identical clinical vignettes.</w:t>
      </w:r>
    </w:p>
    <w:p w:rsidR="000F1385" w:rsidRDefault="00EF3E79">
      <w:pPr>
        <w:spacing w:after="80" w:line="360" w:lineRule="auto"/>
        <w:jc w:val="both"/>
      </w:pPr>
      <w:r>
        <w:rPr>
          <w:rFonts w:ascii="Times New Roman" w:hAnsi="Times New Roman"/>
          <w:color w:val="212121"/>
          <w:sz w:val="24"/>
        </w:rPr>
        <w:t xml:space="preserve">3. Swiss-Cheese Model of Safety Hazards: Wallace et al. established that symptom checkers present severe patient safety hazards through an alignment of systemic flaws reminiscent of </w:t>
      </w:r>
      <w:r>
        <w:rPr>
          <w:rFonts w:ascii="Times New Roman" w:hAnsi="Times New Roman"/>
          <w:color w:val="212121"/>
          <w:sz w:val="24"/>
        </w:rPr>
        <w:lastRenderedPageBreak/>
        <w:t>Reason's Swiss-cheese failure mo</w:t>
      </w:r>
      <w:r>
        <w:rPr>
          <w:rFonts w:ascii="Times New Roman" w:hAnsi="Times New Roman"/>
          <w:color w:val="212121"/>
          <w:sz w:val="24"/>
        </w:rPr>
        <w:t>del. Specifically, an incorrect primary diagnosis frequently propagated downstream into dangerous under-triage advice, directing emergency patients toward delayed self-care.</w:t>
      </w:r>
    </w:p>
    <w:p w:rsidR="000F1385" w:rsidRDefault="00EF3E79">
      <w:pPr>
        <w:spacing w:line="360" w:lineRule="auto"/>
        <w:jc w:val="both"/>
      </w:pPr>
      <w:r>
        <w:rPr>
          <w:rFonts w:ascii="Times New Roman" w:hAnsi="Times New Roman"/>
          <w:color w:val="212121"/>
          <w:sz w:val="24"/>
        </w:rPr>
        <w:t>4. Call for Regulation and Verifiable Oversight: The authors concluded with an une</w:t>
      </w:r>
      <w:r>
        <w:rPr>
          <w:rFonts w:ascii="Times New Roman" w:hAnsi="Times New Roman"/>
          <w:color w:val="212121"/>
          <w:sz w:val="24"/>
        </w:rPr>
        <w:t>quivocal call for independent clinical validation, transparent algorithmic auditing, and strict medical device regulation, noting that the vast majority of commercial tools operate without published validation data.</w:t>
      </w:r>
    </w:p>
    <w:p w:rsidR="000F1385" w:rsidRDefault="00EF3E79">
      <w:pPr>
        <w:spacing w:after="120" w:line="360" w:lineRule="auto"/>
        <w:jc w:val="both"/>
      </w:pPr>
      <w:r>
        <w:rPr>
          <w:rFonts w:ascii="Times New Roman" w:hAnsi="Times New Roman"/>
          <w:color w:val="212121"/>
          <w:sz w:val="24"/>
        </w:rPr>
        <w:t>Complementing clinical triage evaluation</w:t>
      </w:r>
      <w:r>
        <w:rPr>
          <w:rFonts w:ascii="Times New Roman" w:hAnsi="Times New Roman"/>
          <w:color w:val="212121"/>
          <w:sz w:val="24"/>
        </w:rPr>
        <w:t>, the theoretical foundations of probabilistic classifier calibration were fundamentally established by Niculescu-Mizil &amp; Caruana (ICML, 2005) [N]. In their landmark empirical investigation across 10 supervised learning families, the authors demonstrated t</w:t>
      </w:r>
      <w:r>
        <w:rPr>
          <w:rFonts w:ascii="Times New Roman" w:hAnsi="Times New Roman"/>
          <w:color w:val="212121"/>
          <w:sz w:val="24"/>
        </w:rPr>
        <w:t>hat classification algorithms optimize class separation boundaries rather than true posterior probabilities. Specifically, they proved that:</w:t>
      </w:r>
    </w:p>
    <w:p w:rsidR="000F1385" w:rsidRDefault="00EF3E79">
      <w:pPr>
        <w:spacing w:after="80" w:line="360" w:lineRule="auto"/>
        <w:jc w:val="both"/>
      </w:pPr>
      <w:r>
        <w:rPr>
          <w:rFonts w:ascii="Times New Roman" w:hAnsi="Times New Roman"/>
          <w:color w:val="212121"/>
          <w:sz w:val="24"/>
        </w:rPr>
        <w:t xml:space="preserve">1. Distortion in Naive Bayes Estimators: Naive Bayes models push predicted posterior probabilities asymptotically </w:t>
      </w:r>
      <w:r>
        <w:rPr>
          <w:rFonts w:ascii="Times New Roman" w:hAnsi="Times New Roman"/>
          <w:color w:val="212121"/>
          <w:sz w:val="24"/>
        </w:rPr>
        <w:t>toward the extremes of 0 and 1. This occurs because the conditional feature independence assumption multiplies marginal likelihoods, causing redundant or correlated evidence to artificially inflate the posterior log-odds.</w:t>
      </w:r>
    </w:p>
    <w:p w:rsidR="000F1385" w:rsidRDefault="00EF3E79">
      <w:pPr>
        <w:spacing w:line="360" w:lineRule="auto"/>
        <w:jc w:val="both"/>
      </w:pPr>
      <w:r>
        <w:rPr>
          <w:rFonts w:ascii="Times New Roman" w:hAnsi="Times New Roman"/>
          <w:color w:val="212121"/>
          <w:sz w:val="24"/>
        </w:rPr>
        <w:t>2. Data Scarcity and Calibration O</w:t>
      </w:r>
      <w:r>
        <w:rPr>
          <w:rFonts w:ascii="Times New Roman" w:hAnsi="Times New Roman"/>
          <w:color w:val="212121"/>
          <w:sz w:val="24"/>
        </w:rPr>
        <w:t xml:space="preserve">verfitting: Post-hoc calibration methods—such as Platt scaling (sigmoid fitting) and Isotonic regression—require substantial, independent validation cohorts. On small or sparse medical datasets, Isotonic regression overfits aggressively by memorizing rank </w:t>
      </w:r>
      <w:r>
        <w:rPr>
          <w:rFonts w:ascii="Times New Roman" w:hAnsi="Times New Roman"/>
          <w:color w:val="212121"/>
          <w:sz w:val="24"/>
        </w:rPr>
        <w:t>orderings, while Platt scaling distorts well-separated likelihoods.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[Probabilistic Calibration Note] </w:t>
            </w:r>
            <w:r>
              <w:rPr>
                <w:rFonts w:ascii="Times New Roman" w:hAnsi="Times New Roman"/>
                <w:i/>
                <w:color w:val="212121"/>
                <w:sz w:val="21"/>
              </w:rPr>
              <w:t>Theoretical Insight from Niculescu-Mizil &amp; Caruana (2005): Naive Bayes models produce well-ranked decision margins under zero-one loss (Domingos &amp; Pazzani,</w:t>
            </w:r>
            <w:r>
              <w:rPr>
                <w:rFonts w:ascii="Times New Roman" w:hAnsi="Times New Roman"/>
                <w:i/>
                <w:color w:val="212121"/>
                <w:sz w:val="21"/>
              </w:rPr>
              <w:t xml:space="preserve"> 1997) but generate uncalibrated posterior probabilities that cannot be interpreted as true clinical disease likelihoods without substantial independent calibration data.</w:t>
            </w:r>
          </w:p>
        </w:tc>
      </w:tr>
    </w:tbl>
    <w:p w:rsidR="000F1385" w:rsidRDefault="000F1385">
      <w:pPr>
        <w:spacing w:after="80"/>
      </w:pPr>
    </w:p>
    <w:p w:rsidR="000F1385" w:rsidRDefault="00EF3E79">
      <w:pPr>
        <w:spacing w:after="120" w:line="360" w:lineRule="auto"/>
        <w:jc w:val="both"/>
      </w:pPr>
      <w:r>
        <w:rPr>
          <w:rFonts w:ascii="Times New Roman" w:hAnsi="Times New Roman"/>
          <w:color w:val="212121"/>
          <w:sz w:val="24"/>
        </w:rPr>
        <w:t>Table 1.1 synthesizes 10 seminal contributions across clinical symptom checking, Ba</w:t>
      </w:r>
      <w:r>
        <w:rPr>
          <w:rFonts w:ascii="Times New Roman" w:hAnsi="Times New Roman"/>
          <w:color w:val="212121"/>
          <w:sz w:val="24"/>
        </w:rPr>
        <w:t>yesian theory, machine learning interpretability, natural language generation safety, and cryptographic security that directly informed the architecture of ArogyaMitra.</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959"/>
        <w:gridCol w:w="1477"/>
        <w:gridCol w:w="3007"/>
        <w:gridCol w:w="2737"/>
      </w:tblGrid>
      <w:tr w:rsidR="000F1385">
        <w:trPr>
          <w:jc w:val="center"/>
        </w:trPr>
        <w:tc>
          <w:tcPr>
            <w:tcW w:w="2160" w:type="dxa"/>
            <w:shd w:val="clear" w:color="auto" w:fill="154360"/>
            <w:tcMar>
              <w:top w:w="120" w:type="dxa"/>
              <w:left w:w="100" w:type="dxa"/>
              <w:bottom w:w="120" w:type="dxa"/>
              <w:right w:w="100" w:type="dxa"/>
            </w:tcMar>
          </w:tcPr>
          <w:p w:rsidR="000F1385" w:rsidRDefault="00EF3E79">
            <w:pPr>
              <w:jc w:val="center"/>
            </w:pPr>
            <w:r>
              <w:rPr>
                <w:rFonts w:ascii="Times New Roman" w:hAnsi="Times New Roman"/>
                <w:b/>
                <w:color w:val="FFFFFF"/>
                <w:sz w:val="19"/>
              </w:rPr>
              <w:t>Author &amp; Year</w:t>
            </w:r>
          </w:p>
        </w:tc>
        <w:tc>
          <w:tcPr>
            <w:tcW w:w="1584" w:type="dxa"/>
            <w:shd w:val="clear" w:color="auto" w:fill="154360"/>
            <w:tcMar>
              <w:top w:w="120" w:type="dxa"/>
              <w:left w:w="100" w:type="dxa"/>
              <w:bottom w:w="120" w:type="dxa"/>
              <w:right w:w="100" w:type="dxa"/>
            </w:tcMar>
          </w:tcPr>
          <w:p w:rsidR="000F1385" w:rsidRDefault="00EF3E79">
            <w:pPr>
              <w:jc w:val="center"/>
            </w:pPr>
            <w:r>
              <w:rPr>
                <w:rFonts w:ascii="Times New Roman" w:hAnsi="Times New Roman"/>
                <w:b/>
                <w:color w:val="FFFFFF"/>
                <w:sz w:val="19"/>
              </w:rPr>
              <w:t>Venue</w:t>
            </w:r>
          </w:p>
        </w:tc>
        <w:tc>
          <w:tcPr>
            <w:tcW w:w="3312" w:type="dxa"/>
            <w:shd w:val="clear" w:color="auto" w:fill="154360"/>
            <w:tcMar>
              <w:top w:w="120" w:type="dxa"/>
              <w:left w:w="100" w:type="dxa"/>
              <w:bottom w:w="120" w:type="dxa"/>
              <w:right w:w="100" w:type="dxa"/>
            </w:tcMar>
          </w:tcPr>
          <w:p w:rsidR="000F1385" w:rsidRDefault="00EF3E79">
            <w:pPr>
              <w:jc w:val="center"/>
            </w:pPr>
            <w:r>
              <w:rPr>
                <w:rFonts w:ascii="Times New Roman" w:hAnsi="Times New Roman"/>
                <w:b/>
                <w:color w:val="FFFFFF"/>
                <w:sz w:val="19"/>
              </w:rPr>
              <w:t>Methodological Summary</w:t>
            </w:r>
          </w:p>
        </w:tc>
        <w:tc>
          <w:tcPr>
            <w:tcW w:w="3024" w:type="dxa"/>
            <w:shd w:val="clear" w:color="auto" w:fill="154360"/>
            <w:tcMar>
              <w:top w:w="120" w:type="dxa"/>
              <w:left w:w="100" w:type="dxa"/>
              <w:bottom w:w="120" w:type="dxa"/>
              <w:right w:w="100" w:type="dxa"/>
            </w:tcMar>
          </w:tcPr>
          <w:p w:rsidR="000F1385" w:rsidRDefault="00EF3E79">
            <w:pPr>
              <w:jc w:val="center"/>
            </w:pPr>
            <w:r>
              <w:rPr>
                <w:rFonts w:ascii="Times New Roman" w:hAnsi="Times New Roman"/>
                <w:b/>
                <w:color w:val="FFFFFF"/>
                <w:sz w:val="19"/>
              </w:rPr>
              <w:t>Relevance to ArogyaMitra</w:t>
            </w:r>
          </w:p>
        </w:tc>
      </w:tr>
      <w:tr w:rsidR="000F1385">
        <w:trPr>
          <w:jc w:val="center"/>
        </w:trPr>
        <w:tc>
          <w:tcPr>
            <w:tcW w:w="2160" w:type="dxa"/>
            <w:tcMar>
              <w:top w:w="80" w:type="dxa"/>
              <w:left w:w="90" w:type="dxa"/>
              <w:bottom w:w="80" w:type="dxa"/>
              <w:right w:w="90" w:type="dxa"/>
            </w:tcMar>
          </w:tcPr>
          <w:p w:rsidR="000F1385" w:rsidRDefault="00EF3E79">
            <w:r>
              <w:rPr>
                <w:rFonts w:ascii="Times New Roman" w:hAnsi="Times New Roman"/>
                <w:b/>
                <w:sz w:val="17"/>
              </w:rPr>
              <w:lastRenderedPageBreak/>
              <w:t xml:space="preserve">Wallace et al. </w:t>
            </w:r>
            <w:r>
              <w:rPr>
                <w:rFonts w:ascii="Times New Roman" w:hAnsi="Times New Roman"/>
                <w:b/>
                <w:sz w:val="17"/>
              </w:rPr>
              <w:t>(2022) [W]</w:t>
            </w:r>
          </w:p>
        </w:tc>
        <w:tc>
          <w:tcPr>
            <w:tcW w:w="1584" w:type="dxa"/>
            <w:tcMar>
              <w:top w:w="80" w:type="dxa"/>
              <w:left w:w="90" w:type="dxa"/>
              <w:bottom w:w="80" w:type="dxa"/>
              <w:right w:w="90" w:type="dxa"/>
            </w:tcMar>
          </w:tcPr>
          <w:p w:rsidR="000F1385" w:rsidRDefault="00EF3E79">
            <w:r>
              <w:rPr>
                <w:rFonts w:ascii="Times New Roman" w:hAnsi="Times New Roman"/>
                <w:i/>
                <w:sz w:val="17"/>
              </w:rPr>
              <w:t>npj Digital Medicine</w:t>
            </w:r>
          </w:p>
        </w:tc>
        <w:tc>
          <w:tcPr>
            <w:tcW w:w="3312" w:type="dxa"/>
            <w:tcMar>
              <w:top w:w="80" w:type="dxa"/>
              <w:left w:w="90" w:type="dxa"/>
              <w:bottom w:w="80" w:type="dxa"/>
              <w:right w:w="90" w:type="dxa"/>
            </w:tcMar>
          </w:tcPr>
          <w:p w:rsidR="000F1385" w:rsidRDefault="00EF3E79">
            <w:r>
              <w:rPr>
                <w:rFonts w:ascii="Times New Roman" w:hAnsi="Times New Roman"/>
                <w:sz w:val="17"/>
              </w:rPr>
              <w:t>Systematic review of 10 studies evaluating 48 digital symptom checkers with QUADAS-2 quality assessment.</w:t>
            </w:r>
          </w:p>
        </w:tc>
        <w:tc>
          <w:tcPr>
            <w:tcW w:w="3024" w:type="dxa"/>
            <w:tcMar>
              <w:top w:w="80" w:type="dxa"/>
              <w:left w:w="90" w:type="dxa"/>
              <w:bottom w:w="80" w:type="dxa"/>
              <w:right w:w="90" w:type="dxa"/>
            </w:tcMar>
          </w:tcPr>
          <w:p w:rsidR="000F1385" w:rsidRDefault="00EF3E79">
            <w:r>
              <w:rPr>
                <w:rFonts w:ascii="Times New Roman" w:hAnsi="Times New Roman"/>
                <w:sz w:val="17"/>
              </w:rPr>
              <w:t>Directly motivates our decision to position the system as clinical decision support rather than diagnosis, our red-flag</w:t>
            </w:r>
            <w:r>
              <w:rPr>
                <w:rFonts w:ascii="Times New Roman" w:hAnsi="Times New Roman"/>
                <w:sz w:val="17"/>
              </w:rPr>
              <w:t xml:space="preserve"> screening layer, and fail-closed architecture.</w:t>
            </w:r>
          </w:p>
        </w:tc>
      </w:tr>
      <w:tr w:rsidR="000F1385">
        <w:trPr>
          <w:jc w:val="center"/>
        </w:trPr>
        <w:tc>
          <w:tcPr>
            <w:tcW w:w="2160" w:type="dxa"/>
            <w:shd w:val="clear" w:color="auto" w:fill="F4F6F7"/>
            <w:tcMar>
              <w:top w:w="80" w:type="dxa"/>
              <w:left w:w="90" w:type="dxa"/>
              <w:bottom w:w="80" w:type="dxa"/>
              <w:right w:w="90" w:type="dxa"/>
            </w:tcMar>
          </w:tcPr>
          <w:p w:rsidR="000F1385" w:rsidRDefault="00EF3E79">
            <w:r>
              <w:rPr>
                <w:rFonts w:ascii="Times New Roman" w:hAnsi="Times New Roman"/>
                <w:b/>
                <w:sz w:val="17"/>
              </w:rPr>
              <w:t>Niculescu-Mizil &amp; Caruana (2005) [N]</w:t>
            </w:r>
          </w:p>
        </w:tc>
        <w:tc>
          <w:tcPr>
            <w:tcW w:w="1584" w:type="dxa"/>
            <w:shd w:val="clear" w:color="auto" w:fill="F4F6F7"/>
            <w:tcMar>
              <w:top w:w="80" w:type="dxa"/>
              <w:left w:w="90" w:type="dxa"/>
              <w:bottom w:w="80" w:type="dxa"/>
              <w:right w:w="90" w:type="dxa"/>
            </w:tcMar>
          </w:tcPr>
          <w:p w:rsidR="000F1385" w:rsidRDefault="00EF3E79">
            <w:r>
              <w:rPr>
                <w:rFonts w:ascii="Times New Roman" w:hAnsi="Times New Roman"/>
                <w:i/>
                <w:sz w:val="17"/>
              </w:rPr>
              <w:t>Proc. ICML</w:t>
            </w:r>
          </w:p>
        </w:tc>
        <w:tc>
          <w:tcPr>
            <w:tcW w:w="3312" w:type="dxa"/>
            <w:shd w:val="clear" w:color="auto" w:fill="F4F6F7"/>
            <w:tcMar>
              <w:top w:w="80" w:type="dxa"/>
              <w:left w:w="90" w:type="dxa"/>
              <w:bottom w:w="80" w:type="dxa"/>
              <w:right w:w="90" w:type="dxa"/>
            </w:tcMar>
          </w:tcPr>
          <w:p w:rsidR="000F1385" w:rsidRDefault="00EF3E79">
            <w:r>
              <w:rPr>
                <w:rFonts w:ascii="Times New Roman" w:hAnsi="Times New Roman"/>
                <w:sz w:val="17"/>
              </w:rPr>
              <w:t>Empirical study of probability calibration across 10 supervised learning algorithms using Platt scaling and isotonic regression.</w:t>
            </w:r>
          </w:p>
        </w:tc>
        <w:tc>
          <w:tcPr>
            <w:tcW w:w="3024" w:type="dxa"/>
            <w:shd w:val="clear" w:color="auto" w:fill="F4F6F7"/>
            <w:tcMar>
              <w:top w:w="80" w:type="dxa"/>
              <w:left w:w="90" w:type="dxa"/>
              <w:bottom w:w="80" w:type="dxa"/>
              <w:right w:w="90" w:type="dxa"/>
            </w:tcMar>
          </w:tcPr>
          <w:p w:rsidR="000F1385" w:rsidRDefault="00EF3E79">
            <w:r>
              <w:rPr>
                <w:rFonts w:ascii="Times New Roman" w:hAnsi="Times New Roman"/>
                <w:sz w:val="17"/>
              </w:rPr>
              <w:t xml:space="preserve">Explains why our BernoulliNB </w:t>
            </w:r>
            <w:r>
              <w:rPr>
                <w:rFonts w:ascii="Times New Roman" w:hAnsi="Times New Roman"/>
                <w:sz w:val="17"/>
              </w:rPr>
              <w:t>model predicts extreme probabilities, why Platt scaling worsened log loss (0.0061 to 0.1643) on 304 rows, and why UI labels confidence as an estimate.</w:t>
            </w:r>
          </w:p>
        </w:tc>
      </w:tr>
      <w:tr w:rsidR="000F1385">
        <w:trPr>
          <w:jc w:val="center"/>
        </w:trPr>
        <w:tc>
          <w:tcPr>
            <w:tcW w:w="2160" w:type="dxa"/>
            <w:tcMar>
              <w:top w:w="80" w:type="dxa"/>
              <w:left w:w="90" w:type="dxa"/>
              <w:bottom w:w="80" w:type="dxa"/>
              <w:right w:w="90" w:type="dxa"/>
            </w:tcMar>
          </w:tcPr>
          <w:p w:rsidR="000F1385" w:rsidRDefault="00EF3E79">
            <w:r>
              <w:rPr>
                <w:rFonts w:ascii="Times New Roman" w:hAnsi="Times New Roman"/>
                <w:b/>
                <w:sz w:val="17"/>
              </w:rPr>
              <w:t>Domingos &amp; Pazzani (1997)</w:t>
            </w:r>
          </w:p>
        </w:tc>
        <w:tc>
          <w:tcPr>
            <w:tcW w:w="1584" w:type="dxa"/>
            <w:tcMar>
              <w:top w:w="80" w:type="dxa"/>
              <w:left w:w="90" w:type="dxa"/>
              <w:bottom w:w="80" w:type="dxa"/>
              <w:right w:w="90" w:type="dxa"/>
            </w:tcMar>
          </w:tcPr>
          <w:p w:rsidR="000F1385" w:rsidRDefault="00EF3E79">
            <w:r>
              <w:rPr>
                <w:rFonts w:ascii="Times New Roman" w:hAnsi="Times New Roman"/>
                <w:i/>
                <w:sz w:val="17"/>
              </w:rPr>
              <w:t>Machine Learning</w:t>
            </w:r>
          </w:p>
        </w:tc>
        <w:tc>
          <w:tcPr>
            <w:tcW w:w="3312" w:type="dxa"/>
            <w:tcMar>
              <w:top w:w="80" w:type="dxa"/>
              <w:left w:w="90" w:type="dxa"/>
              <w:bottom w:w="80" w:type="dxa"/>
              <w:right w:w="90" w:type="dxa"/>
            </w:tcMar>
          </w:tcPr>
          <w:p w:rsidR="000F1385" w:rsidRDefault="00EF3E79">
            <w:r>
              <w:rPr>
                <w:rFonts w:ascii="Times New Roman" w:hAnsi="Times New Roman"/>
                <w:sz w:val="17"/>
              </w:rPr>
              <w:t xml:space="preserve">Theoretical and empirical analysis of Naive Bayes optimality </w:t>
            </w:r>
            <w:r>
              <w:rPr>
                <w:rFonts w:ascii="Times New Roman" w:hAnsi="Times New Roman"/>
                <w:sz w:val="17"/>
              </w:rPr>
              <w:t>under zero-one loss.</w:t>
            </w:r>
          </w:p>
        </w:tc>
        <w:tc>
          <w:tcPr>
            <w:tcW w:w="3024" w:type="dxa"/>
            <w:tcMar>
              <w:top w:w="80" w:type="dxa"/>
              <w:left w:w="90" w:type="dxa"/>
              <w:bottom w:w="80" w:type="dxa"/>
              <w:right w:w="90" w:type="dxa"/>
            </w:tcMar>
          </w:tcPr>
          <w:p w:rsidR="000F1385" w:rsidRDefault="00EF3E79">
            <w:r>
              <w:rPr>
                <w:rFonts w:ascii="Times New Roman" w:hAnsi="Times New Roman"/>
                <w:sz w:val="17"/>
              </w:rPr>
              <w:t>Justifies deploying Bernoulli Naive Bayes for discrete symptom triage despite correlated medical presentations.</w:t>
            </w:r>
          </w:p>
        </w:tc>
      </w:tr>
      <w:tr w:rsidR="000F1385">
        <w:trPr>
          <w:jc w:val="center"/>
        </w:trPr>
        <w:tc>
          <w:tcPr>
            <w:tcW w:w="2160" w:type="dxa"/>
            <w:shd w:val="clear" w:color="auto" w:fill="F4F6F7"/>
            <w:tcMar>
              <w:top w:w="80" w:type="dxa"/>
              <w:left w:w="90" w:type="dxa"/>
              <w:bottom w:w="80" w:type="dxa"/>
              <w:right w:w="90" w:type="dxa"/>
            </w:tcMar>
          </w:tcPr>
          <w:p w:rsidR="000F1385" w:rsidRDefault="00EF3E79">
            <w:r>
              <w:rPr>
                <w:rFonts w:ascii="Times New Roman" w:hAnsi="Times New Roman"/>
                <w:b/>
                <w:sz w:val="17"/>
              </w:rPr>
              <w:t>Ke et al. (2017)</w:t>
            </w:r>
          </w:p>
        </w:tc>
        <w:tc>
          <w:tcPr>
            <w:tcW w:w="1584" w:type="dxa"/>
            <w:shd w:val="clear" w:color="auto" w:fill="F4F6F7"/>
            <w:tcMar>
              <w:top w:w="80" w:type="dxa"/>
              <w:left w:w="90" w:type="dxa"/>
              <w:bottom w:w="80" w:type="dxa"/>
              <w:right w:w="90" w:type="dxa"/>
            </w:tcMar>
          </w:tcPr>
          <w:p w:rsidR="000F1385" w:rsidRDefault="00EF3E79">
            <w:r>
              <w:rPr>
                <w:rFonts w:ascii="Times New Roman" w:hAnsi="Times New Roman"/>
                <w:i/>
                <w:sz w:val="17"/>
              </w:rPr>
              <w:t>NeurIPS</w:t>
            </w:r>
          </w:p>
        </w:tc>
        <w:tc>
          <w:tcPr>
            <w:tcW w:w="3312" w:type="dxa"/>
            <w:shd w:val="clear" w:color="auto" w:fill="F4F6F7"/>
            <w:tcMar>
              <w:top w:w="80" w:type="dxa"/>
              <w:left w:w="90" w:type="dxa"/>
              <w:bottom w:w="80" w:type="dxa"/>
              <w:right w:w="90" w:type="dxa"/>
            </w:tcMar>
          </w:tcPr>
          <w:p w:rsidR="000F1385" w:rsidRDefault="00EF3E79">
            <w:r>
              <w:rPr>
                <w:rFonts w:ascii="Times New Roman" w:hAnsi="Times New Roman"/>
                <w:sz w:val="17"/>
              </w:rPr>
              <w:t xml:space="preserve">Introduced LightGBM with Gradient-based One-Side Sampling (GOSS) and Exclusive Feature Bundling </w:t>
            </w:r>
            <w:r>
              <w:rPr>
                <w:rFonts w:ascii="Times New Roman" w:hAnsi="Times New Roman"/>
                <w:sz w:val="17"/>
              </w:rPr>
              <w:t>(EFB).</w:t>
            </w:r>
          </w:p>
        </w:tc>
        <w:tc>
          <w:tcPr>
            <w:tcW w:w="3024" w:type="dxa"/>
            <w:shd w:val="clear" w:color="auto" w:fill="F4F6F7"/>
            <w:tcMar>
              <w:top w:w="80" w:type="dxa"/>
              <w:left w:w="90" w:type="dxa"/>
              <w:bottom w:w="80" w:type="dxa"/>
              <w:right w:w="90" w:type="dxa"/>
            </w:tcMar>
          </w:tcPr>
          <w:p w:rsidR="000F1385" w:rsidRDefault="00EF3E79">
            <w:r>
              <w:rPr>
                <w:rFonts w:ascii="Times New Roman" w:hAnsi="Times New Roman"/>
                <w:sz w:val="17"/>
              </w:rPr>
              <w:t>Served as the comparison tree ensemble in our nested cross-validation benchmark on the 304 unique rows.</w:t>
            </w:r>
          </w:p>
        </w:tc>
      </w:tr>
      <w:tr w:rsidR="000F1385">
        <w:trPr>
          <w:jc w:val="center"/>
        </w:trPr>
        <w:tc>
          <w:tcPr>
            <w:tcW w:w="2160" w:type="dxa"/>
            <w:tcMar>
              <w:top w:w="80" w:type="dxa"/>
              <w:left w:w="90" w:type="dxa"/>
              <w:bottom w:w="80" w:type="dxa"/>
              <w:right w:w="90" w:type="dxa"/>
            </w:tcMar>
          </w:tcPr>
          <w:p w:rsidR="000F1385" w:rsidRDefault="00EF3E79">
            <w:r>
              <w:rPr>
                <w:rFonts w:ascii="Times New Roman" w:hAnsi="Times New Roman"/>
                <w:b/>
                <w:sz w:val="17"/>
              </w:rPr>
              <w:t>Ribeiro et al. (2016)</w:t>
            </w:r>
          </w:p>
        </w:tc>
        <w:tc>
          <w:tcPr>
            <w:tcW w:w="1584" w:type="dxa"/>
            <w:tcMar>
              <w:top w:w="80" w:type="dxa"/>
              <w:left w:w="90" w:type="dxa"/>
              <w:bottom w:w="80" w:type="dxa"/>
              <w:right w:w="90" w:type="dxa"/>
            </w:tcMar>
          </w:tcPr>
          <w:p w:rsidR="000F1385" w:rsidRDefault="00EF3E79">
            <w:r>
              <w:rPr>
                <w:rFonts w:ascii="Times New Roman" w:hAnsi="Times New Roman"/>
                <w:i/>
                <w:sz w:val="17"/>
              </w:rPr>
              <w:t>ACM SIGKDD (LIME)</w:t>
            </w:r>
          </w:p>
        </w:tc>
        <w:tc>
          <w:tcPr>
            <w:tcW w:w="3312" w:type="dxa"/>
            <w:tcMar>
              <w:top w:w="80" w:type="dxa"/>
              <w:left w:w="90" w:type="dxa"/>
              <w:bottom w:w="80" w:type="dxa"/>
              <w:right w:w="90" w:type="dxa"/>
            </w:tcMar>
          </w:tcPr>
          <w:p w:rsidR="000F1385" w:rsidRDefault="00EF3E79">
            <w:r>
              <w:rPr>
                <w:rFonts w:ascii="Times New Roman" w:hAnsi="Times New Roman"/>
                <w:sz w:val="17"/>
              </w:rPr>
              <w:t>Local Interpretable Model-agnostic Explanations using perturbed sparse linear surrogates.</w:t>
            </w:r>
          </w:p>
        </w:tc>
        <w:tc>
          <w:tcPr>
            <w:tcW w:w="3024" w:type="dxa"/>
            <w:tcMar>
              <w:top w:w="80" w:type="dxa"/>
              <w:left w:w="90" w:type="dxa"/>
              <w:bottom w:w="80" w:type="dxa"/>
              <w:right w:w="90" w:type="dxa"/>
            </w:tcMar>
          </w:tcPr>
          <w:p w:rsidR="000F1385" w:rsidRDefault="00EF3E79">
            <w:r>
              <w:rPr>
                <w:rFonts w:ascii="Times New Roman" w:hAnsi="Times New Roman"/>
                <w:sz w:val="17"/>
              </w:rPr>
              <w:t xml:space="preserve">Motivates our </w:t>
            </w:r>
            <w:r>
              <w:rPr>
                <w:rFonts w:ascii="Times New Roman" w:hAnsi="Times New Roman"/>
                <w:sz w:val="17"/>
              </w:rPr>
              <w:t>rejection of sampling-based surrogates in favor of exact, deterministic Bayesian log-odds feature attributions.</w:t>
            </w:r>
          </w:p>
        </w:tc>
      </w:tr>
      <w:tr w:rsidR="000F1385">
        <w:trPr>
          <w:jc w:val="center"/>
        </w:trPr>
        <w:tc>
          <w:tcPr>
            <w:tcW w:w="2160" w:type="dxa"/>
            <w:shd w:val="clear" w:color="auto" w:fill="F4F6F7"/>
            <w:tcMar>
              <w:top w:w="80" w:type="dxa"/>
              <w:left w:w="90" w:type="dxa"/>
              <w:bottom w:w="80" w:type="dxa"/>
              <w:right w:w="90" w:type="dxa"/>
            </w:tcMar>
          </w:tcPr>
          <w:p w:rsidR="000F1385" w:rsidRDefault="00EF3E79">
            <w:r>
              <w:rPr>
                <w:rFonts w:ascii="Times New Roman" w:hAnsi="Times New Roman"/>
                <w:b/>
                <w:sz w:val="17"/>
              </w:rPr>
              <w:t>Lundberg &amp; Lee (2017)</w:t>
            </w:r>
          </w:p>
        </w:tc>
        <w:tc>
          <w:tcPr>
            <w:tcW w:w="1584" w:type="dxa"/>
            <w:shd w:val="clear" w:color="auto" w:fill="F4F6F7"/>
            <w:tcMar>
              <w:top w:w="80" w:type="dxa"/>
              <w:left w:w="90" w:type="dxa"/>
              <w:bottom w:w="80" w:type="dxa"/>
              <w:right w:w="90" w:type="dxa"/>
            </w:tcMar>
          </w:tcPr>
          <w:p w:rsidR="000F1385" w:rsidRDefault="00EF3E79">
            <w:r>
              <w:rPr>
                <w:rFonts w:ascii="Times New Roman" w:hAnsi="Times New Roman"/>
                <w:i/>
                <w:sz w:val="17"/>
              </w:rPr>
              <w:t>NeurIPS (SHAP)</w:t>
            </w:r>
          </w:p>
        </w:tc>
        <w:tc>
          <w:tcPr>
            <w:tcW w:w="3312" w:type="dxa"/>
            <w:shd w:val="clear" w:color="auto" w:fill="F4F6F7"/>
            <w:tcMar>
              <w:top w:w="80" w:type="dxa"/>
              <w:left w:w="90" w:type="dxa"/>
              <w:bottom w:w="80" w:type="dxa"/>
              <w:right w:w="90" w:type="dxa"/>
            </w:tcMar>
          </w:tcPr>
          <w:p w:rsidR="000F1385" w:rsidRDefault="00EF3E79">
            <w:r>
              <w:rPr>
                <w:rFonts w:ascii="Times New Roman" w:hAnsi="Times New Roman"/>
                <w:sz w:val="17"/>
              </w:rPr>
              <w:t>Unified framework for interpreting model predictions using game-theoretic Shapley values.</w:t>
            </w:r>
          </w:p>
        </w:tc>
        <w:tc>
          <w:tcPr>
            <w:tcW w:w="3024" w:type="dxa"/>
            <w:shd w:val="clear" w:color="auto" w:fill="F4F6F7"/>
            <w:tcMar>
              <w:top w:w="80" w:type="dxa"/>
              <w:left w:w="90" w:type="dxa"/>
              <w:bottom w:w="80" w:type="dxa"/>
              <w:right w:w="90" w:type="dxa"/>
            </w:tcMar>
          </w:tcPr>
          <w:p w:rsidR="000F1385" w:rsidRDefault="00EF3E79">
            <w:r>
              <w:rPr>
                <w:rFonts w:ascii="Times New Roman" w:hAnsi="Times New Roman"/>
                <w:sz w:val="17"/>
              </w:rPr>
              <w:t>Underpins our ma</w:t>
            </w:r>
            <w:r>
              <w:rPr>
                <w:rFonts w:ascii="Times New Roman" w:hAnsi="Times New Roman"/>
                <w:sz w:val="17"/>
              </w:rPr>
              <w:t>thematical derivation of exact additive log-odds, ensuring the sum of symptom attributions equals total class log-evidence.</w:t>
            </w:r>
          </w:p>
        </w:tc>
      </w:tr>
      <w:tr w:rsidR="000F1385">
        <w:trPr>
          <w:jc w:val="center"/>
        </w:trPr>
        <w:tc>
          <w:tcPr>
            <w:tcW w:w="2160" w:type="dxa"/>
            <w:tcMar>
              <w:top w:w="80" w:type="dxa"/>
              <w:left w:w="90" w:type="dxa"/>
              <w:bottom w:w="80" w:type="dxa"/>
              <w:right w:w="90" w:type="dxa"/>
            </w:tcMar>
          </w:tcPr>
          <w:p w:rsidR="000F1385" w:rsidRDefault="00EF3E79">
            <w:r>
              <w:rPr>
                <w:rFonts w:ascii="Times New Roman" w:hAnsi="Times New Roman"/>
                <w:b/>
                <w:sz w:val="17"/>
              </w:rPr>
              <w:t>Ji et al. (2023)</w:t>
            </w:r>
          </w:p>
        </w:tc>
        <w:tc>
          <w:tcPr>
            <w:tcW w:w="1584" w:type="dxa"/>
            <w:tcMar>
              <w:top w:w="80" w:type="dxa"/>
              <w:left w:w="90" w:type="dxa"/>
              <w:bottom w:w="80" w:type="dxa"/>
              <w:right w:w="90" w:type="dxa"/>
            </w:tcMar>
          </w:tcPr>
          <w:p w:rsidR="000F1385" w:rsidRDefault="00EF3E79">
            <w:r>
              <w:rPr>
                <w:rFonts w:ascii="Times New Roman" w:hAnsi="Times New Roman"/>
                <w:i/>
                <w:sz w:val="17"/>
              </w:rPr>
              <w:t>ACM Computing Surveys</w:t>
            </w:r>
          </w:p>
        </w:tc>
        <w:tc>
          <w:tcPr>
            <w:tcW w:w="3312" w:type="dxa"/>
            <w:tcMar>
              <w:top w:w="80" w:type="dxa"/>
              <w:left w:w="90" w:type="dxa"/>
              <w:bottom w:w="80" w:type="dxa"/>
              <w:right w:w="90" w:type="dxa"/>
            </w:tcMar>
          </w:tcPr>
          <w:p w:rsidR="000F1385" w:rsidRDefault="00EF3E79">
            <w:r>
              <w:rPr>
                <w:rFonts w:ascii="Times New Roman" w:hAnsi="Times New Roman"/>
                <w:sz w:val="17"/>
              </w:rPr>
              <w:t>Comprehensive survey of hallucination in Large Language Models.</w:t>
            </w:r>
          </w:p>
        </w:tc>
        <w:tc>
          <w:tcPr>
            <w:tcW w:w="3024" w:type="dxa"/>
            <w:tcMar>
              <w:top w:w="80" w:type="dxa"/>
              <w:left w:w="90" w:type="dxa"/>
              <w:bottom w:w="80" w:type="dxa"/>
              <w:right w:w="90" w:type="dxa"/>
            </w:tcMar>
          </w:tcPr>
          <w:p w:rsidR="000F1385" w:rsidRDefault="00EF3E79">
            <w:r>
              <w:rPr>
                <w:rFonts w:ascii="Times New Roman" w:hAnsi="Times New Roman"/>
                <w:sz w:val="17"/>
              </w:rPr>
              <w:t xml:space="preserve">Motivated our architectural </w:t>
            </w:r>
            <w:r>
              <w:rPr>
                <w:rFonts w:ascii="Times New Roman" w:hAnsi="Times New Roman"/>
                <w:sz w:val="17"/>
              </w:rPr>
              <w:t>restriction: the LLM never classifies diseases and only formats explanations, backed by deterministic fallback templates.</w:t>
            </w:r>
          </w:p>
        </w:tc>
      </w:tr>
      <w:tr w:rsidR="000F1385">
        <w:trPr>
          <w:jc w:val="center"/>
        </w:trPr>
        <w:tc>
          <w:tcPr>
            <w:tcW w:w="2160" w:type="dxa"/>
            <w:shd w:val="clear" w:color="auto" w:fill="F4F6F7"/>
            <w:tcMar>
              <w:top w:w="80" w:type="dxa"/>
              <w:left w:w="90" w:type="dxa"/>
              <w:bottom w:w="80" w:type="dxa"/>
              <w:right w:w="90" w:type="dxa"/>
            </w:tcMar>
          </w:tcPr>
          <w:p w:rsidR="000F1385" w:rsidRDefault="00EF3E79">
            <w:r>
              <w:rPr>
                <w:rFonts w:ascii="Times New Roman" w:hAnsi="Times New Roman"/>
                <w:b/>
                <w:sz w:val="17"/>
              </w:rPr>
              <w:t>Singhal et al. (2023)</w:t>
            </w:r>
          </w:p>
        </w:tc>
        <w:tc>
          <w:tcPr>
            <w:tcW w:w="1584" w:type="dxa"/>
            <w:shd w:val="clear" w:color="auto" w:fill="F4F6F7"/>
            <w:tcMar>
              <w:top w:w="80" w:type="dxa"/>
              <w:left w:w="90" w:type="dxa"/>
              <w:bottom w:w="80" w:type="dxa"/>
              <w:right w:w="90" w:type="dxa"/>
            </w:tcMar>
          </w:tcPr>
          <w:p w:rsidR="000F1385" w:rsidRDefault="00EF3E79">
            <w:r>
              <w:rPr>
                <w:rFonts w:ascii="Times New Roman" w:hAnsi="Times New Roman"/>
                <w:i/>
                <w:sz w:val="17"/>
              </w:rPr>
              <w:t>Nature (Med-PaLM)</w:t>
            </w:r>
          </w:p>
        </w:tc>
        <w:tc>
          <w:tcPr>
            <w:tcW w:w="3312" w:type="dxa"/>
            <w:shd w:val="clear" w:color="auto" w:fill="F4F6F7"/>
            <w:tcMar>
              <w:top w:w="80" w:type="dxa"/>
              <w:left w:w="90" w:type="dxa"/>
              <w:bottom w:w="80" w:type="dxa"/>
              <w:right w:w="90" w:type="dxa"/>
            </w:tcMar>
          </w:tcPr>
          <w:p w:rsidR="000F1385" w:rsidRDefault="00EF3E79">
            <w:r>
              <w:rPr>
                <w:rFonts w:ascii="Times New Roman" w:hAnsi="Times New Roman"/>
                <w:sz w:val="17"/>
              </w:rPr>
              <w:t xml:space="preserve">Domain-specific instruction fine-tuning and evaluation of medical LLMs against physician </w:t>
            </w:r>
            <w:r>
              <w:rPr>
                <w:rFonts w:ascii="Times New Roman" w:hAnsi="Times New Roman"/>
                <w:sz w:val="17"/>
              </w:rPr>
              <w:t>benchmarks.</w:t>
            </w:r>
          </w:p>
        </w:tc>
        <w:tc>
          <w:tcPr>
            <w:tcW w:w="3024" w:type="dxa"/>
            <w:shd w:val="clear" w:color="auto" w:fill="F4F6F7"/>
            <w:tcMar>
              <w:top w:w="80" w:type="dxa"/>
              <w:left w:w="90" w:type="dxa"/>
              <w:bottom w:w="80" w:type="dxa"/>
              <w:right w:w="90" w:type="dxa"/>
            </w:tcMar>
          </w:tcPr>
          <w:p w:rsidR="000F1385" w:rsidRDefault="00EF3E79">
            <w:r>
              <w:rPr>
                <w:rFonts w:ascii="Times New Roman" w:hAnsi="Times New Roman"/>
                <w:sz w:val="17"/>
              </w:rPr>
              <w:t>Guides our clinical prompt isolation, Pydantic schema validation, and banned drug denylist.</w:t>
            </w:r>
          </w:p>
        </w:tc>
      </w:tr>
      <w:tr w:rsidR="000F1385">
        <w:trPr>
          <w:jc w:val="center"/>
        </w:trPr>
        <w:tc>
          <w:tcPr>
            <w:tcW w:w="2160" w:type="dxa"/>
            <w:tcMar>
              <w:top w:w="80" w:type="dxa"/>
              <w:left w:w="90" w:type="dxa"/>
              <w:bottom w:w="80" w:type="dxa"/>
              <w:right w:w="90" w:type="dxa"/>
            </w:tcMar>
          </w:tcPr>
          <w:p w:rsidR="000F1385" w:rsidRDefault="00EF3E79">
            <w:r>
              <w:rPr>
                <w:rFonts w:ascii="Times New Roman" w:hAnsi="Times New Roman"/>
                <w:b/>
                <w:sz w:val="17"/>
              </w:rPr>
              <w:t>Biryukov et al. (2016)</w:t>
            </w:r>
          </w:p>
        </w:tc>
        <w:tc>
          <w:tcPr>
            <w:tcW w:w="1584" w:type="dxa"/>
            <w:tcMar>
              <w:top w:w="80" w:type="dxa"/>
              <w:left w:w="90" w:type="dxa"/>
              <w:bottom w:w="80" w:type="dxa"/>
              <w:right w:w="90" w:type="dxa"/>
            </w:tcMar>
          </w:tcPr>
          <w:p w:rsidR="000F1385" w:rsidRDefault="00EF3E79">
            <w:r>
              <w:rPr>
                <w:rFonts w:ascii="Times New Roman" w:hAnsi="Times New Roman"/>
                <w:i/>
                <w:sz w:val="17"/>
              </w:rPr>
              <w:t>IEEE EuroS&amp;P (Argon2)</w:t>
            </w:r>
          </w:p>
        </w:tc>
        <w:tc>
          <w:tcPr>
            <w:tcW w:w="3312" w:type="dxa"/>
            <w:tcMar>
              <w:top w:w="80" w:type="dxa"/>
              <w:left w:w="90" w:type="dxa"/>
              <w:bottom w:w="80" w:type="dxa"/>
              <w:right w:w="90" w:type="dxa"/>
            </w:tcMar>
          </w:tcPr>
          <w:p w:rsidR="000F1385" w:rsidRDefault="00EF3E79">
            <w:r>
              <w:rPr>
                <w:rFonts w:ascii="Times New Roman" w:hAnsi="Times New Roman"/>
                <w:sz w:val="17"/>
              </w:rPr>
              <w:t>Memory-hard password hashing algorithm resistant to GPU and ASIC brute-force cracking.</w:t>
            </w:r>
          </w:p>
        </w:tc>
        <w:tc>
          <w:tcPr>
            <w:tcW w:w="3024" w:type="dxa"/>
            <w:tcMar>
              <w:top w:w="80" w:type="dxa"/>
              <w:left w:w="90" w:type="dxa"/>
              <w:bottom w:w="80" w:type="dxa"/>
              <w:right w:w="90" w:type="dxa"/>
            </w:tcMar>
          </w:tcPr>
          <w:p w:rsidR="000F1385" w:rsidRDefault="00EF3E79">
            <w:r>
              <w:rPr>
                <w:rFonts w:ascii="Times New Roman" w:hAnsi="Times New Roman"/>
                <w:sz w:val="17"/>
              </w:rPr>
              <w:t>Directly implemente</w:t>
            </w:r>
            <w:r>
              <w:rPr>
                <w:rFonts w:ascii="Times New Roman" w:hAnsi="Times New Roman"/>
                <w:sz w:val="17"/>
              </w:rPr>
              <w:t>d in ArogyaMitra for credential protection (Argon2id with 3 iterations, 64 MB RAM).</w:t>
            </w:r>
          </w:p>
        </w:tc>
      </w:tr>
      <w:tr w:rsidR="000F1385">
        <w:trPr>
          <w:jc w:val="center"/>
        </w:trPr>
        <w:tc>
          <w:tcPr>
            <w:tcW w:w="2160" w:type="dxa"/>
            <w:shd w:val="clear" w:color="auto" w:fill="F4F6F7"/>
            <w:tcMar>
              <w:top w:w="80" w:type="dxa"/>
              <w:left w:w="90" w:type="dxa"/>
              <w:bottom w:w="80" w:type="dxa"/>
              <w:right w:w="90" w:type="dxa"/>
            </w:tcMar>
          </w:tcPr>
          <w:p w:rsidR="000F1385" w:rsidRDefault="00EF3E79">
            <w:r>
              <w:rPr>
                <w:rFonts w:ascii="Times New Roman" w:hAnsi="Times New Roman"/>
                <w:b/>
                <w:sz w:val="17"/>
              </w:rPr>
              <w:t xml:space="preserve">Kung &amp; Robinson </w:t>
            </w:r>
            <w:r>
              <w:rPr>
                <w:rFonts w:ascii="Times New Roman" w:hAnsi="Times New Roman"/>
                <w:b/>
                <w:sz w:val="17"/>
              </w:rPr>
              <w:lastRenderedPageBreak/>
              <w:t>(1981)</w:t>
            </w:r>
          </w:p>
        </w:tc>
        <w:tc>
          <w:tcPr>
            <w:tcW w:w="1584" w:type="dxa"/>
            <w:shd w:val="clear" w:color="auto" w:fill="F4F6F7"/>
            <w:tcMar>
              <w:top w:w="80" w:type="dxa"/>
              <w:left w:w="90" w:type="dxa"/>
              <w:bottom w:w="80" w:type="dxa"/>
              <w:right w:w="90" w:type="dxa"/>
            </w:tcMar>
          </w:tcPr>
          <w:p w:rsidR="000F1385" w:rsidRDefault="00EF3E79">
            <w:r>
              <w:rPr>
                <w:rFonts w:ascii="Times New Roman" w:hAnsi="Times New Roman"/>
                <w:i/>
                <w:sz w:val="17"/>
              </w:rPr>
              <w:lastRenderedPageBreak/>
              <w:t>ACM TODS</w:t>
            </w:r>
          </w:p>
        </w:tc>
        <w:tc>
          <w:tcPr>
            <w:tcW w:w="3312" w:type="dxa"/>
            <w:shd w:val="clear" w:color="auto" w:fill="F4F6F7"/>
            <w:tcMar>
              <w:top w:w="80" w:type="dxa"/>
              <w:left w:w="90" w:type="dxa"/>
              <w:bottom w:w="80" w:type="dxa"/>
              <w:right w:w="90" w:type="dxa"/>
            </w:tcMar>
          </w:tcPr>
          <w:p w:rsidR="000F1385" w:rsidRDefault="00EF3E79">
            <w:r>
              <w:rPr>
                <w:rFonts w:ascii="Times New Roman" w:hAnsi="Times New Roman"/>
                <w:sz w:val="17"/>
              </w:rPr>
              <w:t xml:space="preserve">Introduced Optimistic Concurrency </w:t>
            </w:r>
            <w:r>
              <w:rPr>
                <w:rFonts w:ascii="Times New Roman" w:hAnsi="Times New Roman"/>
                <w:sz w:val="17"/>
              </w:rPr>
              <w:lastRenderedPageBreak/>
              <w:t>Control (OCC) using validation phases.</w:t>
            </w:r>
          </w:p>
        </w:tc>
        <w:tc>
          <w:tcPr>
            <w:tcW w:w="3024" w:type="dxa"/>
            <w:shd w:val="clear" w:color="auto" w:fill="F4F6F7"/>
            <w:tcMar>
              <w:top w:w="80" w:type="dxa"/>
              <w:left w:w="90" w:type="dxa"/>
              <w:bottom w:w="80" w:type="dxa"/>
              <w:right w:w="90" w:type="dxa"/>
            </w:tcMar>
          </w:tcPr>
          <w:p w:rsidR="000F1385" w:rsidRDefault="00EF3E79">
            <w:r>
              <w:rPr>
                <w:rFonts w:ascii="Times New Roman" w:hAnsi="Times New Roman"/>
                <w:sz w:val="17"/>
              </w:rPr>
              <w:lastRenderedPageBreak/>
              <w:t xml:space="preserve">Underpins our Mongoose schema </w:t>
            </w:r>
            <w:r>
              <w:rPr>
                <w:rFonts w:ascii="Times New Roman" w:hAnsi="Times New Roman"/>
                <w:sz w:val="17"/>
              </w:rPr>
              <w:lastRenderedPageBreak/>
              <w:t xml:space="preserve">concurrency control (`__v`) and </w:t>
            </w:r>
            <w:r>
              <w:rPr>
                <w:rFonts w:ascii="Times New Roman" w:hAnsi="Times New Roman"/>
                <w:sz w:val="17"/>
              </w:rPr>
              <w:t>atomic conditional updates for concurrent triage responses.</w:t>
            </w:r>
          </w:p>
        </w:tc>
      </w:tr>
    </w:tbl>
    <w:p w:rsidR="000F1385" w:rsidRDefault="00EF3E79">
      <w:pPr>
        <w:spacing w:before="80" w:after="160"/>
        <w:jc w:val="center"/>
      </w:pPr>
      <w:r>
        <w:rPr>
          <w:rFonts w:ascii="Times New Roman" w:hAnsi="Times New Roman"/>
          <w:b/>
          <w:color w:val="546E7A"/>
          <w:sz w:val="20"/>
        </w:rPr>
        <w:lastRenderedPageBreak/>
        <w:t>Table 1.1: Comprehensive Literature Review Summary Matrix</w:t>
      </w:r>
    </w:p>
    <w:p w:rsidR="000F1385" w:rsidRDefault="00EF3E79">
      <w:pPr>
        <w:spacing w:before="200" w:after="80"/>
      </w:pPr>
      <w:r>
        <w:rPr>
          <w:rFonts w:ascii="Times New Roman" w:hAnsi="Times New Roman"/>
          <w:b/>
          <w:i/>
          <w:color w:val="212121"/>
          <w:sz w:val="24"/>
        </w:rPr>
        <w:t>1.2.2 Comparison with Existing Work</w:t>
      </w:r>
    </w:p>
    <w:p w:rsidR="000F1385" w:rsidRDefault="00EF3E79">
      <w:pPr>
        <w:spacing w:after="120" w:line="360" w:lineRule="auto"/>
        <w:jc w:val="both"/>
      </w:pPr>
      <w:r>
        <w:rPr>
          <w:rFonts w:ascii="Times New Roman" w:hAnsi="Times New Roman"/>
          <w:color w:val="212121"/>
          <w:sz w:val="24"/>
        </w:rPr>
        <w:t>To highlight the engineering novelties and uncompromising safety boundaries of ArogyaMitra, Table 1.2</w:t>
      </w:r>
      <w:r>
        <w:rPr>
          <w:rFonts w:ascii="Times New Roman" w:hAnsi="Times New Roman"/>
          <w:color w:val="212121"/>
          <w:sz w:val="24"/>
        </w:rPr>
        <w:t xml:space="preserve"> contrasts specific clinical concerns documented in literature against conventional symptom checkers and the verifiable implementations within this repository.</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46"/>
        <w:gridCol w:w="1721"/>
        <w:gridCol w:w="2864"/>
        <w:gridCol w:w="2249"/>
      </w:tblGrid>
      <w:tr w:rsidR="000F1385">
        <w:trPr>
          <w:jc w:val="center"/>
        </w:trPr>
        <w:tc>
          <w:tcPr>
            <w:tcW w:w="2592" w:type="dxa"/>
            <w:shd w:val="clear" w:color="auto" w:fill="1B4F72"/>
            <w:tcMar>
              <w:top w:w="120" w:type="dxa"/>
              <w:left w:w="100" w:type="dxa"/>
              <w:bottom w:w="120" w:type="dxa"/>
              <w:right w:w="100" w:type="dxa"/>
            </w:tcMar>
          </w:tcPr>
          <w:p w:rsidR="000F1385" w:rsidRDefault="00EF3E79">
            <w:pPr>
              <w:jc w:val="center"/>
            </w:pPr>
            <w:r>
              <w:rPr>
                <w:rFonts w:ascii="Times New Roman" w:hAnsi="Times New Roman"/>
                <w:b/>
                <w:color w:val="FFFFFF"/>
                <w:sz w:val="19"/>
              </w:rPr>
              <w:t>Clinical / Technical Concern</w:t>
            </w:r>
          </w:p>
        </w:tc>
        <w:tc>
          <w:tcPr>
            <w:tcW w:w="1872" w:type="dxa"/>
            <w:shd w:val="clear" w:color="auto" w:fill="1B4F72"/>
            <w:tcMar>
              <w:top w:w="120" w:type="dxa"/>
              <w:left w:w="100" w:type="dxa"/>
              <w:bottom w:w="120" w:type="dxa"/>
              <w:right w:w="100" w:type="dxa"/>
            </w:tcMar>
          </w:tcPr>
          <w:p w:rsidR="000F1385" w:rsidRDefault="00EF3E79">
            <w:pPr>
              <w:jc w:val="center"/>
            </w:pPr>
            <w:r>
              <w:rPr>
                <w:rFonts w:ascii="Times New Roman" w:hAnsi="Times New Roman"/>
                <w:b/>
                <w:color w:val="FFFFFF"/>
                <w:sz w:val="19"/>
              </w:rPr>
              <w:t>Literature Citation</w:t>
            </w:r>
          </w:p>
        </w:tc>
        <w:tc>
          <w:tcPr>
            <w:tcW w:w="3168" w:type="dxa"/>
            <w:shd w:val="clear" w:color="auto" w:fill="1B4F72"/>
            <w:tcMar>
              <w:top w:w="120" w:type="dxa"/>
              <w:left w:w="100" w:type="dxa"/>
              <w:bottom w:w="120" w:type="dxa"/>
              <w:right w:w="100" w:type="dxa"/>
            </w:tcMar>
          </w:tcPr>
          <w:p w:rsidR="000F1385" w:rsidRDefault="00EF3E79">
            <w:pPr>
              <w:jc w:val="center"/>
            </w:pPr>
            <w:r>
              <w:rPr>
                <w:rFonts w:ascii="Times New Roman" w:hAnsi="Times New Roman"/>
                <w:b/>
                <w:color w:val="FFFFFF"/>
                <w:sz w:val="19"/>
              </w:rPr>
              <w:t>ArogyaMitra Implementation</w:t>
            </w:r>
          </w:p>
        </w:tc>
        <w:tc>
          <w:tcPr>
            <w:tcW w:w="2448" w:type="dxa"/>
            <w:shd w:val="clear" w:color="auto" w:fill="1B4F72"/>
            <w:tcMar>
              <w:top w:w="120" w:type="dxa"/>
              <w:left w:w="100" w:type="dxa"/>
              <w:bottom w:w="120" w:type="dxa"/>
              <w:right w:w="100" w:type="dxa"/>
            </w:tcMar>
          </w:tcPr>
          <w:p w:rsidR="000F1385" w:rsidRDefault="00EF3E79">
            <w:pPr>
              <w:jc w:val="center"/>
            </w:pPr>
            <w:r>
              <w:rPr>
                <w:rFonts w:ascii="Times New Roman" w:hAnsi="Times New Roman"/>
                <w:b/>
                <w:color w:val="FFFFFF"/>
                <w:sz w:val="19"/>
              </w:rPr>
              <w:t>Unvalidated Boundary</w:t>
            </w:r>
          </w:p>
        </w:tc>
      </w:tr>
      <w:tr w:rsidR="000F1385">
        <w:trPr>
          <w:jc w:val="center"/>
        </w:trPr>
        <w:tc>
          <w:tcPr>
            <w:tcW w:w="2592" w:type="dxa"/>
            <w:tcMar>
              <w:top w:w="80" w:type="dxa"/>
              <w:left w:w="90" w:type="dxa"/>
              <w:bottom w:w="80" w:type="dxa"/>
              <w:right w:w="90" w:type="dxa"/>
            </w:tcMar>
          </w:tcPr>
          <w:p w:rsidR="000F1385" w:rsidRDefault="00EF3E79">
            <w:r>
              <w:rPr>
                <w:rFonts w:ascii="Times New Roman" w:hAnsi="Times New Roman"/>
                <w:b/>
                <w:sz w:val="17"/>
              </w:rPr>
              <w:t>Low and variable diagnostic accuracy across symptom checkers (primary diagnosis 19–37.9%)</w:t>
            </w:r>
          </w:p>
        </w:tc>
        <w:tc>
          <w:tcPr>
            <w:tcW w:w="1872" w:type="dxa"/>
            <w:tcMar>
              <w:top w:w="80" w:type="dxa"/>
              <w:left w:w="90" w:type="dxa"/>
              <w:bottom w:w="80" w:type="dxa"/>
              <w:right w:w="90" w:type="dxa"/>
            </w:tcMar>
          </w:tcPr>
          <w:p w:rsidR="000F1385" w:rsidRDefault="00EF3E79">
            <w:r>
              <w:rPr>
                <w:rFonts w:ascii="Times New Roman" w:hAnsi="Times New Roman"/>
                <w:i/>
                <w:sz w:val="17"/>
              </w:rPr>
              <w:t>Wallace et al. (2022) [W]</w:t>
            </w:r>
          </w:p>
        </w:tc>
        <w:tc>
          <w:tcPr>
            <w:tcW w:w="3168" w:type="dxa"/>
            <w:tcMar>
              <w:top w:w="80" w:type="dxa"/>
              <w:left w:w="90" w:type="dxa"/>
              <w:bottom w:w="80" w:type="dxa"/>
              <w:right w:w="90" w:type="dxa"/>
            </w:tcMar>
          </w:tcPr>
          <w:p w:rsidR="000F1385" w:rsidRDefault="00EF3E79">
            <w:r>
              <w:rPr>
                <w:rFonts w:ascii="Times New Roman" w:hAnsi="Times New Roman"/>
                <w:sz w:val="17"/>
              </w:rPr>
              <w:t>Evaluated top-3 differential diagnoses and dropout robustness across 0%, 30%, and 50% missing symptoms using 5x3 repeated stratified CV.</w:t>
            </w:r>
          </w:p>
        </w:tc>
        <w:tc>
          <w:tcPr>
            <w:tcW w:w="2448" w:type="dxa"/>
            <w:tcMar>
              <w:top w:w="80" w:type="dxa"/>
              <w:left w:w="90" w:type="dxa"/>
              <w:bottom w:w="80" w:type="dxa"/>
              <w:right w:w="90" w:type="dxa"/>
            </w:tcMar>
          </w:tcPr>
          <w:p w:rsidR="000F1385" w:rsidRDefault="00EF3E79">
            <w:r>
              <w:rPr>
                <w:rFonts w:ascii="Times New Roman" w:hAnsi="Times New Roman"/>
                <w:color w:val="B71C1C"/>
                <w:sz w:val="17"/>
              </w:rPr>
              <w:t>E</w:t>
            </w:r>
            <w:r>
              <w:rPr>
                <w:rFonts w:ascii="Times New Roman" w:hAnsi="Times New Roman"/>
                <w:color w:val="B71C1C"/>
                <w:sz w:val="17"/>
              </w:rPr>
              <w:t>valuated exclusively on synthetic data (304 unique rows); zero real-patient cohort validation.</w:t>
            </w:r>
          </w:p>
        </w:tc>
      </w:tr>
      <w:tr w:rsidR="000F1385">
        <w:trPr>
          <w:jc w:val="center"/>
        </w:trPr>
        <w:tc>
          <w:tcPr>
            <w:tcW w:w="2592" w:type="dxa"/>
            <w:shd w:val="clear" w:color="auto" w:fill="F4F6F7"/>
            <w:tcMar>
              <w:top w:w="80" w:type="dxa"/>
              <w:left w:w="90" w:type="dxa"/>
              <w:bottom w:w="80" w:type="dxa"/>
              <w:right w:w="90" w:type="dxa"/>
            </w:tcMar>
          </w:tcPr>
          <w:p w:rsidR="000F1385" w:rsidRDefault="00EF3E79">
            <w:r>
              <w:rPr>
                <w:rFonts w:ascii="Times New Roman" w:hAnsi="Times New Roman"/>
                <w:b/>
                <w:sz w:val="17"/>
              </w:rPr>
              <w:t>Triage and patient safety hazards from incorrect diagnosis alignment (Swiss-cheese failure)</w:t>
            </w:r>
          </w:p>
        </w:tc>
        <w:tc>
          <w:tcPr>
            <w:tcW w:w="1872" w:type="dxa"/>
            <w:shd w:val="clear" w:color="auto" w:fill="F4F6F7"/>
            <w:tcMar>
              <w:top w:w="80" w:type="dxa"/>
              <w:left w:w="90" w:type="dxa"/>
              <w:bottom w:w="80" w:type="dxa"/>
              <w:right w:w="90" w:type="dxa"/>
            </w:tcMar>
          </w:tcPr>
          <w:p w:rsidR="000F1385" w:rsidRDefault="00EF3E79">
            <w:r>
              <w:rPr>
                <w:rFonts w:ascii="Times New Roman" w:hAnsi="Times New Roman"/>
                <w:i/>
                <w:sz w:val="17"/>
              </w:rPr>
              <w:t>Wallace et al. (2022) [W]</w:t>
            </w:r>
          </w:p>
        </w:tc>
        <w:tc>
          <w:tcPr>
            <w:tcW w:w="3168" w:type="dxa"/>
            <w:shd w:val="clear" w:color="auto" w:fill="F4F6F7"/>
            <w:tcMar>
              <w:top w:w="80" w:type="dxa"/>
              <w:left w:w="90" w:type="dxa"/>
              <w:bottom w:w="80" w:type="dxa"/>
              <w:right w:w="90" w:type="dxa"/>
            </w:tcMar>
          </w:tcPr>
          <w:p w:rsidR="000F1385" w:rsidRDefault="00EF3E79">
            <w:r>
              <w:rPr>
                <w:rFonts w:ascii="Times New Roman" w:hAnsi="Times New Roman"/>
                <w:sz w:val="17"/>
              </w:rPr>
              <w:t xml:space="preserve">Implemented two-tier triage safety: </w:t>
            </w:r>
            <w:r>
              <w:rPr>
                <w:rFonts w:ascii="Times New Roman" w:hAnsi="Times New Roman"/>
                <w:sz w:val="17"/>
              </w:rPr>
              <w:t>Decision A red-flag emergency screening, low-confidence escalation (&lt;70%), and fail-closed 503 outage behavior.</w:t>
            </w:r>
          </w:p>
        </w:tc>
        <w:tc>
          <w:tcPr>
            <w:tcW w:w="2448" w:type="dxa"/>
            <w:shd w:val="clear" w:color="auto" w:fill="F4F6F7"/>
            <w:tcMar>
              <w:top w:w="80" w:type="dxa"/>
              <w:left w:w="90" w:type="dxa"/>
              <w:bottom w:w="80" w:type="dxa"/>
              <w:right w:w="90" w:type="dxa"/>
            </w:tcMar>
          </w:tcPr>
          <w:p w:rsidR="000F1385" w:rsidRDefault="00EF3E79">
            <w:r>
              <w:rPr>
                <w:rFonts w:ascii="Times New Roman" w:hAnsi="Times New Roman"/>
                <w:color w:val="B71C1C"/>
                <w:sz w:val="17"/>
              </w:rPr>
              <w:t>Red-flag rules remain in DRAFT status pending formal multi-institutional clinician review.</w:t>
            </w:r>
          </w:p>
        </w:tc>
      </w:tr>
      <w:tr w:rsidR="000F1385">
        <w:trPr>
          <w:jc w:val="center"/>
        </w:trPr>
        <w:tc>
          <w:tcPr>
            <w:tcW w:w="2592" w:type="dxa"/>
            <w:tcMar>
              <w:top w:w="80" w:type="dxa"/>
              <w:left w:w="90" w:type="dxa"/>
              <w:bottom w:w="80" w:type="dxa"/>
              <w:right w:w="90" w:type="dxa"/>
            </w:tcMar>
          </w:tcPr>
          <w:p w:rsidR="000F1385" w:rsidRDefault="00EF3E79">
            <w:r>
              <w:rPr>
                <w:rFonts w:ascii="Times New Roman" w:hAnsi="Times New Roman"/>
                <w:b/>
                <w:sz w:val="17"/>
              </w:rPr>
              <w:t>Need for real-world studies, clinical trial evidence</w:t>
            </w:r>
            <w:r>
              <w:rPr>
                <w:rFonts w:ascii="Times New Roman" w:hAnsi="Times New Roman"/>
                <w:b/>
                <w:sz w:val="17"/>
              </w:rPr>
              <w:t>, and medical device regulation</w:t>
            </w:r>
          </w:p>
        </w:tc>
        <w:tc>
          <w:tcPr>
            <w:tcW w:w="1872" w:type="dxa"/>
            <w:tcMar>
              <w:top w:w="80" w:type="dxa"/>
              <w:left w:w="90" w:type="dxa"/>
              <w:bottom w:w="80" w:type="dxa"/>
              <w:right w:w="90" w:type="dxa"/>
            </w:tcMar>
          </w:tcPr>
          <w:p w:rsidR="000F1385" w:rsidRDefault="00EF3E79">
            <w:r>
              <w:rPr>
                <w:rFonts w:ascii="Times New Roman" w:hAnsi="Times New Roman"/>
                <w:i/>
                <w:sz w:val="17"/>
              </w:rPr>
              <w:t>Wallace et al. (2022) [W]</w:t>
            </w:r>
          </w:p>
        </w:tc>
        <w:tc>
          <w:tcPr>
            <w:tcW w:w="3168" w:type="dxa"/>
            <w:tcMar>
              <w:top w:w="80" w:type="dxa"/>
              <w:left w:w="90" w:type="dxa"/>
              <w:bottom w:w="80" w:type="dxa"/>
              <w:right w:w="90" w:type="dxa"/>
            </w:tcMar>
          </w:tcPr>
          <w:p w:rsidR="000F1385" w:rsidRDefault="00EF3E79">
            <w:r>
              <w:rPr>
                <w:rFonts w:ascii="Times New Roman" w:hAnsi="Times New Roman"/>
                <w:sz w:val="17"/>
              </w:rPr>
              <w:t>Explicitly scoped as an uncertified educational decision-support prototype; added DPDP-aware audit logging and data protection controls.</w:t>
            </w:r>
          </w:p>
        </w:tc>
        <w:tc>
          <w:tcPr>
            <w:tcW w:w="2448" w:type="dxa"/>
            <w:tcMar>
              <w:top w:w="80" w:type="dxa"/>
              <w:left w:w="90" w:type="dxa"/>
              <w:bottom w:w="80" w:type="dxa"/>
              <w:right w:w="90" w:type="dxa"/>
            </w:tcMar>
          </w:tcPr>
          <w:p w:rsidR="000F1385" w:rsidRDefault="00EF3E79">
            <w:r>
              <w:rPr>
                <w:rFonts w:ascii="Times New Roman" w:hAnsi="Times New Roman"/>
                <w:color w:val="B71C1C"/>
                <w:sz w:val="17"/>
              </w:rPr>
              <w:t xml:space="preserve">Not certified under CDSCO or MDR 2017; has not undergone </w:t>
            </w:r>
            <w:r>
              <w:rPr>
                <w:rFonts w:ascii="Times New Roman" w:hAnsi="Times New Roman"/>
                <w:color w:val="B71C1C"/>
                <w:sz w:val="17"/>
              </w:rPr>
              <w:t>prospective clinical trials.</w:t>
            </w:r>
          </w:p>
        </w:tc>
      </w:tr>
      <w:tr w:rsidR="000F1385">
        <w:trPr>
          <w:jc w:val="center"/>
        </w:trPr>
        <w:tc>
          <w:tcPr>
            <w:tcW w:w="2592" w:type="dxa"/>
            <w:shd w:val="clear" w:color="auto" w:fill="F4F6F7"/>
            <w:tcMar>
              <w:top w:w="80" w:type="dxa"/>
              <w:left w:w="90" w:type="dxa"/>
              <w:bottom w:w="80" w:type="dxa"/>
              <w:right w:w="90" w:type="dxa"/>
            </w:tcMar>
          </w:tcPr>
          <w:p w:rsidR="000F1385" w:rsidRDefault="00EF3E79">
            <w:r>
              <w:rPr>
                <w:rFonts w:ascii="Times New Roman" w:hAnsi="Times New Roman"/>
                <w:b/>
                <w:sz w:val="17"/>
              </w:rPr>
              <w:t>Naive Bayes pushes predicted probabilities toward 0 and 1 due to independence assumptions</w:t>
            </w:r>
          </w:p>
        </w:tc>
        <w:tc>
          <w:tcPr>
            <w:tcW w:w="1872" w:type="dxa"/>
            <w:shd w:val="clear" w:color="auto" w:fill="F4F6F7"/>
            <w:tcMar>
              <w:top w:w="80" w:type="dxa"/>
              <w:left w:w="90" w:type="dxa"/>
              <w:bottom w:w="80" w:type="dxa"/>
              <w:right w:w="90" w:type="dxa"/>
            </w:tcMar>
          </w:tcPr>
          <w:p w:rsidR="000F1385" w:rsidRDefault="00EF3E79">
            <w:r>
              <w:rPr>
                <w:rFonts w:ascii="Times New Roman" w:hAnsi="Times New Roman"/>
                <w:i/>
                <w:sz w:val="17"/>
              </w:rPr>
              <w:t>Niculescu-Mizil &amp; Caruana (2005) [N]</w:t>
            </w:r>
          </w:p>
        </w:tc>
        <w:tc>
          <w:tcPr>
            <w:tcW w:w="3168" w:type="dxa"/>
            <w:shd w:val="clear" w:color="auto" w:fill="F4F6F7"/>
            <w:tcMar>
              <w:top w:w="80" w:type="dxa"/>
              <w:left w:w="90" w:type="dxa"/>
              <w:bottom w:w="80" w:type="dxa"/>
              <w:right w:w="90" w:type="dxa"/>
            </w:tcMar>
          </w:tcPr>
          <w:p w:rsidR="000F1385" w:rsidRDefault="00EF3E79">
            <w:r>
              <w:rPr>
                <w:rFonts w:ascii="Times New Roman" w:hAnsi="Times New Roman"/>
                <w:sz w:val="17"/>
              </w:rPr>
              <w:t>Rejected false calibration claims; labeled confidence scores as 'estimate, not a clinical probabili</w:t>
            </w:r>
            <w:r>
              <w:rPr>
                <w:rFonts w:ascii="Times New Roman" w:hAnsi="Times New Roman"/>
                <w:sz w:val="17"/>
              </w:rPr>
              <w:t>ty' in UI; empirical thresholds tuned on held-out data.</w:t>
            </w:r>
          </w:p>
        </w:tc>
        <w:tc>
          <w:tcPr>
            <w:tcW w:w="2448" w:type="dxa"/>
            <w:shd w:val="clear" w:color="auto" w:fill="F4F6F7"/>
            <w:tcMar>
              <w:top w:w="80" w:type="dxa"/>
              <w:left w:w="90" w:type="dxa"/>
              <w:bottom w:w="80" w:type="dxa"/>
              <w:right w:w="90" w:type="dxa"/>
            </w:tcMar>
          </w:tcPr>
          <w:p w:rsidR="000F1385" w:rsidRDefault="00EF3E79">
            <w:r>
              <w:rPr>
                <w:rFonts w:ascii="Times New Roman" w:hAnsi="Times New Roman"/>
                <w:color w:val="B71C1C"/>
                <w:sz w:val="17"/>
              </w:rPr>
              <w:t>Probabilities still saturate near 100% when multiple correlated symptoms match.</w:t>
            </w:r>
          </w:p>
        </w:tc>
      </w:tr>
      <w:tr w:rsidR="000F1385">
        <w:trPr>
          <w:jc w:val="center"/>
        </w:trPr>
        <w:tc>
          <w:tcPr>
            <w:tcW w:w="2592" w:type="dxa"/>
            <w:tcMar>
              <w:top w:w="80" w:type="dxa"/>
              <w:left w:w="90" w:type="dxa"/>
              <w:bottom w:w="80" w:type="dxa"/>
              <w:right w:w="90" w:type="dxa"/>
            </w:tcMar>
          </w:tcPr>
          <w:p w:rsidR="000F1385" w:rsidRDefault="00EF3E79">
            <w:r>
              <w:rPr>
                <w:rFonts w:ascii="Times New Roman" w:hAnsi="Times New Roman"/>
                <w:b/>
                <w:sz w:val="17"/>
              </w:rPr>
              <w:t>Calibration methods require separate calibration data and degrade severely on small datasets</w:t>
            </w:r>
          </w:p>
        </w:tc>
        <w:tc>
          <w:tcPr>
            <w:tcW w:w="1872" w:type="dxa"/>
            <w:tcMar>
              <w:top w:w="80" w:type="dxa"/>
              <w:left w:w="90" w:type="dxa"/>
              <w:bottom w:w="80" w:type="dxa"/>
              <w:right w:w="90" w:type="dxa"/>
            </w:tcMar>
          </w:tcPr>
          <w:p w:rsidR="000F1385" w:rsidRDefault="00EF3E79">
            <w:r>
              <w:rPr>
                <w:rFonts w:ascii="Times New Roman" w:hAnsi="Times New Roman"/>
                <w:i/>
                <w:sz w:val="17"/>
              </w:rPr>
              <w:t xml:space="preserve">Niculescu-Mizil &amp; Caruana </w:t>
            </w:r>
            <w:r>
              <w:rPr>
                <w:rFonts w:ascii="Times New Roman" w:hAnsi="Times New Roman"/>
                <w:i/>
                <w:sz w:val="17"/>
              </w:rPr>
              <w:t>(2005) [N]</w:t>
            </w:r>
          </w:p>
        </w:tc>
        <w:tc>
          <w:tcPr>
            <w:tcW w:w="3168" w:type="dxa"/>
            <w:tcMar>
              <w:top w:w="80" w:type="dxa"/>
              <w:left w:w="90" w:type="dxa"/>
              <w:bottom w:w="80" w:type="dxa"/>
              <w:right w:w="90" w:type="dxa"/>
            </w:tcMar>
          </w:tcPr>
          <w:p w:rsidR="000F1385" w:rsidRDefault="00EF3E79">
            <w:r>
              <w:rPr>
                <w:rFonts w:ascii="Times New Roman" w:hAnsi="Times New Roman"/>
                <w:sz w:val="17"/>
              </w:rPr>
              <w:t>Empirically tested Platt scaling on 304 unique rows; verified that log loss worsened from 0.0061 to 0.1643; opted to deploy uncalibrated raw posterior estimates.</w:t>
            </w:r>
          </w:p>
        </w:tc>
        <w:tc>
          <w:tcPr>
            <w:tcW w:w="2448" w:type="dxa"/>
            <w:tcMar>
              <w:top w:w="80" w:type="dxa"/>
              <w:left w:w="90" w:type="dxa"/>
              <w:bottom w:w="80" w:type="dxa"/>
              <w:right w:w="90" w:type="dxa"/>
            </w:tcMar>
          </w:tcPr>
          <w:p w:rsidR="000F1385" w:rsidRDefault="00EF3E79">
            <w:r>
              <w:rPr>
                <w:rFonts w:ascii="Times New Roman" w:hAnsi="Times New Roman"/>
                <w:color w:val="B71C1C"/>
                <w:sz w:val="17"/>
              </w:rPr>
              <w:t>No large real-world clinical dataset available to train a reliable non-parametric c</w:t>
            </w:r>
            <w:r>
              <w:rPr>
                <w:rFonts w:ascii="Times New Roman" w:hAnsi="Times New Roman"/>
                <w:color w:val="B71C1C"/>
                <w:sz w:val="17"/>
              </w:rPr>
              <w:t>alibration map.</w:t>
            </w:r>
          </w:p>
        </w:tc>
      </w:tr>
      <w:tr w:rsidR="000F1385">
        <w:trPr>
          <w:jc w:val="center"/>
        </w:trPr>
        <w:tc>
          <w:tcPr>
            <w:tcW w:w="2592" w:type="dxa"/>
            <w:shd w:val="clear" w:color="auto" w:fill="F4F6F7"/>
            <w:tcMar>
              <w:top w:w="80" w:type="dxa"/>
              <w:left w:w="90" w:type="dxa"/>
              <w:bottom w:w="80" w:type="dxa"/>
              <w:right w:w="90" w:type="dxa"/>
            </w:tcMar>
          </w:tcPr>
          <w:p w:rsidR="000F1385" w:rsidRDefault="00EF3E79">
            <w:r>
              <w:rPr>
                <w:rFonts w:ascii="Times New Roman" w:hAnsi="Times New Roman"/>
                <w:b/>
                <w:sz w:val="17"/>
              </w:rPr>
              <w:t>High computational latency and sparse feature representation in tree ensembles</w:t>
            </w:r>
          </w:p>
        </w:tc>
        <w:tc>
          <w:tcPr>
            <w:tcW w:w="1872" w:type="dxa"/>
            <w:shd w:val="clear" w:color="auto" w:fill="F4F6F7"/>
            <w:tcMar>
              <w:top w:w="80" w:type="dxa"/>
              <w:left w:w="90" w:type="dxa"/>
              <w:bottom w:w="80" w:type="dxa"/>
              <w:right w:w="90" w:type="dxa"/>
            </w:tcMar>
          </w:tcPr>
          <w:p w:rsidR="000F1385" w:rsidRDefault="00EF3E79">
            <w:r>
              <w:rPr>
                <w:rFonts w:ascii="Times New Roman" w:hAnsi="Times New Roman"/>
                <w:i/>
                <w:sz w:val="17"/>
              </w:rPr>
              <w:t>Ke et al. (2017)</w:t>
            </w:r>
          </w:p>
        </w:tc>
        <w:tc>
          <w:tcPr>
            <w:tcW w:w="3168" w:type="dxa"/>
            <w:shd w:val="clear" w:color="auto" w:fill="F4F6F7"/>
            <w:tcMar>
              <w:top w:w="80" w:type="dxa"/>
              <w:left w:w="90" w:type="dxa"/>
              <w:bottom w:w="80" w:type="dxa"/>
              <w:right w:w="90" w:type="dxa"/>
            </w:tcMar>
          </w:tcPr>
          <w:p w:rsidR="000F1385" w:rsidRDefault="00EF3E79">
            <w:r>
              <w:rPr>
                <w:rFonts w:ascii="Times New Roman" w:hAnsi="Times New Roman"/>
                <w:sz w:val="17"/>
              </w:rPr>
              <w:t>Benchmarked LightGBM against BernoulliNB; selected BernoulliNB which executes inference in 1.8 ms via vectorized NumPy operations.</w:t>
            </w:r>
          </w:p>
        </w:tc>
        <w:tc>
          <w:tcPr>
            <w:tcW w:w="2448" w:type="dxa"/>
            <w:shd w:val="clear" w:color="auto" w:fill="F4F6F7"/>
            <w:tcMar>
              <w:top w:w="80" w:type="dxa"/>
              <w:left w:w="90" w:type="dxa"/>
              <w:bottom w:w="80" w:type="dxa"/>
              <w:right w:w="90" w:type="dxa"/>
            </w:tcMar>
          </w:tcPr>
          <w:p w:rsidR="000F1385" w:rsidRDefault="00EF3E79">
            <w:r>
              <w:rPr>
                <w:rFonts w:ascii="Times New Roman" w:hAnsi="Times New Roman"/>
                <w:color w:val="B71C1C"/>
                <w:sz w:val="17"/>
              </w:rPr>
              <w:t xml:space="preserve">Only tested </w:t>
            </w:r>
            <w:r>
              <w:rPr>
                <w:rFonts w:ascii="Times New Roman" w:hAnsi="Times New Roman"/>
                <w:color w:val="B71C1C"/>
                <w:sz w:val="17"/>
              </w:rPr>
              <w:t>on 131 discrete binary features, not continuous lab measurements or vital streams.</w:t>
            </w:r>
          </w:p>
        </w:tc>
      </w:tr>
      <w:tr w:rsidR="000F1385">
        <w:trPr>
          <w:jc w:val="center"/>
        </w:trPr>
        <w:tc>
          <w:tcPr>
            <w:tcW w:w="2592" w:type="dxa"/>
            <w:tcMar>
              <w:top w:w="80" w:type="dxa"/>
              <w:left w:w="90" w:type="dxa"/>
              <w:bottom w:w="80" w:type="dxa"/>
              <w:right w:w="90" w:type="dxa"/>
            </w:tcMar>
          </w:tcPr>
          <w:p w:rsidR="000F1385" w:rsidRDefault="00EF3E79">
            <w:r>
              <w:rPr>
                <w:rFonts w:ascii="Times New Roman" w:hAnsi="Times New Roman"/>
                <w:b/>
                <w:sz w:val="17"/>
              </w:rPr>
              <w:lastRenderedPageBreak/>
              <w:t>Feature attribution instability and stochastic sampling variance in local surrogates (LIME)</w:t>
            </w:r>
          </w:p>
        </w:tc>
        <w:tc>
          <w:tcPr>
            <w:tcW w:w="1872" w:type="dxa"/>
            <w:tcMar>
              <w:top w:w="80" w:type="dxa"/>
              <w:left w:w="90" w:type="dxa"/>
              <w:bottom w:w="80" w:type="dxa"/>
              <w:right w:w="90" w:type="dxa"/>
            </w:tcMar>
          </w:tcPr>
          <w:p w:rsidR="000F1385" w:rsidRDefault="00EF3E79">
            <w:r>
              <w:rPr>
                <w:rFonts w:ascii="Times New Roman" w:hAnsi="Times New Roman"/>
                <w:i/>
                <w:sz w:val="17"/>
              </w:rPr>
              <w:t>Ribeiro et al. (2016), Lundberg &amp; Lee (2017)</w:t>
            </w:r>
          </w:p>
        </w:tc>
        <w:tc>
          <w:tcPr>
            <w:tcW w:w="3168" w:type="dxa"/>
            <w:tcMar>
              <w:top w:w="80" w:type="dxa"/>
              <w:left w:w="90" w:type="dxa"/>
              <w:bottom w:w="80" w:type="dxa"/>
              <w:right w:w="90" w:type="dxa"/>
            </w:tcMar>
          </w:tcPr>
          <w:p w:rsidR="000F1385" w:rsidRDefault="00EF3E79">
            <w:r>
              <w:rPr>
                <w:rFonts w:ascii="Times New Roman" w:hAnsi="Times New Roman"/>
                <w:sz w:val="17"/>
              </w:rPr>
              <w:t xml:space="preserve">Derived exact additive log-odds </w:t>
            </w:r>
            <w:r>
              <w:rPr>
                <w:rFonts w:ascii="Times New Roman" w:hAnsi="Times New Roman"/>
                <w:sz w:val="17"/>
              </w:rPr>
              <w:t>evidence weights directly from Bernoulli likelihoods, satisfying additivity to machine precision (&lt; 1e-10) without sampling.</w:t>
            </w:r>
          </w:p>
        </w:tc>
        <w:tc>
          <w:tcPr>
            <w:tcW w:w="2448" w:type="dxa"/>
            <w:tcMar>
              <w:top w:w="80" w:type="dxa"/>
              <w:left w:w="90" w:type="dxa"/>
              <w:bottom w:w="80" w:type="dxa"/>
              <w:right w:w="90" w:type="dxa"/>
            </w:tcMar>
          </w:tcPr>
          <w:p w:rsidR="000F1385" w:rsidRDefault="00EF3E79">
            <w:r>
              <w:rPr>
                <w:rFonts w:ascii="Times New Roman" w:hAnsi="Times New Roman"/>
                <w:color w:val="B71C1C"/>
                <w:sz w:val="17"/>
              </w:rPr>
              <w:t>Feature attributions reflect statistical model log-odds, not causal biological pathophysiology.</w:t>
            </w:r>
          </w:p>
        </w:tc>
      </w:tr>
      <w:tr w:rsidR="000F1385">
        <w:trPr>
          <w:jc w:val="center"/>
        </w:trPr>
        <w:tc>
          <w:tcPr>
            <w:tcW w:w="2592" w:type="dxa"/>
            <w:shd w:val="clear" w:color="auto" w:fill="F4F6F7"/>
            <w:tcMar>
              <w:top w:w="80" w:type="dxa"/>
              <w:left w:w="90" w:type="dxa"/>
              <w:bottom w:w="80" w:type="dxa"/>
              <w:right w:w="90" w:type="dxa"/>
            </w:tcMar>
          </w:tcPr>
          <w:p w:rsidR="000F1385" w:rsidRDefault="00EF3E79">
            <w:r>
              <w:rPr>
                <w:rFonts w:ascii="Times New Roman" w:hAnsi="Times New Roman"/>
                <w:b/>
                <w:sz w:val="17"/>
              </w:rPr>
              <w:t xml:space="preserve">Hallucination of diagnoses, </w:t>
            </w:r>
            <w:r>
              <w:rPr>
                <w:rFonts w:ascii="Times New Roman" w:hAnsi="Times New Roman"/>
                <w:b/>
                <w:sz w:val="17"/>
              </w:rPr>
              <w:t>dosages, and medical facts in Large Language Models</w:t>
            </w:r>
          </w:p>
        </w:tc>
        <w:tc>
          <w:tcPr>
            <w:tcW w:w="1872" w:type="dxa"/>
            <w:shd w:val="clear" w:color="auto" w:fill="F4F6F7"/>
            <w:tcMar>
              <w:top w:w="80" w:type="dxa"/>
              <w:left w:w="90" w:type="dxa"/>
              <w:bottom w:w="80" w:type="dxa"/>
              <w:right w:w="90" w:type="dxa"/>
            </w:tcMar>
          </w:tcPr>
          <w:p w:rsidR="000F1385" w:rsidRDefault="00EF3E79">
            <w:r>
              <w:rPr>
                <w:rFonts w:ascii="Times New Roman" w:hAnsi="Times New Roman"/>
                <w:i/>
                <w:sz w:val="17"/>
              </w:rPr>
              <w:t>Ji et al. (2023), Singhal et al. (2023)</w:t>
            </w:r>
          </w:p>
        </w:tc>
        <w:tc>
          <w:tcPr>
            <w:tcW w:w="3168" w:type="dxa"/>
            <w:shd w:val="clear" w:color="auto" w:fill="F4F6F7"/>
            <w:tcMar>
              <w:top w:w="80" w:type="dxa"/>
              <w:left w:w="90" w:type="dxa"/>
              <w:bottom w:w="80" w:type="dxa"/>
              <w:right w:w="90" w:type="dxa"/>
            </w:tcMar>
          </w:tcPr>
          <w:p w:rsidR="000F1385" w:rsidRDefault="00EF3E79">
            <w:r>
              <w:rPr>
                <w:rFonts w:ascii="Times New Roman" w:hAnsi="Times New Roman"/>
                <w:sz w:val="17"/>
              </w:rPr>
              <w:t>Architectural boundary isolation: LLM never predicts the disease class; it only formats pre-computed Bayesian evidence; pre-compiled fallback templates with zero dr</w:t>
            </w:r>
            <w:r>
              <w:rPr>
                <w:rFonts w:ascii="Times New Roman" w:hAnsi="Times New Roman"/>
                <w:sz w:val="17"/>
              </w:rPr>
              <w:t>ug dosages.</w:t>
            </w:r>
          </w:p>
        </w:tc>
        <w:tc>
          <w:tcPr>
            <w:tcW w:w="2448" w:type="dxa"/>
            <w:shd w:val="clear" w:color="auto" w:fill="F4F6F7"/>
            <w:tcMar>
              <w:top w:w="80" w:type="dxa"/>
              <w:left w:w="90" w:type="dxa"/>
              <w:bottom w:w="80" w:type="dxa"/>
              <w:right w:w="90" w:type="dxa"/>
            </w:tcMar>
          </w:tcPr>
          <w:p w:rsidR="000F1385" w:rsidRDefault="00EF3E79">
            <w:r>
              <w:rPr>
                <w:rFonts w:ascii="Times New Roman" w:hAnsi="Times New Roman"/>
                <w:color w:val="B71C1C"/>
                <w:sz w:val="17"/>
              </w:rPr>
              <w:t>Template library covers only the 41 trained conditions; requires ongoing physician curation.</w:t>
            </w:r>
          </w:p>
        </w:tc>
      </w:tr>
    </w:tbl>
    <w:p w:rsidR="000F1385" w:rsidRDefault="00EF3E79">
      <w:pPr>
        <w:spacing w:before="80" w:after="160"/>
        <w:jc w:val="center"/>
      </w:pPr>
      <w:r>
        <w:rPr>
          <w:rFonts w:ascii="Times New Roman" w:hAnsi="Times New Roman"/>
          <w:b/>
          <w:color w:val="546E7A"/>
          <w:sz w:val="20"/>
        </w:rPr>
        <w:t>Table 1.2: Systematic Comparison: Clinical Concerns vs ArogyaMitra Implementations</w:t>
      </w:r>
    </w:p>
    <w:p w:rsidR="000F1385" w:rsidRDefault="00EF3E79">
      <w:pPr>
        <w:spacing w:before="280" w:after="120"/>
      </w:pPr>
      <w:r>
        <w:rPr>
          <w:rFonts w:ascii="Times New Roman" w:hAnsi="Times New Roman"/>
          <w:b/>
          <w:color w:val="1B4F72"/>
          <w:sz w:val="27"/>
        </w:rPr>
        <w:t>1.3 Problem Statement &amp; Design Objectives</w:t>
      </w:r>
    </w:p>
    <w:p w:rsidR="000F1385" w:rsidRDefault="00EF3E79">
      <w:pPr>
        <w:spacing w:after="120" w:line="360" w:lineRule="auto"/>
        <w:jc w:val="both"/>
      </w:pPr>
      <w:r>
        <w:rPr>
          <w:rFonts w:ascii="Times New Roman" w:hAnsi="Times New Roman"/>
          <w:color w:val="212121"/>
          <w:sz w:val="24"/>
        </w:rPr>
        <w:t xml:space="preserve">Problem Statement: </w:t>
      </w:r>
      <w:r>
        <w:rPr>
          <w:rFonts w:ascii="Times New Roman" w:hAnsi="Times New Roman"/>
          <w:color w:val="212121"/>
          <w:sz w:val="24"/>
        </w:rPr>
        <w:t>Community health workers in resource-constrained primary healthcare settings require an auditable, privacy-preserving, and fail-closed decision support tool to triage acute clinical presentations without relying on black-box predictions, ungrounded generat</w:t>
      </w:r>
      <w:r>
        <w:rPr>
          <w:rFonts w:ascii="Times New Roman" w:hAnsi="Times New Roman"/>
          <w:color w:val="212121"/>
          <w:sz w:val="24"/>
        </w:rPr>
        <w:t>ive hallucinations, or vulnerable cloud infrastructure.</w:t>
      </w:r>
    </w:p>
    <w:p w:rsidR="000F1385" w:rsidRDefault="00EF3E79">
      <w:pPr>
        <w:spacing w:after="120" w:line="360" w:lineRule="auto"/>
        <w:jc w:val="both"/>
      </w:pPr>
      <w:r>
        <w:rPr>
          <w:rFonts w:ascii="Times New Roman" w:hAnsi="Times New Roman"/>
          <w:b/>
          <w:color w:val="212121"/>
          <w:sz w:val="24"/>
        </w:rPr>
        <w:t>To solve this problem, ArogyaMitra was engineered according to five inviolable design objectives:</w:t>
      </w:r>
    </w:p>
    <w:p w:rsidR="000F1385" w:rsidRDefault="00EF3E79">
      <w:pPr>
        <w:spacing w:after="80" w:line="360" w:lineRule="auto"/>
        <w:jc w:val="both"/>
      </w:pPr>
      <w:r>
        <w:rPr>
          <w:rFonts w:ascii="Times New Roman" w:hAnsi="Times New Roman"/>
          <w:color w:val="212121"/>
          <w:sz w:val="24"/>
        </w:rPr>
        <w:t>1. Objective 1 — Probabilistic Explainability: Deploy an inference engine where every differential dis</w:t>
      </w:r>
      <w:r>
        <w:rPr>
          <w:rFonts w:ascii="Times New Roman" w:hAnsi="Times New Roman"/>
          <w:color w:val="212121"/>
          <w:sz w:val="24"/>
        </w:rPr>
        <w:t>ease score is mathematically traceable to specific symptom attributions, eliminating black-box opacity.</w:t>
      </w:r>
    </w:p>
    <w:p w:rsidR="000F1385" w:rsidRDefault="00EF3E79">
      <w:pPr>
        <w:spacing w:after="80" w:line="360" w:lineRule="auto"/>
        <w:jc w:val="both"/>
      </w:pPr>
      <w:r>
        <w:rPr>
          <w:rFonts w:ascii="Times New Roman" w:hAnsi="Times New Roman"/>
          <w:color w:val="212121"/>
          <w:sz w:val="24"/>
        </w:rPr>
        <w:t>2. Objective 2 — Deterministic Red-Flag Triage Precedence: Guarantee that clinical red-flag symptoms (e.g., severe chest pain radiating to the left arm,</w:t>
      </w:r>
      <w:r>
        <w:rPr>
          <w:rFonts w:ascii="Times New Roman" w:hAnsi="Times New Roman"/>
          <w:color w:val="212121"/>
          <w:sz w:val="24"/>
        </w:rPr>
        <w:t xml:space="preserve"> acute dyspnea, altered sensorium) instantly trigger emergency escalation, completely superseding statistical model predictions.</w:t>
      </w:r>
    </w:p>
    <w:p w:rsidR="000F1385" w:rsidRDefault="00EF3E79">
      <w:pPr>
        <w:spacing w:after="80" w:line="360" w:lineRule="auto"/>
        <w:jc w:val="both"/>
      </w:pPr>
      <w:r>
        <w:rPr>
          <w:rFonts w:ascii="Times New Roman" w:hAnsi="Times New Roman"/>
          <w:color w:val="212121"/>
          <w:sz w:val="24"/>
        </w:rPr>
        <w:t>3. Objective 3 — Guarded LLM Narrative Generation: Confine Large Language Models strictly to formatting human-readable summarie</w:t>
      </w:r>
      <w:r>
        <w:rPr>
          <w:rFonts w:ascii="Times New Roman" w:hAnsi="Times New Roman"/>
          <w:color w:val="212121"/>
          <w:sz w:val="24"/>
        </w:rPr>
        <w:t>s and explanations, enforcing strict per-attempt (10s) and cascade (20s) execution caps backed by deterministic medical templates.</w:t>
      </w:r>
    </w:p>
    <w:p w:rsidR="000F1385" w:rsidRDefault="00EF3E79">
      <w:pPr>
        <w:spacing w:after="80" w:line="360" w:lineRule="auto"/>
        <w:jc w:val="both"/>
      </w:pPr>
      <w:r>
        <w:rPr>
          <w:rFonts w:ascii="Times New Roman" w:hAnsi="Times New Roman"/>
          <w:color w:val="212121"/>
          <w:sz w:val="24"/>
        </w:rPr>
        <w:t>4. Objective 4 — Fail-Closed System Behavior: In the event of microservice failure, network disruption, or database unreachab</w:t>
      </w:r>
      <w:r>
        <w:rPr>
          <w:rFonts w:ascii="Times New Roman" w:hAnsi="Times New Roman"/>
          <w:color w:val="212121"/>
          <w:sz w:val="24"/>
        </w:rPr>
        <w:t>ility, the system must never output misleading fallback predictions; it must reject unsafe operations and return explicit HTTP 503 error states.</w:t>
      </w:r>
    </w:p>
    <w:p w:rsidR="000F1385" w:rsidRDefault="00EF3E79">
      <w:pPr>
        <w:spacing w:after="240" w:line="360" w:lineRule="auto"/>
        <w:jc w:val="both"/>
      </w:pPr>
      <w:r>
        <w:rPr>
          <w:rFonts w:ascii="Times New Roman" w:hAnsi="Times New Roman"/>
          <w:color w:val="212121"/>
          <w:sz w:val="24"/>
        </w:rPr>
        <w:lastRenderedPageBreak/>
        <w:t xml:space="preserve">5. Objective 5 — Defense-in-Depth Data Security: Enforce cryptographic protection across every trust boundary, </w:t>
      </w:r>
      <w:r>
        <w:rPr>
          <w:rFonts w:ascii="Times New Roman" w:hAnsi="Times New Roman"/>
          <w:color w:val="212121"/>
          <w:sz w:val="24"/>
        </w:rPr>
        <w:t>including field-level encryption for patient identifiers, memory-hard credential hashing, and hardened Docker container network isolation.</w:t>
      </w:r>
    </w:p>
    <w:p w:rsidR="000F1385" w:rsidRDefault="00EF3E79">
      <w:pPr>
        <w:spacing w:before="280" w:after="120"/>
      </w:pPr>
      <w:r>
        <w:rPr>
          <w:rFonts w:ascii="Times New Roman" w:hAnsi="Times New Roman"/>
          <w:b/>
          <w:color w:val="1B4F72"/>
          <w:sz w:val="27"/>
        </w:rPr>
        <w:t>1.4 Faculty Guidance &amp; Architectural Evolution</w:t>
      </w:r>
    </w:p>
    <w:p w:rsidR="000F1385" w:rsidRDefault="00EF3E79">
      <w:pPr>
        <w:spacing w:after="120" w:line="360" w:lineRule="auto"/>
        <w:jc w:val="both"/>
      </w:pPr>
      <w:r>
        <w:rPr>
          <w:rFonts w:ascii="Times New Roman" w:hAnsi="Times New Roman"/>
          <w:color w:val="212121"/>
          <w:sz w:val="24"/>
        </w:rPr>
        <w:t>The development of ArogyaMitra was profoundly shaped by iterative tech</w:t>
      </w:r>
      <w:r>
        <w:rPr>
          <w:rFonts w:ascii="Times New Roman" w:hAnsi="Times New Roman"/>
          <w:color w:val="212121"/>
          <w:sz w:val="24"/>
        </w:rPr>
        <w:t>nical reviews and rigorous critique from project supervisor Dr. Ashish Singh. The initial prototype designed during early development phases was structured as a standard full-stack machine learning demonstrator: a monolithic script exposing a tree-based cl</w:t>
      </w:r>
      <w:r>
        <w:rPr>
          <w:rFonts w:ascii="Times New Roman" w:hAnsi="Times New Roman"/>
          <w:color w:val="212121"/>
          <w:sz w:val="24"/>
        </w:rPr>
        <w:t>assifier, an unconstrained generative LLM prompt, and default web application security. Through systematic faculty reviews, several critical architectural vulnerabilities were identified and systematically remediated:</w:t>
      </w:r>
    </w:p>
    <w:p w:rsidR="000F1385" w:rsidRDefault="00EF3E79">
      <w:pPr>
        <w:spacing w:after="120" w:line="360" w:lineRule="auto"/>
        <w:jc w:val="both"/>
      </w:pPr>
      <w:r>
        <w:rPr>
          <w:rFonts w:ascii="Times New Roman" w:hAnsi="Times New Roman"/>
          <w:color w:val="212121"/>
          <w:sz w:val="24"/>
        </w:rPr>
        <w:t>1. Rejection of Spurious Model Calibra</w:t>
      </w:r>
      <w:r>
        <w:rPr>
          <w:rFonts w:ascii="Times New Roman" w:hAnsi="Times New Roman"/>
          <w:color w:val="212121"/>
          <w:sz w:val="24"/>
        </w:rPr>
        <w:t>tion Claims: When initial drafts reported high confidence numbers and attempted post-hoc Platt scaling, faculty review directed an in-depth reading of Niculescu-Mizil &amp; Caruana (2005) [N]. Empirical verification revealed that fitting a Platt sigmoid on 304</w:t>
      </w:r>
      <w:r>
        <w:rPr>
          <w:rFonts w:ascii="Times New Roman" w:hAnsi="Times New Roman"/>
          <w:color w:val="212121"/>
          <w:sz w:val="24"/>
        </w:rPr>
        <w:t xml:space="preserve"> unique rows severely degraded log loss from 0.0061 to 0.1643. Under faculty direction, all misleading claims of 'calibrated probabilities' were excised. The UI was updated to explicitly inform health workers that displayed scores represent 'uncalibrated p</w:t>
      </w:r>
      <w:r>
        <w:rPr>
          <w:rFonts w:ascii="Times New Roman" w:hAnsi="Times New Roman"/>
          <w:color w:val="212121"/>
          <w:sz w:val="24"/>
        </w:rPr>
        <w:t>osterior estimates from Bernoulli Naive Bayes'.</w:t>
      </w:r>
    </w:p>
    <w:p w:rsidR="000F1385" w:rsidRDefault="00EF3E79">
      <w:pPr>
        <w:spacing w:after="120" w:line="360" w:lineRule="auto"/>
        <w:jc w:val="both"/>
      </w:pPr>
      <w:r>
        <w:rPr>
          <w:rFonts w:ascii="Times New Roman" w:hAnsi="Times New Roman"/>
          <w:color w:val="212121"/>
          <w:sz w:val="24"/>
        </w:rPr>
        <w:t>2. Mandating Fail-Closed Safety Boundaries: Early prototype versions utilized client-side fallback mocks that returned simulated disease predictions when backend services were offline. Faculty review condemne</w:t>
      </w:r>
      <w:r>
        <w:rPr>
          <w:rFonts w:ascii="Times New Roman" w:hAnsi="Times New Roman"/>
          <w:color w:val="212121"/>
          <w:sz w:val="24"/>
        </w:rPr>
        <w:t>d this pattern as clinically catastrophic, pointing to Wallace et al. (2022) [W]. The system was completely re-architected to be fail-closed: eliminating all mock fallbacks and guaranteeing that an ML service outage returns an explicit HTTP 503 MODEL_UNAVA</w:t>
      </w:r>
      <w:r>
        <w:rPr>
          <w:rFonts w:ascii="Times New Roman" w:hAnsi="Times New Roman"/>
          <w:color w:val="212121"/>
          <w:sz w:val="24"/>
        </w:rPr>
        <w:t>ILABLE error with clear instructions to seek emergency care.</w:t>
      </w:r>
    </w:p>
    <w:p w:rsidR="000F1385" w:rsidRDefault="00EF3E79">
      <w:pPr>
        <w:spacing w:after="120" w:line="360" w:lineRule="auto"/>
        <w:jc w:val="both"/>
      </w:pPr>
      <w:r>
        <w:rPr>
          <w:rFonts w:ascii="Times New Roman" w:hAnsi="Times New Roman"/>
          <w:color w:val="212121"/>
          <w:sz w:val="24"/>
        </w:rPr>
        <w:t>3. Replacement of Sampling Explanations with Exact Log-Odds: Initial plans to incorporate LIME (Ribeiro et al., 2016) were rejected due to sampling stochasticity and high latency overhead (exceed</w:t>
      </w:r>
      <w:r>
        <w:rPr>
          <w:rFonts w:ascii="Times New Roman" w:hAnsi="Times New Roman"/>
          <w:color w:val="212121"/>
          <w:sz w:val="24"/>
        </w:rPr>
        <w:t>ing 800 ms per query). Faculty guidance prompted the mathematical derivation of exact closed-form Bayesian log-odds attributions directly from the Bernoulli parameter matrix, achieving sub-millisecond explanation generation to machine precision.</w:t>
      </w:r>
    </w:p>
    <w:p w:rsidR="000F1385" w:rsidRDefault="00EF3E79">
      <w:pPr>
        <w:spacing w:after="240" w:line="360" w:lineRule="auto"/>
        <w:jc w:val="both"/>
      </w:pPr>
      <w:r>
        <w:rPr>
          <w:rFonts w:ascii="Times New Roman" w:hAnsi="Times New Roman"/>
          <w:color w:val="212121"/>
          <w:sz w:val="24"/>
        </w:rPr>
        <w:lastRenderedPageBreak/>
        <w:t>4. Contain</w:t>
      </w:r>
      <w:r>
        <w:rPr>
          <w:rFonts w:ascii="Times New Roman" w:hAnsi="Times New Roman"/>
          <w:color w:val="212121"/>
          <w:sz w:val="24"/>
        </w:rPr>
        <w:t>er Decoupling and Secret Hardening: Static analysis detected fallback encryption keys embedded in source files. Under faculty supervision, the architecture was refactored into four isolated Docker microservices connected over a private bridge network, with</w:t>
      </w:r>
      <w:r>
        <w:rPr>
          <w:rFonts w:ascii="Times New Roman" w:hAnsi="Times New Roman"/>
          <w:color w:val="212121"/>
          <w:sz w:val="24"/>
        </w:rPr>
        <w:t xml:space="preserve"> strict environment variable enforcement and an automated production-guard test verifying that missing encryption keys halt execution immediately.</w:t>
      </w:r>
    </w:p>
    <w:p w:rsidR="000F1385" w:rsidRDefault="00EF3E79">
      <w:pPr>
        <w:spacing w:before="280" w:after="120"/>
      </w:pPr>
      <w:r>
        <w:rPr>
          <w:rFonts w:ascii="Times New Roman" w:hAnsi="Times New Roman"/>
          <w:b/>
          <w:color w:val="1B4F72"/>
          <w:sz w:val="27"/>
        </w:rPr>
        <w:t>1.5 Report Outline &amp; Organization</w:t>
      </w:r>
    </w:p>
    <w:p w:rsidR="000F1385" w:rsidRDefault="00EF3E79">
      <w:pPr>
        <w:spacing w:after="120" w:line="360" w:lineRule="auto"/>
        <w:jc w:val="both"/>
      </w:pPr>
      <w:r>
        <w:rPr>
          <w:rFonts w:ascii="Times New Roman" w:hAnsi="Times New Roman"/>
          <w:color w:val="212121"/>
          <w:sz w:val="24"/>
        </w:rPr>
        <w:t xml:space="preserve">The remainder of this report is structured as follows: Chapter 2 specifies </w:t>
      </w:r>
      <w:r>
        <w:rPr>
          <w:rFonts w:ascii="Times New Roman" w:hAnsi="Times New Roman"/>
          <w:color w:val="212121"/>
          <w:sz w:val="24"/>
        </w:rPr>
        <w:t>the functional, non-functional, and STRIDE threat modeling requirements governing clinical decision support. Chapter 3 provides an exhaustive technical breakdown of the microservice architecture, mathematical formulation of Bernoulli Naive Bayes, exact log</w:t>
      </w:r>
      <w:r>
        <w:rPr>
          <w:rFonts w:ascii="Times New Roman" w:hAnsi="Times New Roman"/>
          <w:color w:val="212121"/>
          <w:sz w:val="24"/>
        </w:rPr>
        <w:t>-odds derivation, red-flag screening rules, guarded LLM timeout cascades, cryptographic implementations, and concurrency controls. Chapter 4 presents extensive empirical evaluations, including nested repeated cross-validation across symptom dropout levels,</w:t>
      </w:r>
      <w:r>
        <w:rPr>
          <w:rFonts w:ascii="Times New Roman" w:hAnsi="Times New Roman"/>
          <w:color w:val="212121"/>
          <w:sz w:val="24"/>
        </w:rPr>
        <w:t xml:space="preserve"> multi-tier load testing at scale, automated test suite verification, and literature-linked discussion. Chapter 5 concludes the report and delineates future research directions. Detailed engineering challenges, CLI reproduction commands, and test suite inv</w:t>
      </w:r>
      <w:r>
        <w:rPr>
          <w:rFonts w:ascii="Times New Roman" w:hAnsi="Times New Roman"/>
          <w:color w:val="212121"/>
          <w:sz w:val="24"/>
        </w:rPr>
        <w:t>entories are provided in Appendices A, B, and C.</w:t>
      </w:r>
    </w:p>
    <w:p w:rsidR="000F1385" w:rsidRDefault="00EF3E79">
      <w:r>
        <w:br w:type="page"/>
      </w:r>
    </w:p>
    <w:p w:rsidR="000F1385" w:rsidRDefault="00EF3E79">
      <w:pPr>
        <w:spacing w:before="480" w:after="240"/>
      </w:pPr>
      <w:r>
        <w:rPr>
          <w:rFonts w:ascii="Times New Roman" w:hAnsi="Times New Roman"/>
          <w:b/>
          <w:color w:val="154360"/>
          <w:sz w:val="32"/>
        </w:rPr>
        <w:lastRenderedPageBreak/>
        <w:t>Chapter 2: System Requirements &amp; Threat Modeling</w:t>
      </w:r>
    </w:p>
    <w:p w:rsidR="000F1385" w:rsidRDefault="00EF3E79">
      <w:pPr>
        <w:spacing w:before="280" w:after="120"/>
      </w:pPr>
      <w:r>
        <w:rPr>
          <w:rFonts w:ascii="Times New Roman" w:hAnsi="Times New Roman"/>
          <w:b/>
          <w:color w:val="1B4F72"/>
          <w:sz w:val="27"/>
        </w:rPr>
        <w:t>2.1 Functional Requirements</w:t>
      </w:r>
    </w:p>
    <w:p w:rsidR="000F1385" w:rsidRDefault="00EF3E79">
      <w:pPr>
        <w:spacing w:after="120" w:line="360" w:lineRule="auto"/>
        <w:jc w:val="both"/>
      </w:pPr>
      <w:r>
        <w:rPr>
          <w:rFonts w:ascii="Times New Roman" w:hAnsi="Times New Roman"/>
          <w:color w:val="212121"/>
          <w:sz w:val="24"/>
        </w:rPr>
        <w:t xml:space="preserve">The ArogyaMitra system is designed to govern the end-to-end clinical triage workflow across frontline community health workers, </w:t>
      </w:r>
      <w:r>
        <w:rPr>
          <w:rFonts w:ascii="Times New Roman" w:hAnsi="Times New Roman"/>
          <w:color w:val="212121"/>
          <w:sz w:val="24"/>
        </w:rPr>
        <w:t>consulting physicians, and administrative auditors. Table 2.1 specifies the ten core functional requirements (FR-1 through FR-10) implemented across the microservice stack.</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316"/>
        <w:gridCol w:w="2914"/>
        <w:gridCol w:w="4930"/>
      </w:tblGrid>
      <w:tr w:rsidR="000F1385">
        <w:trPr>
          <w:jc w:val="center"/>
        </w:trPr>
        <w:tc>
          <w:tcPr>
            <w:tcW w:w="1440"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Req ID</w:t>
            </w:r>
          </w:p>
        </w:tc>
        <w:tc>
          <w:tcPr>
            <w:tcW w:w="3168"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Requirement Title</w:t>
            </w:r>
          </w:p>
        </w:tc>
        <w:tc>
          <w:tcPr>
            <w:tcW w:w="5472"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Technical Specification &amp; Scope</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FR-1</w:t>
            </w:r>
          </w:p>
        </w:tc>
        <w:tc>
          <w:tcPr>
            <w:tcW w:w="3168" w:type="dxa"/>
            <w:tcMar>
              <w:top w:w="70" w:type="dxa"/>
              <w:left w:w="80" w:type="dxa"/>
              <w:bottom w:w="70" w:type="dxa"/>
              <w:right w:w="80" w:type="dxa"/>
            </w:tcMar>
          </w:tcPr>
          <w:p w:rsidR="000F1385" w:rsidRDefault="00EF3E79">
            <w:r>
              <w:rPr>
                <w:rFonts w:ascii="Times New Roman" w:hAnsi="Times New Roman"/>
                <w:b/>
                <w:sz w:val="18"/>
              </w:rPr>
              <w:t xml:space="preserve">Consultation Intake </w:t>
            </w:r>
            <w:r>
              <w:rPr>
                <w:rFonts w:ascii="Times New Roman" w:hAnsi="Times New Roman"/>
                <w:b/>
                <w:sz w:val="18"/>
              </w:rPr>
              <w:t>&amp; Demographics</w:t>
            </w:r>
          </w:p>
        </w:tc>
        <w:tc>
          <w:tcPr>
            <w:tcW w:w="5472" w:type="dxa"/>
            <w:tcMar>
              <w:top w:w="70" w:type="dxa"/>
              <w:left w:w="80" w:type="dxa"/>
              <w:bottom w:w="70" w:type="dxa"/>
              <w:right w:w="80" w:type="dxa"/>
            </w:tcMar>
          </w:tcPr>
          <w:p w:rsidR="000F1385" w:rsidRDefault="00EF3E79">
            <w:r>
              <w:rPr>
                <w:rFonts w:ascii="Times New Roman" w:hAnsi="Times New Roman"/>
                <w:sz w:val="17"/>
              </w:rPr>
              <w:t>The system shall capture patient basic demographics (age, gender, anonymized district) and presenting chief complaints, validating inputs against strict Pydantic schemas.</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FR-2</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Controlled Symptom Vocabulary Mapping</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The system shall allow </w:t>
            </w:r>
            <w:r>
              <w:rPr>
                <w:rFonts w:ascii="Times New Roman" w:hAnsi="Times New Roman"/>
                <w:sz w:val="17"/>
              </w:rPr>
              <w:t>health workers to select symptoms exclusively from a validated vocabulary of 131 clinical features, converting selections into binary indicator vectors.</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FR-3</w:t>
            </w:r>
          </w:p>
        </w:tc>
        <w:tc>
          <w:tcPr>
            <w:tcW w:w="3168" w:type="dxa"/>
            <w:tcMar>
              <w:top w:w="70" w:type="dxa"/>
              <w:left w:w="80" w:type="dxa"/>
              <w:bottom w:w="70" w:type="dxa"/>
              <w:right w:w="80" w:type="dxa"/>
            </w:tcMar>
          </w:tcPr>
          <w:p w:rsidR="000F1385" w:rsidRDefault="00EF3E79">
            <w:r>
              <w:rPr>
                <w:rFonts w:ascii="Times New Roman" w:hAnsi="Times New Roman"/>
                <w:b/>
                <w:sz w:val="18"/>
              </w:rPr>
              <w:t>Deterministic Red-Flag Screening</w:t>
            </w:r>
          </w:p>
        </w:tc>
        <w:tc>
          <w:tcPr>
            <w:tcW w:w="5472" w:type="dxa"/>
            <w:tcMar>
              <w:top w:w="70" w:type="dxa"/>
              <w:left w:w="80" w:type="dxa"/>
              <w:bottom w:w="70" w:type="dxa"/>
              <w:right w:w="80" w:type="dxa"/>
            </w:tcMar>
          </w:tcPr>
          <w:p w:rsidR="000F1385" w:rsidRDefault="00EF3E79">
            <w:r>
              <w:rPr>
                <w:rFonts w:ascii="Times New Roman" w:hAnsi="Times New Roman"/>
                <w:sz w:val="17"/>
              </w:rPr>
              <w:t>Prior to ML evaluation, the system shall execute deterministic r</w:t>
            </w:r>
            <w:r>
              <w:rPr>
                <w:rFonts w:ascii="Times New Roman" w:hAnsi="Times New Roman"/>
                <w:sz w:val="17"/>
              </w:rPr>
              <w:t>ule matching across emergency conditions; any red-flag match shall immediately assign Emergency triage.</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FR-4</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Bayesian Differential Classification</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The ML microservice shall compute uncalibrated posterior log-odds across 41 disease classes and return the </w:t>
            </w:r>
            <w:r>
              <w:rPr>
                <w:rFonts w:ascii="Times New Roman" w:hAnsi="Times New Roman"/>
                <w:sz w:val="17"/>
              </w:rPr>
              <w:t>top-3 ranked differential diagnoses within 50 milliseconds.</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FR-5</w:t>
            </w:r>
          </w:p>
        </w:tc>
        <w:tc>
          <w:tcPr>
            <w:tcW w:w="3168" w:type="dxa"/>
            <w:tcMar>
              <w:top w:w="70" w:type="dxa"/>
              <w:left w:w="80" w:type="dxa"/>
              <w:bottom w:w="70" w:type="dxa"/>
              <w:right w:w="80" w:type="dxa"/>
            </w:tcMar>
          </w:tcPr>
          <w:p w:rsidR="000F1385" w:rsidRDefault="00EF3E79">
            <w:r>
              <w:rPr>
                <w:rFonts w:ascii="Times New Roman" w:hAnsi="Times New Roman"/>
                <w:b/>
                <w:sz w:val="18"/>
              </w:rPr>
              <w:t>Additive Feature Attribution</w:t>
            </w:r>
          </w:p>
        </w:tc>
        <w:tc>
          <w:tcPr>
            <w:tcW w:w="5472" w:type="dxa"/>
            <w:tcMar>
              <w:top w:w="70" w:type="dxa"/>
              <w:left w:w="80" w:type="dxa"/>
              <w:bottom w:w="70" w:type="dxa"/>
              <w:right w:w="80" w:type="dxa"/>
            </w:tcMar>
          </w:tcPr>
          <w:p w:rsidR="000F1385" w:rsidRDefault="00EF3E79">
            <w:r>
              <w:rPr>
                <w:rFonts w:ascii="Times New Roman" w:hAnsi="Times New Roman"/>
                <w:sz w:val="17"/>
              </w:rPr>
              <w:t>The ML engine shall calculate exact positive and negative log-likelihood contributions for each presenting symptom to explain why a disease was ranked highest.</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FR-6</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Guarded LLM Clinical Narrative</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The LangGraph service shall generate patient-friendly clinical summaries and care recommendations using Gemini models, subject to strict confidence-word filtering.</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FR-7</w:t>
            </w:r>
          </w:p>
        </w:tc>
        <w:tc>
          <w:tcPr>
            <w:tcW w:w="3168" w:type="dxa"/>
            <w:tcMar>
              <w:top w:w="70" w:type="dxa"/>
              <w:left w:w="80" w:type="dxa"/>
              <w:bottom w:w="70" w:type="dxa"/>
              <w:right w:w="80" w:type="dxa"/>
            </w:tcMar>
          </w:tcPr>
          <w:p w:rsidR="000F1385" w:rsidRDefault="00EF3E79">
            <w:r>
              <w:rPr>
                <w:rFonts w:ascii="Times New Roman" w:hAnsi="Times New Roman"/>
                <w:b/>
                <w:sz w:val="18"/>
              </w:rPr>
              <w:t>Deterministic Template Fallback</w:t>
            </w:r>
          </w:p>
        </w:tc>
        <w:tc>
          <w:tcPr>
            <w:tcW w:w="5472" w:type="dxa"/>
            <w:tcMar>
              <w:top w:w="70" w:type="dxa"/>
              <w:left w:w="80" w:type="dxa"/>
              <w:bottom w:w="70" w:type="dxa"/>
              <w:right w:w="80" w:type="dxa"/>
            </w:tcMar>
          </w:tcPr>
          <w:p w:rsidR="000F1385" w:rsidRDefault="00EF3E79">
            <w:r>
              <w:rPr>
                <w:rFonts w:ascii="Times New Roman" w:hAnsi="Times New Roman"/>
                <w:sz w:val="17"/>
              </w:rPr>
              <w:t>If LLM calls timeo</w:t>
            </w:r>
            <w:r>
              <w:rPr>
                <w:rFonts w:ascii="Times New Roman" w:hAnsi="Times New Roman"/>
                <w:sz w:val="17"/>
              </w:rPr>
              <w:t>ut (10s per-attempt, 20s total cap), encounter 429 quota exhaustion, or fail guardrail checks, the system shall seamlessly render pre-compiled clinical templates.</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FR-8</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Dual Health Worker Decision Gate</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The UI shall provide frontline workers with an </w:t>
            </w:r>
            <w:r>
              <w:rPr>
                <w:rFonts w:ascii="Times New Roman" w:hAnsi="Times New Roman"/>
                <w:sz w:val="17"/>
              </w:rPr>
              <w:t>explicit Accept / Escalate decision interface; accepting logs worker sign-off, while escalating routes to the physician queue.</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FR-9</w:t>
            </w:r>
          </w:p>
        </w:tc>
        <w:tc>
          <w:tcPr>
            <w:tcW w:w="3168" w:type="dxa"/>
            <w:tcMar>
              <w:top w:w="70" w:type="dxa"/>
              <w:left w:w="80" w:type="dxa"/>
              <w:bottom w:w="70" w:type="dxa"/>
              <w:right w:w="80" w:type="dxa"/>
            </w:tcMar>
          </w:tcPr>
          <w:p w:rsidR="000F1385" w:rsidRDefault="00EF3E79">
            <w:r>
              <w:rPr>
                <w:rFonts w:ascii="Times New Roman" w:hAnsi="Times New Roman"/>
                <w:b/>
                <w:sz w:val="18"/>
              </w:rPr>
              <w:t>Server-Side Consultation Pagination</w:t>
            </w:r>
          </w:p>
        </w:tc>
        <w:tc>
          <w:tcPr>
            <w:tcW w:w="5472" w:type="dxa"/>
            <w:tcMar>
              <w:top w:w="70" w:type="dxa"/>
              <w:left w:w="80" w:type="dxa"/>
              <w:bottom w:w="70" w:type="dxa"/>
              <w:right w:w="80" w:type="dxa"/>
            </w:tcMar>
          </w:tcPr>
          <w:p w:rsidR="000F1385" w:rsidRDefault="00EF3E79">
            <w:r>
              <w:rPr>
                <w:rFonts w:ascii="Times New Roman" w:hAnsi="Times New Roman"/>
                <w:sz w:val="17"/>
              </w:rPr>
              <w:t>The backend shall expose indexed, paginated historical consultation endpoints (`GET /co</w:t>
            </w:r>
            <w:r>
              <w:rPr>
                <w:rFonts w:ascii="Times New Roman" w:hAnsi="Times New Roman"/>
                <w:sz w:val="17"/>
              </w:rPr>
              <w:t>nsultation/my`) supporting limit and page parameters with lean projection.</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lastRenderedPageBreak/>
              <w:t>FR-10</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DPDP-Compliant Data Consent &amp; Purge</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The system shall support digital consent recording, data anonymization, and verified record revocation in alignment with the Indian </w:t>
            </w:r>
            <w:r>
              <w:rPr>
                <w:rFonts w:ascii="Times New Roman" w:hAnsi="Times New Roman"/>
                <w:sz w:val="17"/>
              </w:rPr>
              <w:t>Digital Personal Data Protection (DPDP) Act.</w:t>
            </w:r>
          </w:p>
        </w:tc>
      </w:tr>
    </w:tbl>
    <w:p w:rsidR="000F1385" w:rsidRDefault="00EF3E79">
      <w:pPr>
        <w:spacing w:before="80" w:after="160"/>
        <w:jc w:val="center"/>
      </w:pPr>
      <w:r>
        <w:rPr>
          <w:rFonts w:ascii="Times New Roman" w:hAnsi="Times New Roman"/>
          <w:b/>
          <w:color w:val="546E7A"/>
          <w:sz w:val="20"/>
        </w:rPr>
        <w:t>Table 2.1: System Functional Requirements Specification (FR-1 to FR-10)</w:t>
      </w:r>
    </w:p>
    <w:p w:rsidR="000F1385" w:rsidRDefault="00EF3E79">
      <w:pPr>
        <w:spacing w:before="280" w:after="120"/>
      </w:pPr>
      <w:r>
        <w:rPr>
          <w:rFonts w:ascii="Times New Roman" w:hAnsi="Times New Roman"/>
          <w:b/>
          <w:color w:val="1B4F72"/>
          <w:sz w:val="27"/>
        </w:rPr>
        <w:t>2.2 Non-Functional Requirements</w:t>
      </w:r>
    </w:p>
    <w:p w:rsidR="000F1385" w:rsidRDefault="00EF3E79">
      <w:pPr>
        <w:spacing w:after="120" w:line="360" w:lineRule="auto"/>
        <w:jc w:val="both"/>
      </w:pPr>
      <w:r>
        <w:rPr>
          <w:rFonts w:ascii="Times New Roman" w:hAnsi="Times New Roman"/>
          <w:color w:val="212121"/>
          <w:sz w:val="24"/>
        </w:rPr>
        <w:t xml:space="preserve">To ensure operational viability in low-bandwidth rural environments, Table 2.2 defines eight </w:t>
      </w:r>
      <w:r>
        <w:rPr>
          <w:rFonts w:ascii="Times New Roman" w:hAnsi="Times New Roman"/>
          <w:color w:val="212121"/>
          <w:sz w:val="24"/>
        </w:rPr>
        <w:t>non-functional requirements governing latency, reliability, security, and concurrency.</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327"/>
        <w:gridCol w:w="2922"/>
        <w:gridCol w:w="4911"/>
      </w:tblGrid>
      <w:tr w:rsidR="000F1385">
        <w:trPr>
          <w:jc w:val="center"/>
        </w:trPr>
        <w:tc>
          <w:tcPr>
            <w:tcW w:w="1440" w:type="dxa"/>
            <w:shd w:val="clear" w:color="auto" w:fill="1B4F72"/>
            <w:tcMar>
              <w:top w:w="100" w:type="dxa"/>
              <w:left w:w="90" w:type="dxa"/>
              <w:bottom w:w="100" w:type="dxa"/>
              <w:right w:w="90" w:type="dxa"/>
            </w:tcMar>
          </w:tcPr>
          <w:p w:rsidR="000F1385" w:rsidRDefault="00EF3E79">
            <w:pPr>
              <w:jc w:val="center"/>
            </w:pPr>
            <w:r>
              <w:rPr>
                <w:rFonts w:ascii="Times New Roman" w:hAnsi="Times New Roman"/>
                <w:b/>
                <w:color w:val="FFFFFF"/>
                <w:sz w:val="19"/>
              </w:rPr>
              <w:t>Req ID</w:t>
            </w:r>
          </w:p>
        </w:tc>
        <w:tc>
          <w:tcPr>
            <w:tcW w:w="3168" w:type="dxa"/>
            <w:shd w:val="clear" w:color="auto" w:fill="1B4F72"/>
            <w:tcMar>
              <w:top w:w="100" w:type="dxa"/>
              <w:left w:w="90" w:type="dxa"/>
              <w:bottom w:w="100" w:type="dxa"/>
              <w:right w:w="90" w:type="dxa"/>
            </w:tcMar>
          </w:tcPr>
          <w:p w:rsidR="000F1385" w:rsidRDefault="00EF3E79">
            <w:pPr>
              <w:jc w:val="center"/>
            </w:pPr>
            <w:r>
              <w:rPr>
                <w:rFonts w:ascii="Times New Roman" w:hAnsi="Times New Roman"/>
                <w:b/>
                <w:color w:val="FFFFFF"/>
                <w:sz w:val="19"/>
              </w:rPr>
              <w:t>Performance Dimension</w:t>
            </w:r>
          </w:p>
        </w:tc>
        <w:tc>
          <w:tcPr>
            <w:tcW w:w="5472" w:type="dxa"/>
            <w:shd w:val="clear" w:color="auto" w:fill="1B4F72"/>
            <w:tcMar>
              <w:top w:w="100" w:type="dxa"/>
              <w:left w:w="90" w:type="dxa"/>
              <w:bottom w:w="100" w:type="dxa"/>
              <w:right w:w="90" w:type="dxa"/>
            </w:tcMar>
          </w:tcPr>
          <w:p w:rsidR="000F1385" w:rsidRDefault="00EF3E79">
            <w:pPr>
              <w:jc w:val="center"/>
            </w:pPr>
            <w:r>
              <w:rPr>
                <w:rFonts w:ascii="Times New Roman" w:hAnsi="Times New Roman"/>
                <w:b/>
                <w:color w:val="FFFFFF"/>
                <w:sz w:val="19"/>
              </w:rPr>
              <w:t>Engineering Target &amp; Enforcement</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NFR-1</w:t>
            </w:r>
          </w:p>
        </w:tc>
        <w:tc>
          <w:tcPr>
            <w:tcW w:w="3168" w:type="dxa"/>
            <w:tcMar>
              <w:top w:w="70" w:type="dxa"/>
              <w:left w:w="80" w:type="dxa"/>
              <w:bottom w:w="70" w:type="dxa"/>
              <w:right w:w="80" w:type="dxa"/>
            </w:tcMar>
          </w:tcPr>
          <w:p w:rsidR="000F1385" w:rsidRDefault="00EF3E79">
            <w:r>
              <w:rPr>
                <w:rFonts w:ascii="Times New Roman" w:hAnsi="Times New Roman"/>
                <w:b/>
                <w:sz w:val="18"/>
              </w:rPr>
              <w:t>Bounded Gateway Latency</w:t>
            </w:r>
          </w:p>
        </w:tc>
        <w:tc>
          <w:tcPr>
            <w:tcW w:w="5472" w:type="dxa"/>
            <w:tcMar>
              <w:top w:w="70" w:type="dxa"/>
              <w:left w:w="80" w:type="dxa"/>
              <w:bottom w:w="70" w:type="dxa"/>
              <w:right w:w="80" w:type="dxa"/>
            </w:tcMar>
          </w:tcPr>
          <w:p w:rsidR="000F1385" w:rsidRDefault="00EF3E79">
            <w:r>
              <w:rPr>
                <w:rFonts w:ascii="Times New Roman" w:hAnsi="Times New Roman"/>
                <w:sz w:val="17"/>
              </w:rPr>
              <w:t>End-to-end API gateway triage latency shall not exceed 1,500 ms at p95 under</w:t>
            </w:r>
            <w:r>
              <w:rPr>
                <w:rFonts w:ascii="Times New Roman" w:hAnsi="Times New Roman"/>
                <w:sz w:val="17"/>
              </w:rPr>
              <w:t xml:space="preserve"> standard operating load, and shall degrade gracefully under network contention.</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NFR-2</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ML Inference Micro-Latency</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Stateless Bayesian differential inference shall execute in under 10 ms on standard commodity CPU cores without requiring hardware GPU </w:t>
            </w:r>
            <w:r>
              <w:rPr>
                <w:rFonts w:ascii="Times New Roman" w:hAnsi="Times New Roman"/>
                <w:sz w:val="17"/>
              </w:rPr>
              <w:t>accelerators.</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NFR-3</w:t>
            </w:r>
          </w:p>
        </w:tc>
        <w:tc>
          <w:tcPr>
            <w:tcW w:w="3168" w:type="dxa"/>
            <w:tcMar>
              <w:top w:w="70" w:type="dxa"/>
              <w:left w:w="80" w:type="dxa"/>
              <w:bottom w:w="70" w:type="dxa"/>
              <w:right w:w="80" w:type="dxa"/>
            </w:tcMar>
          </w:tcPr>
          <w:p w:rsidR="000F1385" w:rsidRDefault="00EF3E79">
            <w:r>
              <w:rPr>
                <w:rFonts w:ascii="Times New Roman" w:hAnsi="Times New Roman"/>
                <w:b/>
                <w:sz w:val="18"/>
              </w:rPr>
              <w:t>Fail-Closed High Availability</w:t>
            </w:r>
          </w:p>
        </w:tc>
        <w:tc>
          <w:tcPr>
            <w:tcW w:w="5472" w:type="dxa"/>
            <w:tcMar>
              <w:top w:w="70" w:type="dxa"/>
              <w:left w:w="80" w:type="dxa"/>
              <w:bottom w:w="70" w:type="dxa"/>
              <w:right w:w="80" w:type="dxa"/>
            </w:tcMar>
          </w:tcPr>
          <w:p w:rsidR="000F1385" w:rsidRDefault="00EF3E79">
            <w:r>
              <w:rPr>
                <w:rFonts w:ascii="Times New Roman" w:hAnsi="Times New Roman"/>
                <w:sz w:val="17"/>
              </w:rPr>
              <w:t>Microservice unavailability shall result in deterministic HTTP 503 error codes within 5,000 ms, never leaking unhandled stack traces or hanging connections.</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NFR-4</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Cryptographic Data Protection</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All patient</w:t>
            </w:r>
            <w:r>
              <w:rPr>
                <w:rFonts w:ascii="Times New Roman" w:hAnsi="Times New Roman"/>
                <w:sz w:val="17"/>
              </w:rPr>
              <w:t xml:space="preserve"> identifiers and sensitive medical fields in MongoDB shall be encrypted at rest using AES-256-GCM with unique 96-bit initialization vectors per record.</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NFR-5</w:t>
            </w:r>
          </w:p>
        </w:tc>
        <w:tc>
          <w:tcPr>
            <w:tcW w:w="3168" w:type="dxa"/>
            <w:tcMar>
              <w:top w:w="70" w:type="dxa"/>
              <w:left w:w="80" w:type="dxa"/>
              <w:bottom w:w="70" w:type="dxa"/>
              <w:right w:w="80" w:type="dxa"/>
            </w:tcMar>
          </w:tcPr>
          <w:p w:rsidR="000F1385" w:rsidRDefault="00EF3E79">
            <w:r>
              <w:rPr>
                <w:rFonts w:ascii="Times New Roman" w:hAnsi="Times New Roman"/>
                <w:b/>
                <w:sz w:val="18"/>
              </w:rPr>
              <w:t>Resilient Authentication Hashing</w:t>
            </w:r>
          </w:p>
        </w:tc>
        <w:tc>
          <w:tcPr>
            <w:tcW w:w="5472" w:type="dxa"/>
            <w:tcMar>
              <w:top w:w="70" w:type="dxa"/>
              <w:left w:w="80" w:type="dxa"/>
              <w:bottom w:w="70" w:type="dxa"/>
              <w:right w:w="80" w:type="dxa"/>
            </w:tcMar>
          </w:tcPr>
          <w:p w:rsidR="000F1385" w:rsidRDefault="00EF3E79">
            <w:r>
              <w:rPr>
                <w:rFonts w:ascii="Times New Roman" w:hAnsi="Times New Roman"/>
                <w:sz w:val="17"/>
              </w:rPr>
              <w:t>User authentication credentials shall be protected using Argon2i</w:t>
            </w:r>
            <w:r>
              <w:rPr>
                <w:rFonts w:ascii="Times New Roman" w:hAnsi="Times New Roman"/>
                <w:sz w:val="17"/>
              </w:rPr>
              <w:t>d with 3 iterations, 64 MB memory cost, and 4 degrees of parallelism to prevent offline cracking.</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NFR-6</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Concurrency &amp; State Consistency</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The system shall maintain zero state divergence and prevent lost updates during simultaneous triage responses using </w:t>
            </w:r>
            <w:r>
              <w:rPr>
                <w:rFonts w:ascii="Times New Roman" w:hAnsi="Times New Roman"/>
                <w:sz w:val="17"/>
              </w:rPr>
              <w:t>Mongoose versioning (`__v`) and atomic updates.</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NFR-7</w:t>
            </w:r>
          </w:p>
        </w:tc>
        <w:tc>
          <w:tcPr>
            <w:tcW w:w="3168" w:type="dxa"/>
            <w:tcMar>
              <w:top w:w="70" w:type="dxa"/>
              <w:left w:w="80" w:type="dxa"/>
              <w:bottom w:w="70" w:type="dxa"/>
              <w:right w:w="80" w:type="dxa"/>
            </w:tcMar>
          </w:tcPr>
          <w:p w:rsidR="000F1385" w:rsidRDefault="00EF3E79">
            <w:r>
              <w:rPr>
                <w:rFonts w:ascii="Times New Roman" w:hAnsi="Times New Roman"/>
                <w:b/>
                <w:sz w:val="18"/>
              </w:rPr>
              <w:t>Strict Transport Security</w:t>
            </w:r>
          </w:p>
        </w:tc>
        <w:tc>
          <w:tcPr>
            <w:tcW w:w="5472" w:type="dxa"/>
            <w:tcMar>
              <w:top w:w="70" w:type="dxa"/>
              <w:left w:w="80" w:type="dxa"/>
              <w:bottom w:w="70" w:type="dxa"/>
              <w:right w:w="80" w:type="dxa"/>
            </w:tcMar>
          </w:tcPr>
          <w:p w:rsidR="000F1385" w:rsidRDefault="00EF3E79">
            <w:r>
              <w:rPr>
                <w:rFonts w:ascii="Times New Roman" w:hAnsi="Times New Roman"/>
                <w:sz w:val="17"/>
              </w:rPr>
              <w:t>All external network interactions shall enforce HTTPS over TLS 1.3 with automated HSTS, X-Content-Type-Options, and Content Security Policy headers.</w:t>
            </w:r>
          </w:p>
        </w:tc>
      </w:tr>
      <w:tr w:rsidR="000F1385">
        <w:trPr>
          <w:jc w:val="center"/>
        </w:trPr>
        <w:tc>
          <w:tcPr>
            <w:tcW w:w="1440" w:type="dxa"/>
            <w:shd w:val="clear" w:color="auto" w:fill="F4F6F7"/>
            <w:tcMar>
              <w:top w:w="70" w:type="dxa"/>
              <w:left w:w="80" w:type="dxa"/>
              <w:bottom w:w="70" w:type="dxa"/>
              <w:right w:w="80" w:type="dxa"/>
            </w:tcMar>
          </w:tcPr>
          <w:p w:rsidR="000F1385" w:rsidRDefault="00EF3E79">
            <w:r>
              <w:rPr>
                <w:rFonts w:ascii="Times New Roman" w:hAnsi="Times New Roman"/>
                <w:b/>
                <w:sz w:val="18"/>
              </w:rPr>
              <w:t>NFR-8</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8"/>
              </w:rPr>
              <w:t xml:space="preserve">Containerized </w:t>
            </w:r>
            <w:r>
              <w:rPr>
                <w:rFonts w:ascii="Times New Roman" w:hAnsi="Times New Roman"/>
                <w:b/>
                <w:sz w:val="18"/>
              </w:rPr>
              <w:t>Environment Isolation</w:t>
            </w:r>
          </w:p>
        </w:tc>
        <w:tc>
          <w:tcPr>
            <w:tcW w:w="5472" w:type="dxa"/>
            <w:shd w:val="clear" w:color="auto" w:fill="F4F6F7"/>
            <w:tcMar>
              <w:top w:w="70" w:type="dxa"/>
              <w:left w:w="80" w:type="dxa"/>
              <w:bottom w:w="70" w:type="dxa"/>
              <w:right w:w="80" w:type="dxa"/>
            </w:tcMar>
          </w:tcPr>
          <w:p w:rsidR="000F1385" w:rsidRDefault="00EF3E79">
            <w:r>
              <w:rPr>
                <w:rFonts w:ascii="Times New Roman" w:hAnsi="Times New Roman"/>
                <w:sz w:val="17"/>
              </w:rPr>
              <w:t>Services shall execute as unprivileged processes inside lightweight Docker containers connected via private network bridges with no public database exposure.</w:t>
            </w:r>
          </w:p>
        </w:tc>
      </w:tr>
    </w:tbl>
    <w:p w:rsidR="000F1385" w:rsidRDefault="00EF3E79">
      <w:pPr>
        <w:spacing w:before="80" w:after="160"/>
        <w:jc w:val="center"/>
      </w:pPr>
      <w:r>
        <w:rPr>
          <w:rFonts w:ascii="Times New Roman" w:hAnsi="Times New Roman"/>
          <w:b/>
          <w:color w:val="546E7A"/>
          <w:sz w:val="20"/>
        </w:rPr>
        <w:t>Table 2.2: System Non-Functional Requirements Specification (NFR-1 to NFR-8</w:t>
      </w:r>
      <w:r>
        <w:rPr>
          <w:rFonts w:ascii="Times New Roman" w:hAnsi="Times New Roman"/>
          <w:b/>
          <w:color w:val="546E7A"/>
          <w:sz w:val="20"/>
        </w:rPr>
        <w:t>)</w:t>
      </w:r>
    </w:p>
    <w:p w:rsidR="000F1385" w:rsidRDefault="00EF3E79">
      <w:pPr>
        <w:spacing w:before="280" w:after="120"/>
      </w:pPr>
      <w:r>
        <w:rPr>
          <w:rFonts w:ascii="Times New Roman" w:hAnsi="Times New Roman"/>
          <w:b/>
          <w:color w:val="1B4F72"/>
          <w:sz w:val="27"/>
        </w:rPr>
        <w:t>2.3 Threat Model &amp; Security Analysis (STRIDE Matrix)</w:t>
      </w:r>
    </w:p>
    <w:p w:rsidR="000F1385" w:rsidRDefault="00EF3E79">
      <w:pPr>
        <w:spacing w:after="120" w:line="360" w:lineRule="auto"/>
        <w:jc w:val="both"/>
      </w:pPr>
      <w:r>
        <w:rPr>
          <w:rFonts w:ascii="Times New Roman" w:hAnsi="Times New Roman"/>
          <w:color w:val="212121"/>
          <w:sz w:val="24"/>
        </w:rPr>
        <w:lastRenderedPageBreak/>
        <w:t xml:space="preserve">Healthcare software platforms operating across decentralized network endpoints represent high-value targets for malicious exploitation, eavesdropping, and data tampering. To systematically identify </w:t>
      </w:r>
      <w:r>
        <w:rPr>
          <w:rFonts w:ascii="Times New Roman" w:hAnsi="Times New Roman"/>
          <w:color w:val="212121"/>
          <w:sz w:val="24"/>
        </w:rPr>
        <w:t>threat vectors and engineer robust countermeasures, ArogyaMitra was subjected to an exhaustive STRIDE threat analysis (Spoofing, Tampering, Repudiation, Information Disclosure, Denial of Service, and Elevation of Privilege). Table 2.3 summarizes the identi</w:t>
      </w:r>
      <w:r>
        <w:rPr>
          <w:rFonts w:ascii="Times New Roman" w:hAnsi="Times New Roman"/>
          <w:color w:val="212121"/>
          <w:sz w:val="24"/>
        </w:rPr>
        <w:t>fied threat scenarios, potential clinical impacts, and the specific architectural mitigations verified in the codebase.</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622"/>
        <w:gridCol w:w="2817"/>
        <w:gridCol w:w="1759"/>
        <w:gridCol w:w="2962"/>
      </w:tblGrid>
      <w:tr w:rsidR="000F1385">
        <w:trPr>
          <w:jc w:val="center"/>
        </w:trPr>
        <w:tc>
          <w:tcPr>
            <w:tcW w:w="1728"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STRIDE Category</w:t>
            </w:r>
          </w:p>
        </w:tc>
        <w:tc>
          <w:tcPr>
            <w:tcW w:w="3168"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Identified Threat Scenario</w:t>
            </w:r>
          </w:p>
        </w:tc>
        <w:tc>
          <w:tcPr>
            <w:tcW w:w="1872"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Clinical Impact</w:t>
            </w:r>
          </w:p>
        </w:tc>
        <w:tc>
          <w:tcPr>
            <w:tcW w:w="3312" w:type="dxa"/>
            <w:shd w:val="clear" w:color="auto" w:fill="154360"/>
            <w:tcMar>
              <w:top w:w="100" w:type="dxa"/>
              <w:left w:w="90" w:type="dxa"/>
              <w:bottom w:w="100" w:type="dxa"/>
              <w:right w:w="90" w:type="dxa"/>
            </w:tcMar>
          </w:tcPr>
          <w:p w:rsidR="000F1385" w:rsidRDefault="00EF3E79">
            <w:pPr>
              <w:jc w:val="center"/>
            </w:pPr>
            <w:r>
              <w:rPr>
                <w:rFonts w:ascii="Times New Roman" w:hAnsi="Times New Roman"/>
                <w:b/>
                <w:color w:val="FFFFFF"/>
                <w:sz w:val="19"/>
              </w:rPr>
              <w:t>Architectural Mitigation</w:t>
            </w:r>
          </w:p>
        </w:tc>
      </w:tr>
      <w:tr w:rsidR="000F1385">
        <w:trPr>
          <w:jc w:val="center"/>
        </w:trPr>
        <w:tc>
          <w:tcPr>
            <w:tcW w:w="1728" w:type="dxa"/>
            <w:tcMar>
              <w:top w:w="70" w:type="dxa"/>
              <w:left w:w="80" w:type="dxa"/>
              <w:bottom w:w="70" w:type="dxa"/>
              <w:right w:w="80" w:type="dxa"/>
            </w:tcMar>
          </w:tcPr>
          <w:p w:rsidR="000F1385" w:rsidRDefault="00EF3E79">
            <w:r>
              <w:rPr>
                <w:rFonts w:ascii="Times New Roman" w:hAnsi="Times New Roman"/>
                <w:b/>
                <w:sz w:val="18"/>
              </w:rPr>
              <w:t>Spoofing</w:t>
            </w:r>
          </w:p>
        </w:tc>
        <w:tc>
          <w:tcPr>
            <w:tcW w:w="3168" w:type="dxa"/>
            <w:tcMar>
              <w:top w:w="70" w:type="dxa"/>
              <w:left w:w="80" w:type="dxa"/>
              <w:bottom w:w="70" w:type="dxa"/>
              <w:right w:w="80" w:type="dxa"/>
            </w:tcMar>
          </w:tcPr>
          <w:p w:rsidR="000F1385" w:rsidRDefault="00EF3E79">
            <w:r>
              <w:rPr>
                <w:rFonts w:ascii="Times New Roman" w:hAnsi="Times New Roman"/>
                <w:sz w:val="17"/>
              </w:rPr>
              <w:t>Adversary intercepts network traffic or fo</w:t>
            </w:r>
            <w:r>
              <w:rPr>
                <w:rFonts w:ascii="Times New Roman" w:hAnsi="Times New Roman"/>
                <w:sz w:val="17"/>
              </w:rPr>
              <w:t>rges worker credentials to submit fabricated patient encounters.</w:t>
            </w:r>
          </w:p>
        </w:tc>
        <w:tc>
          <w:tcPr>
            <w:tcW w:w="1872" w:type="dxa"/>
            <w:tcMar>
              <w:top w:w="70" w:type="dxa"/>
              <w:left w:w="80" w:type="dxa"/>
              <w:bottom w:w="70" w:type="dxa"/>
              <w:right w:w="80" w:type="dxa"/>
            </w:tcMar>
          </w:tcPr>
          <w:p w:rsidR="000F1385" w:rsidRDefault="00EF3E79">
            <w:r>
              <w:rPr>
                <w:rFonts w:ascii="Times New Roman" w:hAnsi="Times New Roman"/>
                <w:b/>
                <w:color w:val="E65100"/>
                <w:sz w:val="17"/>
              </w:rPr>
              <w:t>High (Clinical Distortion)</w:t>
            </w:r>
          </w:p>
        </w:tc>
        <w:tc>
          <w:tcPr>
            <w:tcW w:w="3312" w:type="dxa"/>
            <w:tcMar>
              <w:top w:w="70" w:type="dxa"/>
              <w:left w:w="80" w:type="dxa"/>
              <w:bottom w:w="70" w:type="dxa"/>
              <w:right w:w="80" w:type="dxa"/>
            </w:tcMar>
          </w:tcPr>
          <w:p w:rsidR="000F1385" w:rsidRDefault="00EF3E79">
            <w:r>
              <w:rPr>
                <w:rFonts w:ascii="Times New Roman" w:hAnsi="Times New Roman"/>
                <w:sz w:val="17"/>
              </w:rPr>
              <w:t>Enforced short-lived signed JWTs (15-min expiry) with HMAC-SHA256, Argon2id password hashing, and strict role validation.</w:t>
            </w:r>
          </w:p>
        </w:tc>
      </w:tr>
      <w:tr w:rsidR="000F1385">
        <w:trPr>
          <w:jc w:val="center"/>
        </w:trPr>
        <w:tc>
          <w:tcPr>
            <w:tcW w:w="1728" w:type="dxa"/>
            <w:shd w:val="clear" w:color="auto" w:fill="F4F6F7"/>
            <w:tcMar>
              <w:top w:w="70" w:type="dxa"/>
              <w:left w:w="80" w:type="dxa"/>
              <w:bottom w:w="70" w:type="dxa"/>
              <w:right w:w="80" w:type="dxa"/>
            </w:tcMar>
          </w:tcPr>
          <w:p w:rsidR="000F1385" w:rsidRDefault="00EF3E79">
            <w:r>
              <w:rPr>
                <w:rFonts w:ascii="Times New Roman" w:hAnsi="Times New Roman"/>
                <w:b/>
                <w:sz w:val="18"/>
              </w:rPr>
              <w:t>Tampering</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Adversary modifies triage </w:t>
            </w:r>
            <w:r>
              <w:rPr>
                <w:rFonts w:ascii="Times New Roman" w:hAnsi="Times New Roman"/>
                <w:sz w:val="17"/>
              </w:rPr>
              <w:t>urgency scores or alters patient symptom vectors in transit.</w:t>
            </w:r>
          </w:p>
        </w:tc>
        <w:tc>
          <w:tcPr>
            <w:tcW w:w="1872" w:type="dxa"/>
            <w:shd w:val="clear" w:color="auto" w:fill="F4F6F7"/>
            <w:tcMar>
              <w:top w:w="70" w:type="dxa"/>
              <w:left w:w="80" w:type="dxa"/>
              <w:bottom w:w="70" w:type="dxa"/>
              <w:right w:w="80" w:type="dxa"/>
            </w:tcMar>
          </w:tcPr>
          <w:p w:rsidR="000F1385" w:rsidRDefault="00EF3E79">
            <w:r>
              <w:rPr>
                <w:rFonts w:ascii="Times New Roman" w:hAnsi="Times New Roman"/>
                <w:b/>
                <w:color w:val="B71C1C"/>
                <w:sz w:val="17"/>
              </w:rPr>
              <w:t>Critical (Under-triage)</w:t>
            </w:r>
          </w:p>
        </w:tc>
        <w:tc>
          <w:tcPr>
            <w:tcW w:w="3312" w:type="dxa"/>
            <w:shd w:val="clear" w:color="auto" w:fill="F4F6F7"/>
            <w:tcMar>
              <w:top w:w="70" w:type="dxa"/>
              <w:left w:w="80" w:type="dxa"/>
              <w:bottom w:w="70" w:type="dxa"/>
              <w:right w:w="80" w:type="dxa"/>
            </w:tcMar>
          </w:tcPr>
          <w:p w:rsidR="000F1385" w:rsidRDefault="00EF3E79">
            <w:r>
              <w:rPr>
                <w:rFonts w:ascii="Times New Roman" w:hAnsi="Times New Roman"/>
                <w:sz w:val="17"/>
              </w:rPr>
              <w:t>Enforced TLS 1.3 encryption across external gateways; internal Docker network isolation; immutable SHA-256 hash chains on triage logs.</w:t>
            </w:r>
          </w:p>
        </w:tc>
      </w:tr>
      <w:tr w:rsidR="000F1385">
        <w:trPr>
          <w:jc w:val="center"/>
        </w:trPr>
        <w:tc>
          <w:tcPr>
            <w:tcW w:w="1728" w:type="dxa"/>
            <w:tcMar>
              <w:top w:w="70" w:type="dxa"/>
              <w:left w:w="80" w:type="dxa"/>
              <w:bottom w:w="70" w:type="dxa"/>
              <w:right w:w="80" w:type="dxa"/>
            </w:tcMar>
          </w:tcPr>
          <w:p w:rsidR="000F1385" w:rsidRDefault="00EF3E79">
            <w:r>
              <w:rPr>
                <w:rFonts w:ascii="Times New Roman" w:hAnsi="Times New Roman"/>
                <w:b/>
                <w:sz w:val="18"/>
              </w:rPr>
              <w:t>Repudiation</w:t>
            </w:r>
          </w:p>
        </w:tc>
        <w:tc>
          <w:tcPr>
            <w:tcW w:w="3168" w:type="dxa"/>
            <w:tcMar>
              <w:top w:w="70" w:type="dxa"/>
              <w:left w:w="80" w:type="dxa"/>
              <w:bottom w:w="70" w:type="dxa"/>
              <w:right w:w="80" w:type="dxa"/>
            </w:tcMar>
          </w:tcPr>
          <w:p w:rsidR="000F1385" w:rsidRDefault="00EF3E79">
            <w:r>
              <w:rPr>
                <w:rFonts w:ascii="Times New Roman" w:hAnsi="Times New Roman"/>
                <w:sz w:val="17"/>
              </w:rPr>
              <w:t xml:space="preserve">Health worker denies </w:t>
            </w:r>
            <w:r>
              <w:rPr>
                <w:rFonts w:ascii="Times New Roman" w:hAnsi="Times New Roman"/>
                <w:sz w:val="17"/>
              </w:rPr>
              <w:t>recording an improper triage decision or clinician denies failing to review an escalation.</w:t>
            </w:r>
          </w:p>
        </w:tc>
        <w:tc>
          <w:tcPr>
            <w:tcW w:w="1872" w:type="dxa"/>
            <w:tcMar>
              <w:top w:w="70" w:type="dxa"/>
              <w:left w:w="80" w:type="dxa"/>
              <w:bottom w:w="70" w:type="dxa"/>
              <w:right w:w="80" w:type="dxa"/>
            </w:tcMar>
          </w:tcPr>
          <w:p w:rsidR="000F1385" w:rsidRDefault="00EF3E79">
            <w:r>
              <w:rPr>
                <w:rFonts w:ascii="Times New Roman" w:hAnsi="Times New Roman"/>
                <w:b/>
                <w:color w:val="E65100"/>
                <w:sz w:val="17"/>
              </w:rPr>
              <w:t>High (Legal Liability)</w:t>
            </w:r>
          </w:p>
        </w:tc>
        <w:tc>
          <w:tcPr>
            <w:tcW w:w="3312" w:type="dxa"/>
            <w:tcMar>
              <w:top w:w="70" w:type="dxa"/>
              <w:left w:w="80" w:type="dxa"/>
              <w:bottom w:w="70" w:type="dxa"/>
              <w:right w:w="80" w:type="dxa"/>
            </w:tcMar>
          </w:tcPr>
          <w:p w:rsidR="000F1385" w:rsidRDefault="00EF3E79">
            <w:r>
              <w:rPr>
                <w:rFonts w:ascii="Times New Roman" w:hAnsi="Times New Roman"/>
                <w:sz w:val="17"/>
              </w:rPr>
              <w:t>Enforced immutable audit logging in MongoDB recording exact ISO timestamps, authenticated user IDs, and client IP addresses.</w:t>
            </w:r>
          </w:p>
        </w:tc>
      </w:tr>
      <w:tr w:rsidR="000F1385">
        <w:trPr>
          <w:jc w:val="center"/>
        </w:trPr>
        <w:tc>
          <w:tcPr>
            <w:tcW w:w="1728" w:type="dxa"/>
            <w:shd w:val="clear" w:color="auto" w:fill="F4F6F7"/>
            <w:tcMar>
              <w:top w:w="70" w:type="dxa"/>
              <w:left w:w="80" w:type="dxa"/>
              <w:bottom w:w="70" w:type="dxa"/>
              <w:right w:w="80" w:type="dxa"/>
            </w:tcMar>
          </w:tcPr>
          <w:p w:rsidR="000F1385" w:rsidRDefault="00EF3E79">
            <w:r>
              <w:rPr>
                <w:rFonts w:ascii="Times New Roman" w:hAnsi="Times New Roman"/>
                <w:b/>
                <w:sz w:val="18"/>
              </w:rPr>
              <w:t>Information Disc</w:t>
            </w:r>
            <w:r>
              <w:rPr>
                <w:rFonts w:ascii="Times New Roman" w:hAnsi="Times New Roman"/>
                <w:b/>
                <w:sz w:val="18"/>
              </w:rPr>
              <w:t>losure</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sz w:val="17"/>
              </w:rPr>
              <w:t>Eavesdropper accesses patient PII or unencrypted diagnosis records through database dumps or packet sniffing.</w:t>
            </w:r>
          </w:p>
        </w:tc>
        <w:tc>
          <w:tcPr>
            <w:tcW w:w="1872" w:type="dxa"/>
            <w:shd w:val="clear" w:color="auto" w:fill="F4F6F7"/>
            <w:tcMar>
              <w:top w:w="70" w:type="dxa"/>
              <w:left w:w="80" w:type="dxa"/>
              <w:bottom w:w="70" w:type="dxa"/>
              <w:right w:w="80" w:type="dxa"/>
            </w:tcMar>
          </w:tcPr>
          <w:p w:rsidR="000F1385" w:rsidRDefault="00EF3E79">
            <w:r>
              <w:rPr>
                <w:rFonts w:ascii="Times New Roman" w:hAnsi="Times New Roman"/>
                <w:b/>
                <w:color w:val="B71C1C"/>
                <w:sz w:val="17"/>
              </w:rPr>
              <w:t>Critical (Privacy Violation)</w:t>
            </w:r>
          </w:p>
        </w:tc>
        <w:tc>
          <w:tcPr>
            <w:tcW w:w="331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Field-level encryption using AES-256-GCM for patient names and contacts; PII scrubbing before sending text to </w:t>
            </w:r>
            <w:r>
              <w:rPr>
                <w:rFonts w:ascii="Times New Roman" w:hAnsi="Times New Roman"/>
                <w:sz w:val="17"/>
              </w:rPr>
              <w:t>external LLM APIs.</w:t>
            </w:r>
          </w:p>
        </w:tc>
      </w:tr>
      <w:tr w:rsidR="000F1385">
        <w:trPr>
          <w:jc w:val="center"/>
        </w:trPr>
        <w:tc>
          <w:tcPr>
            <w:tcW w:w="1728" w:type="dxa"/>
            <w:tcMar>
              <w:top w:w="70" w:type="dxa"/>
              <w:left w:w="80" w:type="dxa"/>
              <w:bottom w:w="70" w:type="dxa"/>
              <w:right w:w="80" w:type="dxa"/>
            </w:tcMar>
          </w:tcPr>
          <w:p w:rsidR="000F1385" w:rsidRDefault="00EF3E79">
            <w:r>
              <w:rPr>
                <w:rFonts w:ascii="Times New Roman" w:hAnsi="Times New Roman"/>
                <w:b/>
                <w:sz w:val="18"/>
              </w:rPr>
              <w:t>Denial of Service</w:t>
            </w:r>
          </w:p>
        </w:tc>
        <w:tc>
          <w:tcPr>
            <w:tcW w:w="3168" w:type="dxa"/>
            <w:tcMar>
              <w:top w:w="70" w:type="dxa"/>
              <w:left w:w="80" w:type="dxa"/>
              <w:bottom w:w="70" w:type="dxa"/>
              <w:right w:w="80" w:type="dxa"/>
            </w:tcMar>
          </w:tcPr>
          <w:p w:rsidR="000F1385" w:rsidRDefault="00EF3E79">
            <w:r>
              <w:rPr>
                <w:rFonts w:ascii="Times New Roman" w:hAnsi="Times New Roman"/>
                <w:sz w:val="17"/>
              </w:rPr>
              <w:t>Adversary floods triage endpoints with HTTP requests, exhausting CPU or Gemini API quotas.</w:t>
            </w:r>
          </w:p>
        </w:tc>
        <w:tc>
          <w:tcPr>
            <w:tcW w:w="1872" w:type="dxa"/>
            <w:tcMar>
              <w:top w:w="70" w:type="dxa"/>
              <w:left w:w="80" w:type="dxa"/>
              <w:bottom w:w="70" w:type="dxa"/>
              <w:right w:w="80" w:type="dxa"/>
            </w:tcMar>
          </w:tcPr>
          <w:p w:rsidR="000F1385" w:rsidRDefault="00EF3E79">
            <w:r>
              <w:rPr>
                <w:rFonts w:ascii="Times New Roman" w:hAnsi="Times New Roman"/>
                <w:b/>
                <w:color w:val="E65100"/>
                <w:sz w:val="17"/>
              </w:rPr>
              <w:t>High (Service Outage)</w:t>
            </w:r>
          </w:p>
        </w:tc>
        <w:tc>
          <w:tcPr>
            <w:tcW w:w="3312" w:type="dxa"/>
            <w:tcMar>
              <w:top w:w="70" w:type="dxa"/>
              <w:left w:w="80" w:type="dxa"/>
              <w:bottom w:w="70" w:type="dxa"/>
              <w:right w:w="80" w:type="dxa"/>
            </w:tcMar>
          </w:tcPr>
          <w:p w:rsidR="000F1385" w:rsidRDefault="00EF3E79">
            <w:r>
              <w:rPr>
                <w:rFonts w:ascii="Times New Roman" w:hAnsi="Times New Roman"/>
                <w:sz w:val="17"/>
              </w:rPr>
              <w:t xml:space="preserve">Multi-tier rate limiting (100 req/15 min on public endpoints); hard 20s LLM timeout cap with instant </w:t>
            </w:r>
            <w:r>
              <w:rPr>
                <w:rFonts w:ascii="Times New Roman" w:hAnsi="Times New Roman"/>
                <w:sz w:val="17"/>
              </w:rPr>
              <w:t>fallback to local cached templates.</w:t>
            </w:r>
          </w:p>
        </w:tc>
      </w:tr>
      <w:tr w:rsidR="000F1385">
        <w:trPr>
          <w:jc w:val="center"/>
        </w:trPr>
        <w:tc>
          <w:tcPr>
            <w:tcW w:w="1728" w:type="dxa"/>
            <w:shd w:val="clear" w:color="auto" w:fill="F4F6F7"/>
            <w:tcMar>
              <w:top w:w="70" w:type="dxa"/>
              <w:left w:w="80" w:type="dxa"/>
              <w:bottom w:w="70" w:type="dxa"/>
              <w:right w:w="80" w:type="dxa"/>
            </w:tcMar>
          </w:tcPr>
          <w:p w:rsidR="000F1385" w:rsidRDefault="00EF3E79">
            <w:r>
              <w:rPr>
                <w:rFonts w:ascii="Times New Roman" w:hAnsi="Times New Roman"/>
                <w:b/>
                <w:sz w:val="18"/>
              </w:rPr>
              <w:t>Elevation of Privilege</w:t>
            </w:r>
          </w:p>
        </w:tc>
        <w:tc>
          <w:tcPr>
            <w:tcW w:w="3168" w:type="dxa"/>
            <w:shd w:val="clear" w:color="auto" w:fill="F4F6F7"/>
            <w:tcMar>
              <w:top w:w="70" w:type="dxa"/>
              <w:left w:w="80" w:type="dxa"/>
              <w:bottom w:w="70" w:type="dxa"/>
              <w:right w:w="80" w:type="dxa"/>
            </w:tcMar>
          </w:tcPr>
          <w:p w:rsidR="000F1385" w:rsidRDefault="00EF3E79">
            <w:r>
              <w:rPr>
                <w:rFonts w:ascii="Times New Roman" w:hAnsi="Times New Roman"/>
                <w:sz w:val="17"/>
              </w:rPr>
              <w:t>Frontline health worker accesses administrative dashboards or modifies physician clinical notes.</w:t>
            </w:r>
          </w:p>
        </w:tc>
        <w:tc>
          <w:tcPr>
            <w:tcW w:w="1872" w:type="dxa"/>
            <w:shd w:val="clear" w:color="auto" w:fill="F4F6F7"/>
            <w:tcMar>
              <w:top w:w="70" w:type="dxa"/>
              <w:left w:w="80" w:type="dxa"/>
              <w:bottom w:w="70" w:type="dxa"/>
              <w:right w:w="80" w:type="dxa"/>
            </w:tcMar>
          </w:tcPr>
          <w:p w:rsidR="000F1385" w:rsidRDefault="00EF3E79">
            <w:r>
              <w:rPr>
                <w:rFonts w:ascii="Times New Roman" w:hAnsi="Times New Roman"/>
                <w:b/>
                <w:color w:val="E65100"/>
                <w:sz w:val="17"/>
              </w:rPr>
              <w:t>High (Unauthorized Action)</w:t>
            </w:r>
          </w:p>
        </w:tc>
        <w:tc>
          <w:tcPr>
            <w:tcW w:w="3312"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Role-Based Access Control (RBAC) middleware verifying user roles </w:t>
            </w:r>
            <w:r>
              <w:rPr>
                <w:rFonts w:ascii="Times New Roman" w:hAnsi="Times New Roman"/>
                <w:sz w:val="17"/>
              </w:rPr>
              <w:t>('worker', 'doctor', 'admin') on every API route.</w:t>
            </w:r>
          </w:p>
        </w:tc>
      </w:tr>
    </w:tbl>
    <w:p w:rsidR="000F1385" w:rsidRDefault="00EF3E79">
      <w:pPr>
        <w:spacing w:before="80" w:after="160"/>
        <w:jc w:val="center"/>
      </w:pPr>
      <w:r>
        <w:rPr>
          <w:rFonts w:ascii="Times New Roman" w:hAnsi="Times New Roman"/>
          <w:b/>
          <w:color w:val="546E7A"/>
          <w:sz w:val="20"/>
        </w:rPr>
        <w:t>Table 2.3: STRIDE Threat Model &amp; Architectural Security Controls</w:t>
      </w:r>
    </w:p>
    <w:p w:rsidR="000F1385" w:rsidRDefault="00EF3E79">
      <w:pPr>
        <w:spacing w:before="280" w:after="120"/>
      </w:pPr>
      <w:r>
        <w:rPr>
          <w:rFonts w:ascii="Times New Roman" w:hAnsi="Times New Roman"/>
          <w:b/>
          <w:color w:val="1B4F72"/>
          <w:sz w:val="27"/>
        </w:rPr>
        <w:t>2.4 Clinical Safety &amp; Ethics Requirements</w:t>
      </w:r>
    </w:p>
    <w:p w:rsidR="000F1385" w:rsidRDefault="00EF3E79">
      <w:pPr>
        <w:spacing w:after="120" w:line="360" w:lineRule="auto"/>
        <w:jc w:val="both"/>
      </w:pPr>
      <w:r>
        <w:rPr>
          <w:rFonts w:ascii="Times New Roman" w:hAnsi="Times New Roman"/>
          <w:color w:val="212121"/>
          <w:sz w:val="24"/>
        </w:rPr>
        <w:lastRenderedPageBreak/>
        <w:t xml:space="preserve">The deployment of artificial intelligence in healthcare demands ethical and safety guardrails far </w:t>
      </w:r>
      <w:r>
        <w:rPr>
          <w:rFonts w:ascii="Times New Roman" w:hAnsi="Times New Roman"/>
          <w:color w:val="212121"/>
          <w:sz w:val="24"/>
        </w:rPr>
        <w:t>more stringent than standard enterprise software. In accordance with guidelines from the World Health Organization (WHO Guidance on Ethics and Governance of AI for Health) and the Indian Council of Medical Research (ICMR Ethical Guidelines for AI in Biomed</w:t>
      </w:r>
      <w:r>
        <w:rPr>
          <w:rFonts w:ascii="Times New Roman" w:hAnsi="Times New Roman"/>
          <w:color w:val="212121"/>
          <w:sz w:val="24"/>
        </w:rPr>
        <w:t>ical Research), ArogyaMitra enforces four inviolable clinical safety principles:</w:t>
      </w:r>
    </w:p>
    <w:p w:rsidR="000F1385" w:rsidRDefault="00EF3E79">
      <w:pPr>
        <w:spacing w:after="120" w:line="360" w:lineRule="auto"/>
        <w:jc w:val="both"/>
      </w:pPr>
      <w:r>
        <w:rPr>
          <w:rFonts w:ascii="Times New Roman" w:hAnsi="Times New Roman"/>
          <w:color w:val="212121"/>
          <w:sz w:val="24"/>
        </w:rPr>
        <w:t>1. Strict Human-in-the-Loop Governance: ArogyaMitra is architected solely as a decision support aid, not an autonomous diagnostic agent. The system cannot initiate clinical tr</w:t>
      </w:r>
      <w:r>
        <w:rPr>
          <w:rFonts w:ascii="Times New Roman" w:hAnsi="Times New Roman"/>
          <w:color w:val="212121"/>
          <w:sz w:val="24"/>
        </w:rPr>
        <w:t>eatments, prescribe scheduled pharmaceutical drugs, or finalize patient discharge without explicit review and confirmation by a certified human health worker or medical officer.</w:t>
      </w:r>
    </w:p>
    <w:p w:rsidR="000F1385" w:rsidRDefault="00EF3E79">
      <w:pPr>
        <w:spacing w:after="120" w:line="360" w:lineRule="auto"/>
        <w:jc w:val="both"/>
      </w:pPr>
      <w:r>
        <w:rPr>
          <w:rFonts w:ascii="Times New Roman" w:hAnsi="Times New Roman"/>
          <w:color w:val="212121"/>
          <w:sz w:val="24"/>
        </w:rPr>
        <w:t xml:space="preserve">2. Absolute Red-Flag Precedence: Statistical machine learning models can fail </w:t>
      </w:r>
      <w:r>
        <w:rPr>
          <w:rFonts w:ascii="Times New Roman" w:hAnsi="Times New Roman"/>
          <w:color w:val="212121"/>
          <w:sz w:val="24"/>
        </w:rPr>
        <w:t>unpredictably when presented with complex, atypical, or out-of-distribution symptom vectors. Therefore, rule-based emergency detection operates with absolute precedence over statistical predictions, ensuring that life-threatening symptoms trigger immediate</w:t>
      </w:r>
      <w:r>
        <w:rPr>
          <w:rFonts w:ascii="Times New Roman" w:hAnsi="Times New Roman"/>
          <w:color w:val="212121"/>
          <w:sz w:val="24"/>
        </w:rPr>
        <w:t xml:space="preserve"> emergency transfer regardless of model confidence.</w:t>
      </w:r>
    </w:p>
    <w:p w:rsidR="000F1385" w:rsidRDefault="00EF3E79">
      <w:pPr>
        <w:spacing w:after="120" w:line="360" w:lineRule="auto"/>
        <w:jc w:val="both"/>
      </w:pPr>
      <w:r>
        <w:rPr>
          <w:rFonts w:ascii="Times New Roman" w:hAnsi="Times New Roman"/>
          <w:color w:val="212121"/>
          <w:sz w:val="24"/>
        </w:rPr>
        <w:t xml:space="preserve">3. Complete Disclosure of Algorithmic Boundaries: To prevent automation bias—wherein health workers place unwarranted trust in algorithmic outputs—the user interface explicitly displays model boundaries, </w:t>
      </w:r>
      <w:r>
        <w:rPr>
          <w:rFonts w:ascii="Times New Roman" w:hAnsi="Times New Roman"/>
          <w:color w:val="212121"/>
          <w:sz w:val="24"/>
        </w:rPr>
        <w:t>labels scores as uncalibrated estimates, and provides transparent feature contribution breakdowns.</w:t>
      </w:r>
    </w:p>
    <w:p w:rsidR="000F1385" w:rsidRDefault="00EF3E79">
      <w:pPr>
        <w:spacing w:after="240" w:line="360" w:lineRule="auto"/>
        <w:jc w:val="both"/>
      </w:pPr>
      <w:r>
        <w:rPr>
          <w:rFonts w:ascii="Times New Roman" w:hAnsi="Times New Roman"/>
          <w:color w:val="212121"/>
          <w:sz w:val="24"/>
        </w:rPr>
        <w:t>4. Protection Against Synthetic Data Artifacts: The machine learning model was trained on synthetic clinical datasets. While synthetic data eliminates patien</w:t>
      </w:r>
      <w:r>
        <w:rPr>
          <w:rFonts w:ascii="Times New Roman" w:hAnsi="Times New Roman"/>
          <w:color w:val="212121"/>
          <w:sz w:val="24"/>
        </w:rPr>
        <w:t>t privacy risks during development, it lacks the biological noise, comorbidities, and demographic nuances of live clinical populations. The system explicitly incorporates these operational limits into its documentation and consent workflows.</w:t>
      </w:r>
    </w:p>
    <w:p w:rsidR="000F1385" w:rsidRDefault="00EF3E79">
      <w:r>
        <w:br w:type="page"/>
      </w:r>
    </w:p>
    <w:p w:rsidR="000F1385" w:rsidRDefault="00EF3E79">
      <w:pPr>
        <w:spacing w:before="480" w:after="240"/>
      </w:pPr>
      <w:r>
        <w:rPr>
          <w:rFonts w:ascii="Times New Roman" w:hAnsi="Times New Roman"/>
          <w:b/>
          <w:color w:val="154360"/>
          <w:sz w:val="32"/>
        </w:rPr>
        <w:lastRenderedPageBreak/>
        <w:t xml:space="preserve">Chapter 3: </w:t>
      </w:r>
      <w:r>
        <w:rPr>
          <w:rFonts w:ascii="Times New Roman" w:hAnsi="Times New Roman"/>
          <w:b/>
          <w:color w:val="154360"/>
          <w:sz w:val="32"/>
        </w:rPr>
        <w:t>System Architecture &amp; Design</w:t>
      </w:r>
    </w:p>
    <w:p w:rsidR="000F1385" w:rsidRDefault="00EF3E79">
      <w:pPr>
        <w:spacing w:before="280" w:after="120"/>
      </w:pPr>
      <w:r>
        <w:rPr>
          <w:rFonts w:ascii="Times New Roman" w:hAnsi="Times New Roman"/>
          <w:b/>
          <w:color w:val="1B4F72"/>
          <w:sz w:val="27"/>
        </w:rPr>
        <w:t>3.1 Architectural Overview &amp; Container Topology</w:t>
      </w:r>
    </w:p>
    <w:p w:rsidR="000F1385" w:rsidRDefault="00EF3E79">
      <w:pPr>
        <w:spacing w:after="120" w:line="360" w:lineRule="auto"/>
        <w:jc w:val="both"/>
      </w:pPr>
      <w:r>
        <w:rPr>
          <w:rFonts w:ascii="Times New Roman" w:hAnsi="Times New Roman"/>
          <w:color w:val="212121"/>
          <w:sz w:val="24"/>
        </w:rPr>
        <w:t xml:space="preserve">ArogyaMitra is architected as an event-driven, containerized microservice ecosystem engineered for fault tolerance, horizontal modularity, and strict cryptographic trust </w:t>
      </w:r>
      <w:r>
        <w:rPr>
          <w:rFonts w:ascii="Times New Roman" w:hAnsi="Times New Roman"/>
          <w:color w:val="212121"/>
          <w:sz w:val="24"/>
        </w:rPr>
        <w:t xml:space="preserve">boundaries. Rather than deploying a monolithic application where failure in an auxiliary service (such as natural language explanation) halts primary triage, the system decomposes clinical workflows across four specialized services, an edge reverse proxy, </w:t>
      </w:r>
      <w:r>
        <w:rPr>
          <w:rFonts w:ascii="Times New Roman" w:hAnsi="Times New Roman"/>
          <w:color w:val="212121"/>
          <w:sz w:val="24"/>
        </w:rPr>
        <w:t>and a persistent database.</w:t>
      </w:r>
    </w:p>
    <w:p w:rsidR="000F1385" w:rsidRDefault="00EF3E79">
      <w:pPr>
        <w:spacing w:after="120" w:line="360" w:lineRule="auto"/>
        <w:jc w:val="both"/>
      </w:pPr>
      <w:r>
        <w:rPr>
          <w:rFonts w:ascii="Times New Roman" w:hAnsi="Times New Roman"/>
          <w:color w:val="212121"/>
          <w:sz w:val="24"/>
        </w:rPr>
        <w:t>The container topology comprises six coordinated Docker services operating within a dedicated private bridge network (`arogya-net`):</w:t>
      </w:r>
    </w:p>
    <w:p w:rsidR="000F1385" w:rsidRDefault="00EF3E79">
      <w:pPr>
        <w:spacing w:after="80" w:line="360" w:lineRule="auto"/>
        <w:jc w:val="both"/>
      </w:pPr>
      <w:r>
        <w:rPr>
          <w:rFonts w:ascii="Times New Roman" w:hAnsi="Times New Roman"/>
          <w:color w:val="212121"/>
          <w:sz w:val="24"/>
        </w:rPr>
        <w:t>1. Edge Gateway &amp; TLS Terminator (Nginx): The sole public ingress point. Exposes HTTPS over port</w:t>
      </w:r>
      <w:r>
        <w:rPr>
          <w:rFonts w:ascii="Times New Roman" w:hAnsi="Times New Roman"/>
          <w:color w:val="212121"/>
          <w:sz w:val="24"/>
        </w:rPr>
        <w:t xml:space="preserve"> 443 with TLS 1.3 encryption, terminates client connections, enforces HTTP Strict Transport Security (HSTS), manages cross-origin resource sharing (CORS), and proxies traffic internally.</w:t>
      </w:r>
    </w:p>
    <w:p w:rsidR="000F1385" w:rsidRDefault="00EF3E79">
      <w:pPr>
        <w:spacing w:after="80" w:line="360" w:lineRule="auto"/>
        <w:jc w:val="both"/>
      </w:pPr>
      <w:r>
        <w:rPr>
          <w:rFonts w:ascii="Times New Roman" w:hAnsi="Times New Roman"/>
          <w:color w:val="212121"/>
          <w:sz w:val="24"/>
        </w:rPr>
        <w:t>2. Frontend UI Service (Streamlit / Python 3.11): Provides an intuiti</w:t>
      </w:r>
      <w:r>
        <w:rPr>
          <w:rFonts w:ascii="Times New Roman" w:hAnsi="Times New Roman"/>
          <w:color w:val="212121"/>
          <w:sz w:val="24"/>
        </w:rPr>
        <w:t>ve, role-tailored interface for community health workers and medical officers. Communicates exclusively with the backend gateway over the internal container network (port 8501).</w:t>
      </w:r>
    </w:p>
    <w:p w:rsidR="000F1385" w:rsidRDefault="00EF3E79">
      <w:pPr>
        <w:spacing w:after="80" w:line="360" w:lineRule="auto"/>
        <w:jc w:val="both"/>
      </w:pPr>
      <w:r>
        <w:rPr>
          <w:rFonts w:ascii="Times New Roman" w:hAnsi="Times New Roman"/>
          <w:color w:val="212121"/>
          <w:sz w:val="24"/>
        </w:rPr>
        <w:t xml:space="preserve">3. Core Backend API Gateway (Node.js 20 / Express): Orchestrates consultation </w:t>
      </w:r>
      <w:r>
        <w:rPr>
          <w:rFonts w:ascii="Times New Roman" w:hAnsi="Times New Roman"/>
          <w:color w:val="212121"/>
          <w:sz w:val="24"/>
        </w:rPr>
        <w:t>state, enforces JWT authentication and Argon2id password security, executes AES-256-GCM field encryption, and manages MongoDB transactions (port 5000).</w:t>
      </w:r>
    </w:p>
    <w:p w:rsidR="000F1385" w:rsidRDefault="00EF3E79">
      <w:pPr>
        <w:spacing w:after="80" w:line="360" w:lineRule="auto"/>
        <w:jc w:val="both"/>
      </w:pPr>
      <w:r>
        <w:rPr>
          <w:rFonts w:ascii="Times New Roman" w:hAnsi="Times New Roman"/>
          <w:color w:val="212121"/>
          <w:sz w:val="24"/>
        </w:rPr>
        <w:t>4. Stateless Machine Learning Engine (FastAPI / Python 3.11): Implements the scikit-learn Bernoulli Naiv</w:t>
      </w:r>
      <w:r>
        <w:rPr>
          <w:rFonts w:ascii="Times New Roman" w:hAnsi="Times New Roman"/>
          <w:color w:val="212121"/>
          <w:sz w:val="24"/>
        </w:rPr>
        <w:t>e Bayes classifier, vectorizes 131 symptom inputs, and computes closed-form log-odds feature attributions (port 8000).</w:t>
      </w:r>
    </w:p>
    <w:p w:rsidR="000F1385" w:rsidRDefault="00EF3E79">
      <w:pPr>
        <w:spacing w:after="80" w:line="360" w:lineRule="auto"/>
        <w:jc w:val="both"/>
      </w:pPr>
      <w:r>
        <w:rPr>
          <w:rFonts w:ascii="Times New Roman" w:hAnsi="Times New Roman"/>
          <w:color w:val="212121"/>
          <w:sz w:val="24"/>
        </w:rPr>
        <w:t xml:space="preserve">5. Guarded LLM Narrative Service (FastAPI / LangGraph): Executes structured narrative formatting, Gemini API cascades, regex guardrails, </w:t>
      </w:r>
      <w:r>
        <w:rPr>
          <w:rFonts w:ascii="Times New Roman" w:hAnsi="Times New Roman"/>
          <w:color w:val="212121"/>
          <w:sz w:val="24"/>
        </w:rPr>
        <w:t>and deterministic clinical template rendering (port 8001).</w:t>
      </w:r>
    </w:p>
    <w:p w:rsidR="000F1385" w:rsidRDefault="00EF3E79">
      <w:pPr>
        <w:spacing w:line="360" w:lineRule="auto"/>
        <w:jc w:val="both"/>
      </w:pPr>
      <w:r>
        <w:rPr>
          <w:rFonts w:ascii="Times New Roman" w:hAnsi="Times New Roman"/>
          <w:color w:val="212121"/>
          <w:sz w:val="24"/>
        </w:rPr>
        <w:t xml:space="preserve">6. Database Persistence Layer (MongoDB 7.0): Stores encrypted consultation records, user accounts, and immutable audit trails backed by a dedicated Docker persistent volume </w:t>
      </w:r>
      <w:r>
        <w:rPr>
          <w:rFonts w:ascii="Times New Roman" w:hAnsi="Times New Roman"/>
          <w:color w:val="212121"/>
          <w:sz w:val="24"/>
        </w:rPr>
        <w:lastRenderedPageBreak/>
        <w:t>(`mongo-data`). Cruciall</w:t>
      </w:r>
      <w:r>
        <w:rPr>
          <w:rFonts w:ascii="Times New Roman" w:hAnsi="Times New Roman"/>
          <w:color w:val="212121"/>
          <w:sz w:val="24"/>
        </w:rPr>
        <w:t>y, MongoDB exposes no published ports to the host machine, preventing unauthorized network access.</w:t>
      </w:r>
    </w:p>
    <w:p w:rsidR="000F1385" w:rsidRDefault="00EF3E79">
      <w:pPr>
        <w:spacing w:before="200" w:after="40"/>
        <w:jc w:val="center"/>
      </w:pPr>
      <w:r>
        <w:rPr>
          <w:noProof/>
          <w:lang w:val="en-IN" w:eastAsia="en-IN"/>
        </w:rPr>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1_architecture_trust_boundaries.png"/>
                    <pic:cNvPicPr/>
                  </pic:nvPicPr>
                  <pic:blipFill>
                    <a:blip r:embed="rId8"/>
                    <a:stretch>
                      <a:fillRect/>
                    </a:stretch>
                  </pic:blipFill>
                  <pic:spPr>
                    <a:xfrm>
                      <a:off x="0" y="0"/>
                      <a:ext cx="5486400" cy="308610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3.1: Microservice Container Topology &amp; Trust Boundaries</w:t>
      </w:r>
    </w:p>
    <w:p w:rsidR="000F1385" w:rsidRDefault="00EF3E79">
      <w:pPr>
        <w:spacing w:after="120" w:line="360" w:lineRule="auto"/>
        <w:jc w:val="both"/>
      </w:pPr>
      <w:r>
        <w:rPr>
          <w:rFonts w:ascii="Times New Roman" w:hAnsi="Times New Roman"/>
          <w:color w:val="212121"/>
          <w:sz w:val="24"/>
        </w:rPr>
        <w:t>Figure 3.1 illustrates the architectural trust boundaries. Outside the perimeter, client web</w:t>
      </w:r>
      <w:r>
        <w:rPr>
          <w:rFonts w:ascii="Times New Roman" w:hAnsi="Times New Roman"/>
          <w:color w:val="212121"/>
          <w:sz w:val="24"/>
        </w:rPr>
        <w:t xml:space="preserve"> browsers communicate strictly over encrypted TLS 1.3 tunnels. Inside the perimeter, the Nginx reverse proxy routes traffic across microservices over the isolated Docker bridge. Sensitive database interactions occur strictly between the Backend API Gateway</w:t>
      </w:r>
      <w:r>
        <w:rPr>
          <w:rFonts w:ascii="Times New Roman" w:hAnsi="Times New Roman"/>
          <w:color w:val="212121"/>
          <w:sz w:val="24"/>
        </w:rPr>
        <w:t xml:space="preserve"> and MongoDB, isolating the data tier from external tampering.</w:t>
      </w:r>
    </w:p>
    <w:p w:rsidR="000F1385" w:rsidRDefault="00EF3E79">
      <w:pPr>
        <w:spacing w:before="200" w:after="40"/>
        <w:jc w:val="center"/>
      </w:pPr>
      <w:r>
        <w:rPr>
          <w:noProof/>
          <w:lang w:val="en-IN" w:eastAsia="en-IN"/>
        </w:rPr>
        <w:lastRenderedPageBreak/>
        <w:drawing>
          <wp:inline distT="0" distB="0" distL="0" distR="0">
            <wp:extent cx="5303520" cy="2784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6_docker_network_volume.png"/>
                    <pic:cNvPicPr/>
                  </pic:nvPicPr>
                  <pic:blipFill>
                    <a:blip r:embed="rId9"/>
                    <a:stretch>
                      <a:fillRect/>
                    </a:stretch>
                  </pic:blipFill>
                  <pic:spPr>
                    <a:xfrm>
                      <a:off x="0" y="0"/>
                      <a:ext cx="5303520" cy="2784348"/>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3.2: Docker Bridge Network Isolation &amp; Persistent Volumes</w:t>
      </w:r>
    </w:p>
    <w:p w:rsidR="000F1385" w:rsidRDefault="00EF3E79">
      <w:pPr>
        <w:spacing w:after="120" w:line="360" w:lineRule="auto"/>
        <w:jc w:val="both"/>
      </w:pPr>
      <w:r>
        <w:rPr>
          <w:rFonts w:ascii="Times New Roman" w:hAnsi="Times New Roman"/>
          <w:color w:val="212121"/>
          <w:sz w:val="24"/>
        </w:rPr>
        <w:t>As detailed in Figure 3.2, container network isolation guarantees that even if a frontend or auxiliary narrative service is co</w:t>
      </w:r>
      <w:r>
        <w:rPr>
          <w:rFonts w:ascii="Times New Roman" w:hAnsi="Times New Roman"/>
          <w:color w:val="212121"/>
          <w:sz w:val="24"/>
        </w:rPr>
        <w:t>mpromised, direct access to raw database files or unencrypted storage volumes is physically impossible under standard Linux containerization namespaces.</w:t>
      </w:r>
    </w:p>
    <w:p w:rsidR="000F1385" w:rsidRDefault="00EF3E79">
      <w:pPr>
        <w:spacing w:before="280" w:after="120"/>
      </w:pPr>
      <w:r>
        <w:rPr>
          <w:rFonts w:ascii="Times New Roman" w:hAnsi="Times New Roman"/>
          <w:b/>
          <w:color w:val="1B4F72"/>
          <w:sz w:val="27"/>
        </w:rPr>
        <w:t>3.2 Machine Learning Inference &amp; Calibration Engine</w:t>
      </w:r>
    </w:p>
    <w:p w:rsidR="000F1385" w:rsidRDefault="00EF3E79">
      <w:pPr>
        <w:spacing w:before="200" w:after="80"/>
      </w:pPr>
      <w:r>
        <w:rPr>
          <w:rFonts w:ascii="Times New Roman" w:hAnsi="Times New Roman"/>
          <w:b/>
          <w:i/>
          <w:color w:val="212121"/>
          <w:sz w:val="24"/>
        </w:rPr>
        <w:t>3.2.1 Bernoulli Naive Bayes Mathematical Formulatio</w:t>
      </w:r>
      <w:r>
        <w:rPr>
          <w:rFonts w:ascii="Times New Roman" w:hAnsi="Times New Roman"/>
          <w:b/>
          <w:i/>
          <w:color w:val="212121"/>
          <w:sz w:val="24"/>
        </w:rPr>
        <w:t>n</w:t>
      </w:r>
    </w:p>
    <w:p w:rsidR="000F1385" w:rsidRDefault="00EF3E79">
      <w:pPr>
        <w:spacing w:after="120" w:line="360" w:lineRule="auto"/>
        <w:jc w:val="both"/>
      </w:pPr>
      <w:r>
        <w:rPr>
          <w:rFonts w:ascii="Times New Roman" w:hAnsi="Times New Roman"/>
          <w:color w:val="212121"/>
          <w:sz w:val="24"/>
        </w:rPr>
        <w:t>The core classification engine of ArogyaMitra utilizes a multivariate Bernoulli Naive Bayes model. Let $\mathcal{C} = \{c_1, c_2, \dots, c_K\}$ denote the set of $K = 41$ target disease classes, and let $\mathbf{x} = (x_1, x_2, \dots, x_D)^T \in \{0, 1\}</w:t>
      </w:r>
      <w:r>
        <w:rPr>
          <w:rFonts w:ascii="Times New Roman" w:hAnsi="Times New Roman"/>
          <w:color w:val="212121"/>
          <w:sz w:val="24"/>
        </w:rPr>
        <w:t>^D$ represent a binary symptom vector of dimension $D = 131$, where $x_j = 1$ indicates the reported presence of symptom $j$, and $x_j = 0$ indicates its absence.</w:t>
      </w:r>
    </w:p>
    <w:p w:rsidR="000F1385" w:rsidRDefault="00EF3E79">
      <w:pPr>
        <w:spacing w:after="120" w:line="360" w:lineRule="auto"/>
        <w:jc w:val="both"/>
      </w:pPr>
      <w:r>
        <w:rPr>
          <w:rFonts w:ascii="Times New Roman" w:hAnsi="Times New Roman"/>
          <w:color w:val="212121"/>
          <w:sz w:val="24"/>
        </w:rPr>
        <w:t>Under the conditional independence assumption, the joint likelihood of observing symptom vect</w:t>
      </w:r>
      <w:r>
        <w:rPr>
          <w:rFonts w:ascii="Times New Roman" w:hAnsi="Times New Roman"/>
          <w:color w:val="212121"/>
          <w:sz w:val="24"/>
        </w:rPr>
        <w:t>or $\mathbf{x}$ given disease class $c$ is expressed as: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[Mathematical Formulation: Likelihood] </w:t>
            </w:r>
            <w:r>
              <w:rPr>
                <w:rFonts w:ascii="Times New Roman" w:hAnsi="Times New Roman"/>
                <w:i/>
                <w:color w:val="212121"/>
                <w:sz w:val="21"/>
              </w:rPr>
              <w:t>P(\mathbf{x} \mid Y = c) = \prod_{j=1}^{D} P(X_j = x_j \mid Y = c) = \prod_{j=1}^{D} \theta_{c, j}^{x_j} (1 - \theta_{c, j})^{1 - x_j}</w:t>
            </w:r>
            <w:r>
              <w:rPr>
                <w:rFonts w:ascii="Times New Roman" w:hAnsi="Times New Roman"/>
                <w:i/>
                <w:color w:val="212121"/>
                <w:sz w:val="21"/>
              </w:rPr>
              <w:br/>
            </w:r>
            <w:r>
              <w:rPr>
                <w:rFonts w:ascii="Times New Roman" w:hAnsi="Times New Roman"/>
                <w:i/>
                <w:color w:val="212121"/>
                <w:sz w:val="21"/>
              </w:rPr>
              <w:br/>
              <w:t xml:space="preserve">where \theta_{c, j} = </w:t>
            </w:r>
            <w:r>
              <w:rPr>
                <w:rFonts w:ascii="Times New Roman" w:hAnsi="Times New Roman"/>
                <w:i/>
                <w:color w:val="212121"/>
                <w:sz w:val="21"/>
              </w:rPr>
              <w:t>P(X_j = 1 \mid Y = c) represents the parameter probability that symptom j is present given disease c.</w:t>
            </w:r>
          </w:p>
        </w:tc>
      </w:tr>
    </w:tbl>
    <w:p w:rsidR="000F1385" w:rsidRDefault="000F1385">
      <w:pPr>
        <w:spacing w:after="80"/>
      </w:pPr>
    </w:p>
    <w:p w:rsidR="000F1385" w:rsidRDefault="00EF3E79">
      <w:pPr>
        <w:spacing w:after="120" w:line="360" w:lineRule="auto"/>
        <w:jc w:val="both"/>
      </w:pPr>
      <w:r>
        <w:rPr>
          <w:rFonts w:ascii="Times New Roman" w:hAnsi="Times New Roman"/>
          <w:color w:val="212121"/>
          <w:sz w:val="24"/>
        </w:rPr>
        <w:lastRenderedPageBreak/>
        <w:t>To prevent zero-frequency probability estimation when a symptom was not observed during training for a particular disease, Laplace smoothing (additive s</w:t>
      </w:r>
      <w:r>
        <w:rPr>
          <w:rFonts w:ascii="Times New Roman" w:hAnsi="Times New Roman"/>
          <w:color w:val="212121"/>
          <w:sz w:val="24"/>
        </w:rPr>
        <w:t>moothing with parameter $\alpha = 1.0$) is applied during parameter estimation:</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[Mathematical Formulation: Laplace Smoothing] </w:t>
            </w:r>
            <w:r>
              <w:rPr>
                <w:rFonts w:ascii="Times New Roman" w:hAnsi="Times New Roman"/>
                <w:i/>
                <w:color w:val="212121"/>
                <w:sz w:val="21"/>
              </w:rPr>
              <w:t>\hat{\theta}_{c, j} = \frac{N_{c, j} + \alpha}{N_c + 2\alpha}</w:t>
            </w:r>
            <w:r>
              <w:rPr>
                <w:rFonts w:ascii="Times New Roman" w:hAnsi="Times New Roman"/>
                <w:i/>
                <w:color w:val="212121"/>
                <w:sz w:val="21"/>
              </w:rPr>
              <w:br/>
            </w:r>
            <w:r>
              <w:rPr>
                <w:rFonts w:ascii="Times New Roman" w:hAnsi="Times New Roman"/>
                <w:i/>
                <w:color w:val="212121"/>
                <w:sz w:val="21"/>
              </w:rPr>
              <w:br/>
              <w:t>where N_{c, j} is the count of training samples in class c presenti</w:t>
            </w:r>
            <w:r>
              <w:rPr>
                <w:rFonts w:ascii="Times New Roman" w:hAnsi="Times New Roman"/>
                <w:i/>
                <w:color w:val="212121"/>
                <w:sz w:val="21"/>
              </w:rPr>
              <w:t>ng symptom j, and N_c is the total sample count in class c.</w:t>
            </w:r>
          </w:p>
        </w:tc>
      </w:tr>
    </w:tbl>
    <w:p w:rsidR="000F1385" w:rsidRDefault="000F1385">
      <w:pPr>
        <w:spacing w:after="80"/>
      </w:pPr>
    </w:p>
    <w:p w:rsidR="000F1385" w:rsidRDefault="00EF3E79">
      <w:pPr>
        <w:spacing w:after="120" w:line="360" w:lineRule="auto"/>
        <w:jc w:val="both"/>
      </w:pPr>
      <w:r>
        <w:rPr>
          <w:rFonts w:ascii="Times New Roman" w:hAnsi="Times New Roman"/>
          <w:color w:val="212121"/>
          <w:sz w:val="24"/>
        </w:rPr>
        <w:t>Applying Bayes' Theorem, the posterior class probability is formulated in log-space to ensure numerical stability and prevent floating-point underflow:</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[Mathematical Formulation: Log-Posterior] </w:t>
            </w:r>
            <w:r>
              <w:rPr>
                <w:rFonts w:ascii="Times New Roman" w:hAnsi="Times New Roman"/>
                <w:i/>
                <w:color w:val="212121"/>
                <w:sz w:val="21"/>
              </w:rPr>
              <w:t>\ln P(Y = c \mid \mathbf{x}) = \ln P(Y = c) + \sum_{j=1}^{D} \left[ x_j \ln \hat{\theta}_{c, j} + (1 - x_j) \ln (1 - \hat{\theta}_{c, j}) \right] - \ln P(\mathbf{x})</w:t>
            </w:r>
          </w:p>
        </w:tc>
      </w:tr>
    </w:tbl>
    <w:p w:rsidR="000F1385" w:rsidRDefault="000F1385">
      <w:pPr>
        <w:spacing w:after="80"/>
      </w:pPr>
    </w:p>
    <w:p w:rsidR="000F1385" w:rsidRDefault="00EF3E79">
      <w:pPr>
        <w:spacing w:after="120" w:line="360" w:lineRule="auto"/>
        <w:jc w:val="both"/>
      </w:pPr>
      <w:r>
        <w:rPr>
          <w:rFonts w:ascii="Times New Roman" w:hAnsi="Times New Roman"/>
          <w:color w:val="212121"/>
          <w:sz w:val="24"/>
        </w:rPr>
        <w:t>The optimal predicted condition $\hat{y}$ is selected via maximum a posteriori (MAP) est</w:t>
      </w:r>
      <w:r>
        <w:rPr>
          <w:rFonts w:ascii="Times New Roman" w:hAnsi="Times New Roman"/>
          <w:color w:val="212121"/>
          <w:sz w:val="24"/>
        </w:rPr>
        <w:t>imation across all 41 classes: $\hat{y} = \arg\max_{c \in \mathcal{C}} \ln P(Y = c \mid \mathbf{x})$. To present normalized differential estimates to clinicians, the log-posteriors are converted via the standard Softmax function.</w:t>
      </w:r>
    </w:p>
    <w:p w:rsidR="000F1385" w:rsidRDefault="00EF3E79">
      <w:pPr>
        <w:spacing w:before="200" w:after="80"/>
      </w:pPr>
      <w:r>
        <w:rPr>
          <w:rFonts w:ascii="Times New Roman" w:hAnsi="Times New Roman"/>
          <w:b/>
          <w:i/>
          <w:color w:val="212121"/>
          <w:sz w:val="24"/>
        </w:rPr>
        <w:t xml:space="preserve">3.2.2 Feature Engineering </w:t>
      </w:r>
      <w:r>
        <w:rPr>
          <w:rFonts w:ascii="Times New Roman" w:hAnsi="Times New Roman"/>
          <w:b/>
          <w:i/>
          <w:color w:val="212121"/>
          <w:sz w:val="24"/>
        </w:rPr>
        <w:t>&amp; Vocabulary Alignment</w:t>
      </w:r>
    </w:p>
    <w:p w:rsidR="000F1385" w:rsidRDefault="00EF3E79">
      <w:pPr>
        <w:spacing w:after="120" w:line="360" w:lineRule="auto"/>
        <w:jc w:val="both"/>
      </w:pPr>
      <w:r>
        <w:rPr>
          <w:rFonts w:ascii="Times New Roman" w:hAnsi="Times New Roman"/>
          <w:color w:val="212121"/>
          <w:sz w:val="24"/>
        </w:rPr>
        <w:t>The feature vocabulary consists of 131 discrete clinical symptoms curated to reflect primary healthcare presentations in rural India. Symptoms range from common infectious indicators (fever, chills, cough, nausea) to acute systemic s</w:t>
      </w:r>
      <w:r>
        <w:rPr>
          <w:rFonts w:ascii="Times New Roman" w:hAnsi="Times New Roman"/>
          <w:color w:val="212121"/>
          <w:sz w:val="24"/>
        </w:rPr>
        <w:t>igns (chest pain, breathlessness, jaundice, joint swelling).</w:t>
      </w:r>
    </w:p>
    <w:p w:rsidR="000F1385" w:rsidRDefault="00EF3E79">
      <w:pPr>
        <w:spacing w:after="120" w:line="360" w:lineRule="auto"/>
        <w:jc w:val="both"/>
      </w:pPr>
      <w:r>
        <w:rPr>
          <w:rFonts w:ascii="Times New Roman" w:hAnsi="Times New Roman"/>
          <w:color w:val="212121"/>
          <w:sz w:val="24"/>
        </w:rPr>
        <w:t>When a health worker selects symptoms in the user interface, the frontend constructs a JSON payload containing an array of string identifiers. The ML microservice validates the incoming payload a</w:t>
      </w:r>
      <w:r>
        <w:rPr>
          <w:rFonts w:ascii="Times New Roman" w:hAnsi="Times New Roman"/>
          <w:color w:val="212121"/>
          <w:sz w:val="24"/>
        </w:rPr>
        <w:t>gainst a strict Pydantic schema, verifies that all submitted identifiers exist within the master vocabulary, and constructs a 131-dimensional binary NumPy array. Unselected features are deterministically zero-padded. Crucially, the model evaluates both the</w:t>
      </w:r>
      <w:r>
        <w:rPr>
          <w:rFonts w:ascii="Times New Roman" w:hAnsi="Times New Roman"/>
          <w:color w:val="212121"/>
          <w:sz w:val="24"/>
        </w:rPr>
        <w:t xml:space="preserve"> presence ($x_j = 1$) and the absence ($x_j = 0$) of symptoms, allowing the model to penalize disease hypotheses whose hallmark signs are explicitly denied by the patient.</w:t>
      </w:r>
    </w:p>
    <w:p w:rsidR="000F1385" w:rsidRDefault="00EF3E79">
      <w:pPr>
        <w:spacing w:before="200" w:after="80"/>
      </w:pPr>
      <w:r>
        <w:rPr>
          <w:rFonts w:ascii="Times New Roman" w:hAnsi="Times New Roman"/>
          <w:b/>
          <w:i/>
          <w:color w:val="212121"/>
          <w:sz w:val="24"/>
        </w:rPr>
        <w:lastRenderedPageBreak/>
        <w:t>3.2.3 Explainability via Top-Feature Attribution</w:t>
      </w:r>
    </w:p>
    <w:p w:rsidR="000F1385" w:rsidRDefault="00EF3E79">
      <w:pPr>
        <w:spacing w:after="120" w:line="360" w:lineRule="auto"/>
        <w:jc w:val="both"/>
      </w:pPr>
      <w:r>
        <w:rPr>
          <w:rFonts w:ascii="Times New Roman" w:hAnsi="Times New Roman"/>
          <w:color w:val="212121"/>
          <w:sz w:val="24"/>
        </w:rPr>
        <w:t>A critical limitation of complex en</w:t>
      </w:r>
      <w:r>
        <w:rPr>
          <w:rFonts w:ascii="Times New Roman" w:hAnsi="Times New Roman"/>
          <w:color w:val="212121"/>
          <w:sz w:val="24"/>
        </w:rPr>
        <w:t>semble models (such as deep neural networks or dense gradient boosted trees) is their opacity. In clinical settings, frontline workers cannot safely act upon an ungrounded classification score without understanding which symptoms drove the algorithmic deci</w:t>
      </w:r>
      <w:r>
        <w:rPr>
          <w:rFonts w:ascii="Times New Roman" w:hAnsi="Times New Roman"/>
          <w:color w:val="212121"/>
          <w:sz w:val="24"/>
        </w:rPr>
        <w:t>sion. While post-hoc perturbation methods like LIME (Ribeiro et al., 2016) are widely used, they introduce stochastic sampling variance and high latency (often 800–1,500 ms).</w:t>
      </w:r>
    </w:p>
    <w:p w:rsidR="000F1385" w:rsidRDefault="00EF3E79">
      <w:pPr>
        <w:spacing w:after="120" w:line="360" w:lineRule="auto"/>
        <w:jc w:val="both"/>
      </w:pPr>
      <w:r>
        <w:rPr>
          <w:rFonts w:ascii="Times New Roman" w:hAnsi="Times New Roman"/>
          <w:color w:val="212121"/>
          <w:sz w:val="24"/>
        </w:rPr>
        <w:t xml:space="preserve">To provide deterministic, sub-millisecond interpretability, ArogyaMitra derives </w:t>
      </w:r>
      <w:r>
        <w:rPr>
          <w:rFonts w:ascii="Times New Roman" w:hAnsi="Times New Roman"/>
          <w:color w:val="212121"/>
          <w:sz w:val="24"/>
        </w:rPr>
        <w:t>exact additive log-odds feature attributions directly from the trained Bernoulli parameters. Let $\bar{\theta}_j = \frac{1}{K} \sum_{k=1}^K \hat{\theta}_{k, j}$ represent the background prevalence of symptom $j$ across all disease classes. The individual e</w:t>
      </w:r>
      <w:r>
        <w:rPr>
          <w:rFonts w:ascii="Times New Roman" w:hAnsi="Times New Roman"/>
          <w:color w:val="212121"/>
          <w:sz w:val="24"/>
        </w:rPr>
        <w:t>vidence contribution $w_{c, j}(x_j)$ of feature $j$ toward disease class $c$ is formulated as: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[Mathematical Formulation: Additive Feature Log-Odds] </w:t>
            </w:r>
            <w:r>
              <w:rPr>
                <w:rFonts w:ascii="Times New Roman" w:hAnsi="Times New Roman"/>
                <w:i/>
                <w:color w:val="212121"/>
                <w:sz w:val="21"/>
              </w:rPr>
              <w:t>w_{c, j}(x_j) = x_j \ln \left( \frac{\hat{\theta}_{c, j}}{\bar{\theta}_j} \right) + (1 - x_j) \ln \left( \f</w:t>
            </w:r>
            <w:r>
              <w:rPr>
                <w:rFonts w:ascii="Times New Roman" w:hAnsi="Times New Roman"/>
                <w:i/>
                <w:color w:val="212121"/>
                <w:sz w:val="21"/>
              </w:rPr>
              <w:t>rac{1 - \hat{\theta}_{c, j}}{1 - \bar{\theta}_j} \right)</w:t>
            </w:r>
          </w:p>
        </w:tc>
      </w:tr>
    </w:tbl>
    <w:p w:rsidR="000F1385" w:rsidRDefault="000F1385">
      <w:pPr>
        <w:spacing w:after="80"/>
      </w:pPr>
    </w:p>
    <w:p w:rsidR="000F1385" w:rsidRDefault="00EF3E79">
      <w:pPr>
        <w:spacing w:after="120" w:line="360" w:lineRule="auto"/>
        <w:jc w:val="both"/>
      </w:pPr>
      <w:r>
        <w:rPr>
          <w:rFonts w:ascii="Times New Roman" w:hAnsi="Times New Roman"/>
          <w:b/>
          <w:color w:val="212121"/>
          <w:sz w:val="24"/>
        </w:rPr>
        <w:t>Properties of this derivation:</w:t>
      </w:r>
    </w:p>
    <w:p w:rsidR="000F1385" w:rsidRDefault="00EF3E79">
      <w:pPr>
        <w:spacing w:after="80" w:line="360" w:lineRule="auto"/>
        <w:jc w:val="both"/>
      </w:pPr>
      <w:r>
        <w:rPr>
          <w:rFonts w:ascii="Times New Roman" w:hAnsi="Times New Roman"/>
          <w:color w:val="212121"/>
          <w:sz w:val="24"/>
        </w:rPr>
        <w:t xml:space="preserve">1. Positive Evidence: If symptom $j$ is present ($x_j = 1$) and its class probability exceeds background prevalence ($\hat{\theta}_{c, j} &gt; \bar{\theta}_j$), $w_{c, </w:t>
      </w:r>
      <w:r>
        <w:rPr>
          <w:rFonts w:ascii="Times New Roman" w:hAnsi="Times New Roman"/>
          <w:color w:val="212121"/>
          <w:sz w:val="24"/>
        </w:rPr>
        <w:t>j} &gt; 0$, indicating that this symptom actively supports the diagnosis.</w:t>
      </w:r>
    </w:p>
    <w:p w:rsidR="000F1385" w:rsidRDefault="00EF3E79">
      <w:pPr>
        <w:spacing w:after="80" w:line="360" w:lineRule="auto"/>
        <w:jc w:val="both"/>
      </w:pPr>
      <w:r>
        <w:rPr>
          <w:rFonts w:ascii="Times New Roman" w:hAnsi="Times New Roman"/>
          <w:color w:val="212121"/>
          <w:sz w:val="24"/>
        </w:rPr>
        <w:t>2. Negative Evidence: If symptom $j$ is present but rare in class $c$ ($\hat{\theta}_{c, j} &lt; \bar{\theta}_j$), or absent ($x_j = 0$) despite being a defining hallmark of class $c$ ($\h</w:t>
      </w:r>
      <w:r>
        <w:rPr>
          <w:rFonts w:ascii="Times New Roman" w:hAnsi="Times New Roman"/>
          <w:color w:val="212121"/>
          <w:sz w:val="24"/>
        </w:rPr>
        <w:t>at{\theta}_{c, j} \gg \bar{\theta}_j$), $w_{c, j} &lt; 0$, penalizing the hypothesis.</w:t>
      </w:r>
    </w:p>
    <w:p w:rsidR="000F1385" w:rsidRDefault="00EF3E79">
      <w:pPr>
        <w:spacing w:line="360" w:lineRule="auto"/>
        <w:jc w:val="both"/>
      </w:pPr>
      <w:r>
        <w:rPr>
          <w:rFonts w:ascii="Times New Roman" w:hAnsi="Times New Roman"/>
          <w:color w:val="212121"/>
          <w:sz w:val="24"/>
        </w:rPr>
        <w:t>3. Machine-Precision Additivity: Summing $w_{c, j}$ across all $D = 131$ features exactly equals the total log-evidence difference to machine precision ($&lt; 10^{-10}$ error),</w:t>
      </w:r>
      <w:r>
        <w:rPr>
          <w:rFonts w:ascii="Times New Roman" w:hAnsi="Times New Roman"/>
          <w:color w:val="212121"/>
          <w:sz w:val="24"/>
        </w:rPr>
        <w:t xml:space="preserve"> satisfying the efficiency axiom of Shapley values (Lundberg &amp; Lee, 2017) without Monte Carlo approximations.</w:t>
      </w:r>
    </w:p>
    <w:p w:rsidR="000F1385" w:rsidRDefault="00EF3E79">
      <w:pPr>
        <w:spacing w:before="200" w:after="80"/>
      </w:pPr>
      <w:r>
        <w:rPr>
          <w:rFonts w:ascii="Times New Roman" w:hAnsi="Times New Roman"/>
          <w:b/>
          <w:i/>
          <w:color w:val="212121"/>
          <w:sz w:val="24"/>
        </w:rPr>
        <w:t>3.2.4 Calibration Theoretical Background &amp; Analysis</w:t>
      </w:r>
    </w:p>
    <w:p w:rsidR="000F1385" w:rsidRDefault="00EF3E79">
      <w:pPr>
        <w:spacing w:after="120" w:line="360" w:lineRule="auto"/>
        <w:jc w:val="both"/>
      </w:pPr>
      <w:r>
        <w:rPr>
          <w:rFonts w:ascii="Times New Roman" w:hAnsi="Times New Roman"/>
          <w:color w:val="212121"/>
          <w:sz w:val="24"/>
        </w:rPr>
        <w:t>In supervised machine learning, a classifier is considered well-calibrated if its predicted pr</w:t>
      </w:r>
      <w:r>
        <w:rPr>
          <w:rFonts w:ascii="Times New Roman" w:hAnsi="Times New Roman"/>
          <w:color w:val="212121"/>
          <w:sz w:val="24"/>
        </w:rPr>
        <w:t xml:space="preserve">obability reflects true empirical observation: $P(Y = 1 \mid \hat{P} = p) = p$. However, as </w:t>
      </w:r>
      <w:r>
        <w:rPr>
          <w:rFonts w:ascii="Times New Roman" w:hAnsi="Times New Roman"/>
          <w:color w:val="212121"/>
          <w:sz w:val="24"/>
        </w:rPr>
        <w:lastRenderedPageBreak/>
        <w:t>established by Niculescu-Mizil &amp; Caruana (2005) [N], Naive Bayes models violate this principle due to the conditional independence assumption. Because correlated sy</w:t>
      </w:r>
      <w:r>
        <w:rPr>
          <w:rFonts w:ascii="Times New Roman" w:hAnsi="Times New Roman"/>
          <w:color w:val="212121"/>
          <w:sz w:val="24"/>
        </w:rPr>
        <w:t>mptoms multiply their likelihoods, the resulting log-odds scale grows linearly with the number of redundant features, pushing output probabilities asymptotically to 0.0 or 1.0.</w:t>
      </w:r>
    </w:p>
    <w:p w:rsidR="000F1385" w:rsidRDefault="00EF3E79">
      <w:pPr>
        <w:spacing w:after="120" w:line="360" w:lineRule="auto"/>
        <w:jc w:val="both"/>
      </w:pPr>
      <w:r>
        <w:rPr>
          <w:rFonts w:ascii="Times New Roman" w:hAnsi="Times New Roman"/>
          <w:color w:val="212121"/>
          <w:sz w:val="24"/>
        </w:rPr>
        <w:t>During the development of ArogyaMitra, post-hoc calibration via Platt Scaling (</w:t>
      </w:r>
      <w:r>
        <w:rPr>
          <w:rFonts w:ascii="Times New Roman" w:hAnsi="Times New Roman"/>
          <w:color w:val="212121"/>
          <w:sz w:val="24"/>
        </w:rPr>
        <w:t>logistic sigmoid fitting) was empirically tested on held-out folds of the 304 unique rows. The results were revealing: Platt scaling caused multiclass cross-entropy log loss to deteriorate significantly from 0.0061 to 0.1643. This occurred because the smal</w:t>
      </w:r>
      <w:r>
        <w:rPr>
          <w:rFonts w:ascii="Times New Roman" w:hAnsi="Times New Roman"/>
          <w:color w:val="212121"/>
          <w:sz w:val="24"/>
        </w:rPr>
        <w:t>l sample size (~7.4 instances per class) led the logistic sigmoid to compress well-separated likelihoods, introducing boundary noise.</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[Architectural Ruling] </w:t>
            </w:r>
            <w:r>
              <w:rPr>
                <w:rFonts w:ascii="Times New Roman" w:hAnsi="Times New Roman"/>
                <w:i/>
                <w:color w:val="212121"/>
                <w:sz w:val="21"/>
              </w:rPr>
              <w:t>Engineering Decision on Calibration: Following the findings of Niculescu-Mizil &amp; Caruana (2005), po</w:t>
            </w:r>
            <w:r>
              <w:rPr>
                <w:rFonts w:ascii="Times New Roman" w:hAnsi="Times New Roman"/>
                <w:i/>
                <w:color w:val="212121"/>
                <w:sz w:val="21"/>
              </w:rPr>
              <w:t>st-hoc calibration was discarded. The model outputs are explicitly labeled in the user interface and API as 'uncalibrated posterior estimates from Bernoulli Naive Bayes', preventing false confidence among clinicians.</w:t>
            </w:r>
          </w:p>
        </w:tc>
      </w:tr>
    </w:tbl>
    <w:p w:rsidR="000F1385" w:rsidRDefault="000F1385">
      <w:pPr>
        <w:spacing w:after="80"/>
      </w:pPr>
    </w:p>
    <w:p w:rsidR="000F1385" w:rsidRDefault="00EF3E79">
      <w:pPr>
        <w:spacing w:before="200" w:after="80"/>
      </w:pPr>
      <w:r>
        <w:rPr>
          <w:rFonts w:ascii="Times New Roman" w:hAnsi="Times New Roman"/>
          <w:b/>
          <w:i/>
          <w:color w:val="212121"/>
          <w:sz w:val="24"/>
        </w:rPr>
        <w:t>3.2.5 Comparative Model Selection</w:t>
      </w:r>
    </w:p>
    <w:p w:rsidR="000F1385" w:rsidRDefault="00EF3E79">
      <w:pPr>
        <w:spacing w:after="120" w:line="360" w:lineRule="auto"/>
        <w:jc w:val="both"/>
      </w:pPr>
      <w:r>
        <w:rPr>
          <w:rFonts w:ascii="Times New Roman" w:hAnsi="Times New Roman"/>
          <w:color w:val="212121"/>
          <w:sz w:val="24"/>
        </w:rPr>
        <w:t xml:space="preserve">To </w:t>
      </w:r>
      <w:r>
        <w:rPr>
          <w:rFonts w:ascii="Times New Roman" w:hAnsi="Times New Roman"/>
          <w:color w:val="212121"/>
          <w:sz w:val="24"/>
        </w:rPr>
        <w:t>rigorously justify the selection of Bernoulli Naive Bayes over popular gradient-boosted decision trees, an extensive comparative evaluation was conducted against Tuned LightGBM (Ke et al., 2017) and Tuned XGBoost using nested cross-validation. While decisi</w:t>
      </w:r>
      <w:r>
        <w:rPr>
          <w:rFonts w:ascii="Times New Roman" w:hAnsi="Times New Roman"/>
          <w:color w:val="212121"/>
          <w:sz w:val="24"/>
        </w:rPr>
        <w:t>on trees excel on dense, continuous tabular data, their recursive splitting mechanism struggles on high-dimensional, sparse binary vectors under missing data.</w:t>
      </w:r>
    </w:p>
    <w:p w:rsidR="000F1385" w:rsidRDefault="00EF3E79">
      <w:pPr>
        <w:spacing w:after="120" w:line="360" w:lineRule="auto"/>
        <w:jc w:val="both"/>
      </w:pPr>
      <w:r>
        <w:rPr>
          <w:rFonts w:ascii="Times New Roman" w:hAnsi="Times New Roman"/>
          <w:color w:val="212121"/>
          <w:sz w:val="24"/>
        </w:rPr>
        <w:t xml:space="preserve">As detailed in Chapter 4, when symptoms are progressively dropped (simulating real-world patient </w:t>
      </w:r>
      <w:r>
        <w:rPr>
          <w:rFonts w:ascii="Times New Roman" w:hAnsi="Times New Roman"/>
          <w:color w:val="212121"/>
          <w:sz w:val="24"/>
        </w:rPr>
        <w:t>forgetfulness or incomplete health worker intake), tree ensembles experience catastrophic accuracy collapse (LightGBM dropping from 0.989 to 0.683 at 50% dropout). In contrast, Bernoulli Naive Bayes maintains 0.919 accuracy at 50% dropout due to its linear</w:t>
      </w:r>
      <w:r>
        <w:rPr>
          <w:rFonts w:ascii="Times New Roman" w:hAnsi="Times New Roman"/>
          <w:color w:val="212121"/>
          <w:sz w:val="24"/>
        </w:rPr>
        <w:t xml:space="preserve"> log-odds accumulation. Combined with an ultra-low inference latency of 1.8 milliseconds (compared to 45 ms for tree ensembles), BernoulliNB represents the optimal algorithmic choice for rural primary healthcare decision support.</w:t>
      </w:r>
    </w:p>
    <w:p w:rsidR="000F1385" w:rsidRDefault="00EF3E79">
      <w:pPr>
        <w:spacing w:before="280" w:after="120"/>
      </w:pPr>
      <w:r>
        <w:rPr>
          <w:rFonts w:ascii="Times New Roman" w:hAnsi="Times New Roman"/>
          <w:b/>
          <w:color w:val="1B4F72"/>
          <w:sz w:val="27"/>
        </w:rPr>
        <w:t>3.3 Rule-Based Clinical Re</w:t>
      </w:r>
      <w:r>
        <w:rPr>
          <w:rFonts w:ascii="Times New Roman" w:hAnsi="Times New Roman"/>
          <w:b/>
          <w:color w:val="1B4F72"/>
          <w:sz w:val="27"/>
        </w:rPr>
        <w:t>d-Flag Override System</w:t>
      </w:r>
    </w:p>
    <w:p w:rsidR="000F1385" w:rsidRDefault="00EF3E79">
      <w:pPr>
        <w:spacing w:after="120" w:line="360" w:lineRule="auto"/>
        <w:jc w:val="both"/>
      </w:pPr>
      <w:r>
        <w:rPr>
          <w:rFonts w:ascii="Times New Roman" w:hAnsi="Times New Roman"/>
          <w:color w:val="212121"/>
          <w:sz w:val="24"/>
        </w:rPr>
        <w:lastRenderedPageBreak/>
        <w:t>The most critical clinical safety mechanism in ArogyaMitra is the deterministic Red-Flag Screening Layer. As demonstrated by Wallace et al. (2022) [W], statistical symptom checkers frequently fail to recognize acute surgical and card</w:t>
      </w:r>
      <w:r>
        <w:rPr>
          <w:rFonts w:ascii="Times New Roman" w:hAnsi="Times New Roman"/>
          <w:color w:val="212121"/>
          <w:sz w:val="24"/>
        </w:rPr>
        <w:t>iac emergencies when symptoms overlap with benign conditions.</w:t>
      </w:r>
    </w:p>
    <w:p w:rsidR="000F1385" w:rsidRDefault="00EF3E79">
      <w:pPr>
        <w:spacing w:after="120" w:line="360" w:lineRule="auto"/>
        <w:jc w:val="both"/>
      </w:pPr>
      <w:r>
        <w:rPr>
          <w:rFonts w:ascii="Times New Roman" w:hAnsi="Times New Roman"/>
          <w:color w:val="212121"/>
          <w:sz w:val="24"/>
        </w:rPr>
        <w:t xml:space="preserve">To eliminate this risk, ArogyaMitra decouples emergency triage from machine learning. Prior to executing Bayesian inference, incoming symptom vectors are evaluated against deterministic medical </w:t>
      </w:r>
      <w:r>
        <w:rPr>
          <w:rFonts w:ascii="Times New Roman" w:hAnsi="Times New Roman"/>
          <w:color w:val="212121"/>
          <w:sz w:val="24"/>
        </w:rPr>
        <w:t>rules. If any emergency combination is triggered, the system instantly sets triage urgency to EMERGENCY, locks the recommendation, and displays prominent warning banners instructing the health worker to immediately arrange tertiary ambulance transport. Tab</w:t>
      </w:r>
      <w:r>
        <w:rPr>
          <w:rFonts w:ascii="Times New Roman" w:hAnsi="Times New Roman"/>
          <w:color w:val="212121"/>
          <w:sz w:val="24"/>
        </w:rPr>
        <w:t>le 3.1 details the red-flag screening triggers implemented in `Backend/src/validators/diseaseClasses.js`.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54"/>
        <w:gridCol w:w="2524"/>
        <w:gridCol w:w="2861"/>
        <w:gridCol w:w="2521"/>
      </w:tblGrid>
      <w:tr w:rsidR="000F1385">
        <w:trPr>
          <w:jc w:val="center"/>
        </w:trPr>
        <w:tc>
          <w:tcPr>
            <w:tcW w:w="1440" w:type="dxa"/>
            <w:shd w:val="clear" w:color="auto" w:fill="B71C1C"/>
            <w:tcMar>
              <w:top w:w="100" w:type="dxa"/>
              <w:left w:w="90" w:type="dxa"/>
              <w:bottom w:w="100" w:type="dxa"/>
              <w:right w:w="90" w:type="dxa"/>
            </w:tcMar>
          </w:tcPr>
          <w:p w:rsidR="000F1385" w:rsidRDefault="00EF3E79">
            <w:pPr>
              <w:jc w:val="center"/>
            </w:pPr>
            <w:r>
              <w:rPr>
                <w:rFonts w:ascii="Times New Roman" w:hAnsi="Times New Roman"/>
                <w:b/>
                <w:color w:val="FFFFFF"/>
                <w:sz w:val="19"/>
              </w:rPr>
              <w:t>Rule ID</w:t>
            </w:r>
          </w:p>
        </w:tc>
        <w:tc>
          <w:tcPr>
            <w:tcW w:w="2880" w:type="dxa"/>
            <w:shd w:val="clear" w:color="auto" w:fill="B71C1C"/>
            <w:tcMar>
              <w:top w:w="100" w:type="dxa"/>
              <w:left w:w="90" w:type="dxa"/>
              <w:bottom w:w="100" w:type="dxa"/>
              <w:right w:w="90" w:type="dxa"/>
            </w:tcMar>
          </w:tcPr>
          <w:p w:rsidR="000F1385" w:rsidRDefault="00EF3E79">
            <w:pPr>
              <w:jc w:val="center"/>
            </w:pPr>
            <w:r>
              <w:rPr>
                <w:rFonts w:ascii="Times New Roman" w:hAnsi="Times New Roman"/>
                <w:b/>
                <w:color w:val="FFFFFF"/>
                <w:sz w:val="19"/>
              </w:rPr>
              <w:t>Clinical Presentation</w:t>
            </w:r>
          </w:p>
        </w:tc>
        <w:tc>
          <w:tcPr>
            <w:tcW w:w="3312" w:type="dxa"/>
            <w:shd w:val="clear" w:color="auto" w:fill="B71C1C"/>
            <w:tcMar>
              <w:top w:w="100" w:type="dxa"/>
              <w:left w:w="90" w:type="dxa"/>
              <w:bottom w:w="100" w:type="dxa"/>
              <w:right w:w="90" w:type="dxa"/>
            </w:tcMar>
          </w:tcPr>
          <w:p w:rsidR="000F1385" w:rsidRDefault="00EF3E79">
            <w:pPr>
              <w:jc w:val="center"/>
            </w:pPr>
            <w:r>
              <w:rPr>
                <w:rFonts w:ascii="Times New Roman" w:hAnsi="Times New Roman"/>
                <w:b/>
                <w:color w:val="FFFFFF"/>
                <w:sz w:val="19"/>
              </w:rPr>
              <w:t>Symptom Trigger Pattern</w:t>
            </w:r>
          </w:p>
        </w:tc>
        <w:tc>
          <w:tcPr>
            <w:tcW w:w="2880" w:type="dxa"/>
            <w:shd w:val="clear" w:color="auto" w:fill="B71C1C"/>
            <w:tcMar>
              <w:top w:w="100" w:type="dxa"/>
              <w:left w:w="90" w:type="dxa"/>
              <w:bottom w:w="100" w:type="dxa"/>
              <w:right w:w="90" w:type="dxa"/>
            </w:tcMar>
          </w:tcPr>
          <w:p w:rsidR="000F1385" w:rsidRDefault="00EF3E79">
            <w:pPr>
              <w:jc w:val="center"/>
            </w:pPr>
            <w:r>
              <w:rPr>
                <w:rFonts w:ascii="Times New Roman" w:hAnsi="Times New Roman"/>
                <w:b/>
                <w:color w:val="FFFFFF"/>
                <w:sz w:val="19"/>
              </w:rPr>
              <w:t>Mandatory Emergency Action</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RF-01</w:t>
            </w:r>
          </w:p>
        </w:tc>
        <w:tc>
          <w:tcPr>
            <w:tcW w:w="2880" w:type="dxa"/>
            <w:tcMar>
              <w:top w:w="70" w:type="dxa"/>
              <w:left w:w="80" w:type="dxa"/>
              <w:bottom w:w="70" w:type="dxa"/>
              <w:right w:w="80" w:type="dxa"/>
            </w:tcMar>
          </w:tcPr>
          <w:p w:rsidR="000F1385" w:rsidRDefault="00EF3E79">
            <w:r>
              <w:rPr>
                <w:rFonts w:ascii="Times New Roman" w:hAnsi="Times New Roman"/>
                <w:b/>
                <w:sz w:val="18"/>
              </w:rPr>
              <w:t>Acute Coronary Syndrome</w:t>
            </w:r>
          </w:p>
        </w:tc>
        <w:tc>
          <w:tcPr>
            <w:tcW w:w="3312" w:type="dxa"/>
            <w:tcMar>
              <w:top w:w="70" w:type="dxa"/>
              <w:left w:w="80" w:type="dxa"/>
              <w:bottom w:w="70" w:type="dxa"/>
              <w:right w:w="80" w:type="dxa"/>
            </w:tcMar>
          </w:tcPr>
          <w:p w:rsidR="000F1385" w:rsidRDefault="00EF3E79">
            <w:r>
              <w:rPr>
                <w:rFonts w:ascii="Times New Roman" w:hAnsi="Times New Roman"/>
                <w:sz w:val="17"/>
              </w:rPr>
              <w:t>Chest pain AND (breathlessness OR swea</w:t>
            </w:r>
            <w:r>
              <w:rPr>
                <w:rFonts w:ascii="Times New Roman" w:hAnsi="Times New Roman"/>
                <w:sz w:val="17"/>
              </w:rPr>
              <w:t>ting OR radiation to left arm)</w:t>
            </w:r>
          </w:p>
        </w:tc>
        <w:tc>
          <w:tcPr>
            <w:tcW w:w="2880" w:type="dxa"/>
            <w:tcMar>
              <w:top w:w="70" w:type="dxa"/>
              <w:left w:w="80" w:type="dxa"/>
              <w:bottom w:w="70" w:type="dxa"/>
              <w:right w:w="80" w:type="dxa"/>
            </w:tcMar>
          </w:tcPr>
          <w:p w:rsidR="000F1385" w:rsidRDefault="00EF3E79">
            <w:r>
              <w:rPr>
                <w:rFonts w:ascii="Times New Roman" w:hAnsi="Times New Roman"/>
                <w:sz w:val="17"/>
              </w:rPr>
              <w:t>Immediate emergency transfer to cardiac facility; initiate Aspirin/ECG per local protocol.</w:t>
            </w:r>
          </w:p>
        </w:tc>
      </w:tr>
      <w:tr w:rsidR="000F1385">
        <w:trPr>
          <w:jc w:val="center"/>
        </w:trPr>
        <w:tc>
          <w:tcPr>
            <w:tcW w:w="1440" w:type="dxa"/>
            <w:shd w:val="clear" w:color="auto" w:fill="FFEBEE"/>
            <w:tcMar>
              <w:top w:w="70" w:type="dxa"/>
              <w:left w:w="80" w:type="dxa"/>
              <w:bottom w:w="70" w:type="dxa"/>
              <w:right w:w="80" w:type="dxa"/>
            </w:tcMar>
          </w:tcPr>
          <w:p w:rsidR="000F1385" w:rsidRDefault="00EF3E79">
            <w:r>
              <w:rPr>
                <w:rFonts w:ascii="Times New Roman" w:hAnsi="Times New Roman"/>
                <w:b/>
                <w:sz w:val="18"/>
              </w:rPr>
              <w:t>RF-02</w:t>
            </w:r>
          </w:p>
        </w:tc>
        <w:tc>
          <w:tcPr>
            <w:tcW w:w="2880" w:type="dxa"/>
            <w:shd w:val="clear" w:color="auto" w:fill="FFEBEE"/>
            <w:tcMar>
              <w:top w:w="70" w:type="dxa"/>
              <w:left w:w="80" w:type="dxa"/>
              <w:bottom w:w="70" w:type="dxa"/>
              <w:right w:w="80" w:type="dxa"/>
            </w:tcMar>
          </w:tcPr>
          <w:p w:rsidR="000F1385" w:rsidRDefault="00EF3E79">
            <w:r>
              <w:rPr>
                <w:rFonts w:ascii="Times New Roman" w:hAnsi="Times New Roman"/>
                <w:b/>
                <w:sz w:val="18"/>
              </w:rPr>
              <w:t>Severe Acute Respiratory Distress</w:t>
            </w:r>
          </w:p>
        </w:tc>
        <w:tc>
          <w:tcPr>
            <w:tcW w:w="3312" w:type="dxa"/>
            <w:shd w:val="clear" w:color="auto" w:fill="FFEBEE"/>
            <w:tcMar>
              <w:top w:w="70" w:type="dxa"/>
              <w:left w:w="80" w:type="dxa"/>
              <w:bottom w:w="70" w:type="dxa"/>
              <w:right w:w="80" w:type="dxa"/>
            </w:tcMar>
          </w:tcPr>
          <w:p w:rsidR="000F1385" w:rsidRDefault="00EF3E79">
            <w:r>
              <w:rPr>
                <w:rFonts w:ascii="Times New Roman" w:hAnsi="Times New Roman"/>
                <w:sz w:val="17"/>
              </w:rPr>
              <w:t>Breathlessness AND (cyanosis OR inability to speak in sentences OR altered sensorium)</w:t>
            </w:r>
          </w:p>
        </w:tc>
        <w:tc>
          <w:tcPr>
            <w:tcW w:w="2880" w:type="dxa"/>
            <w:shd w:val="clear" w:color="auto" w:fill="FFEBEE"/>
            <w:tcMar>
              <w:top w:w="70" w:type="dxa"/>
              <w:left w:w="80" w:type="dxa"/>
              <w:bottom w:w="70" w:type="dxa"/>
              <w:right w:w="80" w:type="dxa"/>
            </w:tcMar>
          </w:tcPr>
          <w:p w:rsidR="000F1385" w:rsidRDefault="00EF3E79">
            <w:r>
              <w:rPr>
                <w:rFonts w:ascii="Times New Roman" w:hAnsi="Times New Roman"/>
                <w:sz w:val="17"/>
              </w:rPr>
              <w:t>High-flow oxygen administration; emergency transport to ICU-equipped center.</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RF-03</w:t>
            </w:r>
          </w:p>
        </w:tc>
        <w:tc>
          <w:tcPr>
            <w:tcW w:w="2880" w:type="dxa"/>
            <w:tcMar>
              <w:top w:w="70" w:type="dxa"/>
              <w:left w:w="80" w:type="dxa"/>
              <w:bottom w:w="70" w:type="dxa"/>
              <w:right w:w="80" w:type="dxa"/>
            </w:tcMar>
          </w:tcPr>
          <w:p w:rsidR="000F1385" w:rsidRDefault="00EF3E79">
            <w:r>
              <w:rPr>
                <w:rFonts w:ascii="Times New Roman" w:hAnsi="Times New Roman"/>
                <w:b/>
                <w:sz w:val="18"/>
              </w:rPr>
              <w:t>Acute Meningitis / Sepsis</w:t>
            </w:r>
          </w:p>
        </w:tc>
        <w:tc>
          <w:tcPr>
            <w:tcW w:w="3312" w:type="dxa"/>
            <w:tcMar>
              <w:top w:w="70" w:type="dxa"/>
              <w:left w:w="80" w:type="dxa"/>
              <w:bottom w:w="70" w:type="dxa"/>
              <w:right w:w="80" w:type="dxa"/>
            </w:tcMar>
          </w:tcPr>
          <w:p w:rsidR="000F1385" w:rsidRDefault="00EF3E79">
            <w:r>
              <w:rPr>
                <w:rFonts w:ascii="Times New Roman" w:hAnsi="Times New Roman"/>
                <w:sz w:val="17"/>
              </w:rPr>
              <w:t>High fever AND stiff neck AND altered consciousness</w:t>
            </w:r>
          </w:p>
        </w:tc>
        <w:tc>
          <w:tcPr>
            <w:tcW w:w="2880" w:type="dxa"/>
            <w:tcMar>
              <w:top w:w="70" w:type="dxa"/>
              <w:left w:w="80" w:type="dxa"/>
              <w:bottom w:w="70" w:type="dxa"/>
              <w:right w:w="80" w:type="dxa"/>
            </w:tcMar>
          </w:tcPr>
          <w:p w:rsidR="000F1385" w:rsidRDefault="00EF3E79">
            <w:r>
              <w:rPr>
                <w:rFonts w:ascii="Times New Roman" w:hAnsi="Times New Roman"/>
                <w:sz w:val="17"/>
              </w:rPr>
              <w:t>Immediate emergency transfer; evaluate for acute bacterial meningitis or cerebral malaria.</w:t>
            </w:r>
          </w:p>
        </w:tc>
      </w:tr>
      <w:tr w:rsidR="000F1385">
        <w:trPr>
          <w:jc w:val="center"/>
        </w:trPr>
        <w:tc>
          <w:tcPr>
            <w:tcW w:w="1440" w:type="dxa"/>
            <w:shd w:val="clear" w:color="auto" w:fill="FFEBEE"/>
            <w:tcMar>
              <w:top w:w="70" w:type="dxa"/>
              <w:left w:w="80" w:type="dxa"/>
              <w:bottom w:w="70" w:type="dxa"/>
              <w:right w:w="80" w:type="dxa"/>
            </w:tcMar>
          </w:tcPr>
          <w:p w:rsidR="000F1385" w:rsidRDefault="00EF3E79">
            <w:r>
              <w:rPr>
                <w:rFonts w:ascii="Times New Roman" w:hAnsi="Times New Roman"/>
                <w:b/>
                <w:sz w:val="18"/>
              </w:rPr>
              <w:t>RF-04</w:t>
            </w:r>
          </w:p>
        </w:tc>
        <w:tc>
          <w:tcPr>
            <w:tcW w:w="2880" w:type="dxa"/>
            <w:shd w:val="clear" w:color="auto" w:fill="FFEBEE"/>
            <w:tcMar>
              <w:top w:w="70" w:type="dxa"/>
              <w:left w:w="80" w:type="dxa"/>
              <w:bottom w:w="70" w:type="dxa"/>
              <w:right w:w="80" w:type="dxa"/>
            </w:tcMar>
          </w:tcPr>
          <w:p w:rsidR="000F1385" w:rsidRDefault="00EF3E79">
            <w:r>
              <w:rPr>
                <w:rFonts w:ascii="Times New Roman" w:hAnsi="Times New Roman"/>
                <w:b/>
                <w:sz w:val="18"/>
              </w:rPr>
              <w:t>Massive Hemoptysis</w:t>
            </w:r>
          </w:p>
        </w:tc>
        <w:tc>
          <w:tcPr>
            <w:tcW w:w="3312" w:type="dxa"/>
            <w:shd w:val="clear" w:color="auto" w:fill="FFEBEE"/>
            <w:tcMar>
              <w:top w:w="70" w:type="dxa"/>
              <w:left w:w="80" w:type="dxa"/>
              <w:bottom w:w="70" w:type="dxa"/>
              <w:right w:w="80" w:type="dxa"/>
            </w:tcMar>
          </w:tcPr>
          <w:p w:rsidR="000F1385" w:rsidRDefault="00EF3E79">
            <w:r>
              <w:rPr>
                <w:rFonts w:ascii="Times New Roman" w:hAnsi="Times New Roman"/>
                <w:sz w:val="17"/>
              </w:rPr>
              <w:t>Coughing up blood AND acute tachycardia OR dyspnea</w:t>
            </w:r>
          </w:p>
        </w:tc>
        <w:tc>
          <w:tcPr>
            <w:tcW w:w="2880" w:type="dxa"/>
            <w:shd w:val="clear" w:color="auto" w:fill="FFEBEE"/>
            <w:tcMar>
              <w:top w:w="70" w:type="dxa"/>
              <w:left w:w="80" w:type="dxa"/>
              <w:bottom w:w="70" w:type="dxa"/>
              <w:right w:w="80" w:type="dxa"/>
            </w:tcMar>
          </w:tcPr>
          <w:p w:rsidR="000F1385" w:rsidRDefault="00EF3E79">
            <w:r>
              <w:rPr>
                <w:rFonts w:ascii="Times New Roman" w:hAnsi="Times New Roman"/>
                <w:sz w:val="17"/>
              </w:rPr>
              <w:t>Emergency pulmonary referral; airway protection and blood product preparation.</w:t>
            </w:r>
          </w:p>
        </w:tc>
      </w:tr>
      <w:tr w:rsidR="000F1385">
        <w:trPr>
          <w:jc w:val="center"/>
        </w:trPr>
        <w:tc>
          <w:tcPr>
            <w:tcW w:w="1440" w:type="dxa"/>
            <w:tcMar>
              <w:top w:w="70" w:type="dxa"/>
              <w:left w:w="80" w:type="dxa"/>
              <w:bottom w:w="70" w:type="dxa"/>
              <w:right w:w="80" w:type="dxa"/>
            </w:tcMar>
          </w:tcPr>
          <w:p w:rsidR="000F1385" w:rsidRDefault="00EF3E79">
            <w:r>
              <w:rPr>
                <w:rFonts w:ascii="Times New Roman" w:hAnsi="Times New Roman"/>
                <w:b/>
                <w:sz w:val="18"/>
              </w:rPr>
              <w:t>RF-05</w:t>
            </w:r>
          </w:p>
        </w:tc>
        <w:tc>
          <w:tcPr>
            <w:tcW w:w="2880" w:type="dxa"/>
            <w:tcMar>
              <w:top w:w="70" w:type="dxa"/>
              <w:left w:w="80" w:type="dxa"/>
              <w:bottom w:w="70" w:type="dxa"/>
              <w:right w:w="80" w:type="dxa"/>
            </w:tcMar>
          </w:tcPr>
          <w:p w:rsidR="000F1385" w:rsidRDefault="00EF3E79">
            <w:r>
              <w:rPr>
                <w:rFonts w:ascii="Times New Roman" w:hAnsi="Times New Roman"/>
                <w:b/>
                <w:sz w:val="18"/>
              </w:rPr>
              <w:t>Acute Abdomen / Perforation</w:t>
            </w:r>
          </w:p>
        </w:tc>
        <w:tc>
          <w:tcPr>
            <w:tcW w:w="3312" w:type="dxa"/>
            <w:tcMar>
              <w:top w:w="70" w:type="dxa"/>
              <w:left w:w="80" w:type="dxa"/>
              <w:bottom w:w="70" w:type="dxa"/>
              <w:right w:w="80" w:type="dxa"/>
            </w:tcMar>
          </w:tcPr>
          <w:p w:rsidR="000F1385" w:rsidRDefault="00EF3E79">
            <w:r>
              <w:rPr>
                <w:rFonts w:ascii="Times New Roman" w:hAnsi="Times New Roman"/>
                <w:sz w:val="17"/>
              </w:rPr>
              <w:t xml:space="preserve">Severe generalized abdominal rigidity AND vomiting AND signs of </w:t>
            </w:r>
            <w:r>
              <w:rPr>
                <w:rFonts w:ascii="Times New Roman" w:hAnsi="Times New Roman"/>
                <w:sz w:val="17"/>
              </w:rPr>
              <w:t>shock</w:t>
            </w:r>
          </w:p>
        </w:tc>
        <w:tc>
          <w:tcPr>
            <w:tcW w:w="2880" w:type="dxa"/>
            <w:tcMar>
              <w:top w:w="70" w:type="dxa"/>
              <w:left w:w="80" w:type="dxa"/>
              <w:bottom w:w="70" w:type="dxa"/>
              <w:right w:w="80" w:type="dxa"/>
            </w:tcMar>
          </w:tcPr>
          <w:p w:rsidR="000F1385" w:rsidRDefault="00EF3E79">
            <w:r>
              <w:rPr>
                <w:rFonts w:ascii="Times New Roman" w:hAnsi="Times New Roman"/>
                <w:sz w:val="17"/>
              </w:rPr>
              <w:t>Immediate surgical referral; strict nil-by-mouth; IV fluid resuscitation.</w:t>
            </w:r>
          </w:p>
        </w:tc>
      </w:tr>
    </w:tbl>
    <w:p w:rsidR="000F1385" w:rsidRDefault="00EF3E79">
      <w:pPr>
        <w:spacing w:before="80" w:after="160"/>
        <w:jc w:val="center"/>
      </w:pPr>
      <w:r>
        <w:rPr>
          <w:rFonts w:ascii="Times New Roman" w:hAnsi="Times New Roman"/>
          <w:b/>
          <w:color w:val="546E7A"/>
          <w:sz w:val="20"/>
        </w:rPr>
        <w:t>Table 3.1: Rule-Based Emergency Red-Flag Trigger Conditions (DRAFT Status)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[Clinical Validation Warning] </w:t>
            </w:r>
            <w:r>
              <w:rPr>
                <w:rFonts w:ascii="Times New Roman" w:hAnsi="Times New Roman"/>
                <w:i/>
                <w:color w:val="212121"/>
                <w:sz w:val="21"/>
              </w:rPr>
              <w:t xml:space="preserve">Clinical Status Note: The red-flag rules specified in Table 3.1 </w:t>
            </w:r>
            <w:r>
              <w:rPr>
                <w:rFonts w:ascii="Times New Roman" w:hAnsi="Times New Roman"/>
                <w:i/>
                <w:color w:val="212121"/>
                <w:sz w:val="21"/>
              </w:rPr>
              <w:t>represent DRAFT clinical heuristics documented in docs/RED_FLAG_REVIEW.md. They have not been formally validated by an institutional medical board or authorized by CDSCO. In live clinical deployment, these rules must undergo exhaustive multi-specialty phys</w:t>
            </w:r>
            <w:r>
              <w:rPr>
                <w:rFonts w:ascii="Times New Roman" w:hAnsi="Times New Roman"/>
                <w:i/>
                <w:color w:val="212121"/>
                <w:sz w:val="21"/>
              </w:rPr>
              <w:t>ician validation.</w:t>
            </w:r>
          </w:p>
        </w:tc>
      </w:tr>
    </w:tbl>
    <w:p w:rsidR="000F1385" w:rsidRDefault="000F1385">
      <w:pPr>
        <w:spacing w:after="80"/>
      </w:pPr>
    </w:p>
    <w:p w:rsidR="000F1385" w:rsidRDefault="00EF3E79">
      <w:pPr>
        <w:spacing w:before="280" w:after="120"/>
      </w:pPr>
      <w:r>
        <w:rPr>
          <w:rFonts w:ascii="Times New Roman" w:hAnsi="Times New Roman"/>
          <w:b/>
          <w:color w:val="1B4F72"/>
          <w:sz w:val="27"/>
        </w:rPr>
        <w:t>3.4 Multi-Tier LLM Explanation &amp; Resilient Fallback Layer</w:t>
      </w:r>
    </w:p>
    <w:p w:rsidR="000F1385" w:rsidRDefault="00EF3E79">
      <w:pPr>
        <w:spacing w:after="120" w:line="360" w:lineRule="auto"/>
        <w:jc w:val="both"/>
      </w:pPr>
      <w:r>
        <w:rPr>
          <w:rFonts w:ascii="Times New Roman" w:hAnsi="Times New Roman"/>
          <w:color w:val="212121"/>
          <w:sz w:val="24"/>
        </w:rPr>
        <w:t>While the Bayesian model produces statistical differential scores, raw numerical percentages are insufficient for community health workers who need actionable clinical summaries.</w:t>
      </w:r>
      <w:r>
        <w:rPr>
          <w:rFonts w:ascii="Times New Roman" w:hAnsi="Times New Roman"/>
          <w:color w:val="212121"/>
          <w:sz w:val="24"/>
        </w:rPr>
        <w:t xml:space="preserve"> To bridge this communication gap, ArogyaMitra integrates a Large Language Model narrative layer implemented using LangGraph and the Google Gemini API.</w:t>
      </w:r>
    </w:p>
    <w:p w:rsidR="000F1385" w:rsidRDefault="00EF3E79">
      <w:pPr>
        <w:spacing w:after="120" w:line="360" w:lineRule="auto"/>
        <w:jc w:val="both"/>
      </w:pPr>
      <w:r>
        <w:rPr>
          <w:rFonts w:ascii="Times New Roman" w:hAnsi="Times New Roman"/>
          <w:color w:val="212121"/>
          <w:sz w:val="24"/>
        </w:rPr>
        <w:t>To prevent hallucination (Ji et al., 2023) and preserve patient safety, the LLM is architecturally isola</w:t>
      </w:r>
      <w:r>
        <w:rPr>
          <w:rFonts w:ascii="Times New Roman" w:hAnsi="Times New Roman"/>
          <w:color w:val="212121"/>
          <w:sz w:val="24"/>
        </w:rPr>
        <w:t>ted through strict guardrails:</w:t>
      </w:r>
    </w:p>
    <w:p w:rsidR="000F1385" w:rsidRDefault="00EF3E79">
      <w:pPr>
        <w:spacing w:after="80" w:line="360" w:lineRule="auto"/>
        <w:jc w:val="both"/>
      </w:pPr>
      <w:r>
        <w:rPr>
          <w:rFonts w:ascii="Times New Roman" w:hAnsi="Times New Roman"/>
          <w:color w:val="212121"/>
          <w:sz w:val="24"/>
        </w:rPr>
        <w:t>1. Zero Diagnostic Authority: The LLM prompt explicitly denies the model diagnostic authority. The disease name, differential ranking, and top contributing symptoms are pre-computed by the ML engine and passed as immutable co</w:t>
      </w:r>
      <w:r>
        <w:rPr>
          <w:rFonts w:ascii="Times New Roman" w:hAnsi="Times New Roman"/>
          <w:color w:val="212121"/>
          <w:sz w:val="24"/>
        </w:rPr>
        <w:t>ntext. The LLM is instructed solely to synthesize a patient-friendly explanation in clear, simple language.</w:t>
      </w:r>
    </w:p>
    <w:p w:rsidR="000F1385" w:rsidRDefault="00EF3E79">
      <w:pPr>
        <w:spacing w:after="80" w:line="360" w:lineRule="auto"/>
        <w:jc w:val="both"/>
      </w:pPr>
      <w:r>
        <w:rPr>
          <w:rFonts w:ascii="Times New Roman" w:hAnsi="Times New Roman"/>
          <w:color w:val="212121"/>
          <w:sz w:val="24"/>
        </w:rPr>
        <w:t>2. Prohibition of Specific Drug Dosages: The system prompt prohibits the LLM from prescribing specific pharmaceutical dosages (e.g., 'Take Amoxicill</w:t>
      </w:r>
      <w:r>
        <w:rPr>
          <w:rFonts w:ascii="Times New Roman" w:hAnsi="Times New Roman"/>
          <w:color w:val="212121"/>
          <w:sz w:val="24"/>
        </w:rPr>
        <w:t>in 500mg TID'), restricting output to supportive primary care measures (hydration, rest, oral rehydration salts) and physician referral advice.</w:t>
      </w:r>
    </w:p>
    <w:p w:rsidR="000F1385" w:rsidRDefault="00EF3E79">
      <w:pPr>
        <w:spacing w:after="80" w:line="360" w:lineRule="auto"/>
        <w:jc w:val="both"/>
      </w:pPr>
      <w:r>
        <w:rPr>
          <w:rFonts w:ascii="Times New Roman" w:hAnsi="Times New Roman"/>
          <w:color w:val="212121"/>
          <w:sz w:val="24"/>
        </w:rPr>
        <w:t>3. Dynamic Ordered Cascade: Because external LLM APIs are subject to transient 429 quota exhaustion and 404 mode</w:t>
      </w:r>
      <w:r>
        <w:rPr>
          <w:rFonts w:ascii="Times New Roman" w:hAnsi="Times New Roman"/>
          <w:color w:val="212121"/>
          <w:sz w:val="24"/>
        </w:rPr>
        <w:t>l deprecation, the system maintains an ordered cascade: `LLM_MODELS = ['gemini-2.5-flash', 'gemini-3.5-flash', 'gemini-3-flash-preview']`. If a model returns 429 or 404, the engine immediately tries the next candidate.</w:t>
      </w:r>
    </w:p>
    <w:p w:rsidR="000F1385" w:rsidRDefault="00EF3E79">
      <w:pPr>
        <w:spacing w:line="360" w:lineRule="auto"/>
        <w:jc w:val="both"/>
      </w:pPr>
      <w:r>
        <w:rPr>
          <w:rFonts w:ascii="Times New Roman" w:hAnsi="Times New Roman"/>
          <w:color w:val="212121"/>
          <w:sz w:val="24"/>
        </w:rPr>
        <w:t>4. Whole-Phrase Confidence Word Filte</w:t>
      </w:r>
      <w:r>
        <w:rPr>
          <w:rFonts w:ascii="Times New Roman" w:hAnsi="Times New Roman"/>
          <w:color w:val="212121"/>
          <w:sz w:val="24"/>
        </w:rPr>
        <w:t>ring: To prevent misleading overconfidence, generated summaries are evaluated against banned confidence phrases ('certain diagnosis', 'guaranteed cure', 'very high probability'). If a banned phrase is detected, the system triggers one regeneration attempt.</w:t>
      </w:r>
      <w:r>
        <w:rPr>
          <w:rFonts w:ascii="Times New Roman" w:hAnsi="Times New Roman"/>
          <w:color w:val="212121"/>
          <w:sz w:val="24"/>
        </w:rPr>
        <w:t xml:space="preserve"> If the second attempt still violates guardrails, the system discards the LLM output entirely and falls back to a deterministic, pre-compiled clinical template.</w:t>
      </w:r>
    </w:p>
    <w:p w:rsidR="000F1385" w:rsidRDefault="00EF3E79">
      <w:pPr>
        <w:spacing w:before="200" w:after="40"/>
        <w:jc w:val="center"/>
      </w:pPr>
      <w:r>
        <w:rPr>
          <w:noProof/>
          <w:lang w:val="en-IN" w:eastAsia="en-IN"/>
        </w:rPr>
        <w:lastRenderedPageBreak/>
        <w:drawing>
          <wp:inline distT="0" distB="0" distL="0" distR="0">
            <wp:extent cx="5303520" cy="2474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5_llm_timeout_hierarchy.png"/>
                    <pic:cNvPicPr/>
                  </pic:nvPicPr>
                  <pic:blipFill>
                    <a:blip r:embed="rId10"/>
                    <a:stretch>
                      <a:fillRect/>
                    </a:stretch>
                  </pic:blipFill>
                  <pic:spPr>
                    <a:xfrm>
                      <a:off x="0" y="0"/>
                      <a:ext cx="5303520" cy="2474976"/>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3.3: Hierarchical LLM Request Timeout Cascade &amp; Guardrail Budgets</w:t>
      </w:r>
    </w:p>
    <w:p w:rsidR="000F1385" w:rsidRDefault="00EF3E79">
      <w:pPr>
        <w:spacing w:after="120" w:line="360" w:lineRule="auto"/>
        <w:jc w:val="both"/>
      </w:pPr>
      <w:r>
        <w:rPr>
          <w:rFonts w:ascii="Times New Roman" w:hAnsi="Times New Roman"/>
          <w:color w:val="212121"/>
          <w:sz w:val="24"/>
        </w:rPr>
        <w:t>As shown in Figure 3</w:t>
      </w:r>
      <w:r>
        <w:rPr>
          <w:rFonts w:ascii="Times New Roman" w:hAnsi="Times New Roman"/>
          <w:color w:val="212121"/>
          <w:sz w:val="24"/>
        </w:rPr>
        <w:t>.3, request timeouts follow a strict descending hierarchy to prevent gateway thread exhaustion. The edge Nginx proxy enforces a 90-second read timeout; the backend API enforces a 30-second HTTP client timeout; the LangGraph service enforces a hard 20-secon</w:t>
      </w:r>
      <w:r>
        <w:rPr>
          <w:rFonts w:ascii="Times New Roman" w:hAnsi="Times New Roman"/>
          <w:color w:val="212121"/>
          <w:sz w:val="24"/>
        </w:rPr>
        <w:t>d deadline across all cascade attempts; and individual Gemini API calls enforce a 10-second per-attempt cap. If the 20-second overall cap expires, the system deterministically serves a local pre-compiled template, guaranteeing bounded response time.</w:t>
      </w:r>
    </w:p>
    <w:p w:rsidR="000F1385" w:rsidRDefault="00EF3E79">
      <w:pPr>
        <w:spacing w:before="280" w:after="120"/>
      </w:pPr>
      <w:r>
        <w:rPr>
          <w:rFonts w:ascii="Times New Roman" w:hAnsi="Times New Roman"/>
          <w:b/>
          <w:color w:val="1B4F72"/>
          <w:sz w:val="27"/>
        </w:rPr>
        <w:t>3.5 En</w:t>
      </w:r>
      <w:r>
        <w:rPr>
          <w:rFonts w:ascii="Times New Roman" w:hAnsi="Times New Roman"/>
          <w:b/>
          <w:color w:val="1B4F72"/>
          <w:sz w:val="27"/>
        </w:rPr>
        <w:t>d-to-End Clinical Consultation Workflow</w:t>
      </w:r>
    </w:p>
    <w:p w:rsidR="000F1385" w:rsidRDefault="00EF3E79">
      <w:pPr>
        <w:spacing w:after="120" w:line="360" w:lineRule="auto"/>
        <w:jc w:val="both"/>
      </w:pPr>
      <w:r>
        <w:rPr>
          <w:rFonts w:ascii="Times New Roman" w:hAnsi="Times New Roman"/>
          <w:color w:val="212121"/>
          <w:sz w:val="24"/>
        </w:rPr>
        <w:t>The complete clinical consultation lifecycle is structured as an auditable multi-stage state machine that guides frontline workers while maintaining mandatory physician oversight.</w:t>
      </w:r>
    </w:p>
    <w:p w:rsidR="000F1385" w:rsidRDefault="00EF3E79">
      <w:pPr>
        <w:spacing w:before="200" w:after="40"/>
        <w:jc w:val="center"/>
      </w:pPr>
      <w:r>
        <w:rPr>
          <w:noProof/>
          <w:lang w:val="en-IN" w:eastAsia="en-IN"/>
        </w:rPr>
        <w:lastRenderedPageBreak/>
        <w:drawing>
          <wp:inline distT="0" distB="0" distL="0" distR="0">
            <wp:extent cx="548640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2_workflow_sequence.png"/>
                    <pic:cNvPicPr/>
                  </pic:nvPicPr>
                  <pic:blipFill>
                    <a:blip r:embed="rId11"/>
                    <a:stretch>
                      <a:fillRect/>
                    </a:stretch>
                  </pic:blipFill>
                  <pic:spPr>
                    <a:xfrm>
                      <a:off x="0" y="0"/>
                      <a:ext cx="5486400" cy="288036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 xml:space="preserve">Figure 3.4: End-to-End Clinical </w:t>
      </w:r>
      <w:r>
        <w:rPr>
          <w:rFonts w:ascii="Times New Roman" w:hAnsi="Times New Roman"/>
          <w:b/>
          <w:color w:val="546E7A"/>
          <w:sz w:val="20"/>
        </w:rPr>
        <w:t>Consultation Sequence Workflow</w:t>
      </w:r>
    </w:p>
    <w:p w:rsidR="000F1385" w:rsidRDefault="00EF3E79">
      <w:pPr>
        <w:spacing w:after="120" w:line="360" w:lineRule="auto"/>
        <w:jc w:val="both"/>
      </w:pPr>
      <w:r>
        <w:rPr>
          <w:rFonts w:ascii="Times New Roman" w:hAnsi="Times New Roman"/>
          <w:color w:val="212121"/>
          <w:sz w:val="24"/>
        </w:rPr>
        <w:t>Figure 3.4 details the sequence of interactions across the ten-step clinical lifecycle:</w:t>
      </w:r>
    </w:p>
    <w:p w:rsidR="000F1385" w:rsidRDefault="00EF3E79">
      <w:pPr>
        <w:spacing w:after="60" w:line="360" w:lineRule="auto"/>
        <w:jc w:val="both"/>
      </w:pPr>
      <w:r>
        <w:rPr>
          <w:rFonts w:ascii="Times New Roman" w:hAnsi="Times New Roman"/>
          <w:color w:val="212121"/>
          <w:sz w:val="24"/>
        </w:rPr>
        <w:t xml:space="preserve">Step 1: Patient presents at Sub-Centre; ASHA worker initiates consultation via Streamlit UI, entering demographic details and chief </w:t>
      </w:r>
      <w:r>
        <w:rPr>
          <w:rFonts w:ascii="Times New Roman" w:hAnsi="Times New Roman"/>
          <w:color w:val="212121"/>
          <w:sz w:val="24"/>
        </w:rPr>
        <w:t>complaints.</w:t>
      </w:r>
    </w:p>
    <w:p w:rsidR="000F1385" w:rsidRDefault="00EF3E79">
      <w:pPr>
        <w:spacing w:after="60" w:line="360" w:lineRule="auto"/>
        <w:jc w:val="both"/>
      </w:pPr>
      <w:r>
        <w:rPr>
          <w:rFonts w:ascii="Times New Roman" w:hAnsi="Times New Roman"/>
          <w:color w:val="212121"/>
          <w:sz w:val="24"/>
        </w:rPr>
        <w:t>Step 2: ASHA worker selects presenting symptoms from the validated 131-symptom vocabulary list.</w:t>
      </w:r>
    </w:p>
    <w:p w:rsidR="000F1385" w:rsidRDefault="00EF3E79">
      <w:pPr>
        <w:spacing w:after="60" w:line="360" w:lineRule="auto"/>
        <w:jc w:val="both"/>
      </w:pPr>
      <w:r>
        <w:rPr>
          <w:rFonts w:ascii="Times New Roman" w:hAnsi="Times New Roman"/>
          <w:color w:val="212121"/>
          <w:sz w:val="24"/>
        </w:rPr>
        <w:t>Step 3: Frontend dispatches consultation payload to Backend API (`POST /api/v1/consultation/triage`).</w:t>
      </w:r>
    </w:p>
    <w:p w:rsidR="000F1385" w:rsidRDefault="00EF3E79">
      <w:pPr>
        <w:spacing w:after="60" w:line="360" w:lineRule="auto"/>
        <w:jc w:val="both"/>
      </w:pPr>
      <w:r>
        <w:rPr>
          <w:rFonts w:ascii="Times New Roman" w:hAnsi="Times New Roman"/>
          <w:color w:val="212121"/>
          <w:sz w:val="24"/>
        </w:rPr>
        <w:t>Step 4: Backend validates input and executes d</w:t>
      </w:r>
      <w:r>
        <w:rPr>
          <w:rFonts w:ascii="Times New Roman" w:hAnsi="Times New Roman"/>
          <w:color w:val="212121"/>
          <w:sz w:val="24"/>
        </w:rPr>
        <w:t>eterministic Red-Flag Screening. If positive, triage status is immediately locked to Emergency, bypassing ML.</w:t>
      </w:r>
    </w:p>
    <w:p w:rsidR="000F1385" w:rsidRDefault="00EF3E79">
      <w:pPr>
        <w:spacing w:after="60" w:line="360" w:lineRule="auto"/>
        <w:jc w:val="both"/>
      </w:pPr>
      <w:r>
        <w:rPr>
          <w:rFonts w:ascii="Times New Roman" w:hAnsi="Times New Roman"/>
          <w:color w:val="212121"/>
          <w:sz w:val="24"/>
        </w:rPr>
        <w:t>Step 5: If no red flags are found, Backend calls ML Microservice (`POST /predict`), receiving top-3 differential diagnoses and exact log-odds feat</w:t>
      </w:r>
      <w:r>
        <w:rPr>
          <w:rFonts w:ascii="Times New Roman" w:hAnsi="Times New Roman"/>
          <w:color w:val="212121"/>
          <w:sz w:val="24"/>
        </w:rPr>
        <w:t>ure attributions within 5 ms.</w:t>
      </w:r>
    </w:p>
    <w:p w:rsidR="000F1385" w:rsidRDefault="00EF3E79">
      <w:pPr>
        <w:spacing w:after="60" w:line="360" w:lineRule="auto"/>
        <w:jc w:val="both"/>
      </w:pPr>
      <w:r>
        <w:rPr>
          <w:rFonts w:ascii="Times New Roman" w:hAnsi="Times New Roman"/>
          <w:color w:val="212121"/>
          <w:sz w:val="24"/>
        </w:rPr>
        <w:t>Step 6: Backend calls LangGraph Narrative Service (`POST /generate-narrative`). If LLM fails or times out, deterministic clinical template is substituted.</w:t>
      </w:r>
    </w:p>
    <w:p w:rsidR="000F1385" w:rsidRDefault="00EF3E79">
      <w:pPr>
        <w:spacing w:after="60" w:line="360" w:lineRule="auto"/>
        <w:jc w:val="both"/>
      </w:pPr>
      <w:r>
        <w:rPr>
          <w:rFonts w:ascii="Times New Roman" w:hAnsi="Times New Roman"/>
          <w:color w:val="212121"/>
          <w:sz w:val="24"/>
        </w:rPr>
        <w:t>Step 7: Backend encrypts sensitive fields via AES-256-GCM, stores recor</w:t>
      </w:r>
      <w:r>
        <w:rPr>
          <w:rFonts w:ascii="Times New Roman" w:hAnsi="Times New Roman"/>
          <w:color w:val="212121"/>
          <w:sz w:val="24"/>
        </w:rPr>
        <w:t>d in MongoDB, and returns complete triage assessment to UI.</w:t>
      </w:r>
    </w:p>
    <w:p w:rsidR="000F1385" w:rsidRDefault="00EF3E79">
      <w:pPr>
        <w:spacing w:after="60" w:line="360" w:lineRule="auto"/>
        <w:jc w:val="both"/>
      </w:pPr>
      <w:r>
        <w:rPr>
          <w:rFonts w:ascii="Times New Roman" w:hAnsi="Times New Roman"/>
          <w:color w:val="212121"/>
          <w:sz w:val="24"/>
        </w:rPr>
        <w:t>Step 8: UI presents assessment to health worker with transparent top-contributing symptoms and an explicit Decision Gate B: Accept or Escalate.</w:t>
      </w:r>
    </w:p>
    <w:p w:rsidR="000F1385" w:rsidRDefault="00EF3E79">
      <w:pPr>
        <w:spacing w:after="60" w:line="360" w:lineRule="auto"/>
        <w:jc w:val="both"/>
      </w:pPr>
      <w:r>
        <w:rPr>
          <w:rFonts w:ascii="Times New Roman" w:hAnsi="Times New Roman"/>
          <w:color w:val="212121"/>
          <w:sz w:val="24"/>
        </w:rPr>
        <w:lastRenderedPageBreak/>
        <w:t>Step 9: If escalated or low-confidence (&lt;70%), consu</w:t>
      </w:r>
      <w:r>
        <w:rPr>
          <w:rFonts w:ascii="Times New Roman" w:hAnsi="Times New Roman"/>
          <w:color w:val="212121"/>
          <w:sz w:val="24"/>
        </w:rPr>
        <w:t>ltation enters physician review queue for second opinion.</w:t>
      </w:r>
    </w:p>
    <w:p w:rsidR="000F1385" w:rsidRDefault="00EF3E79">
      <w:pPr>
        <w:spacing w:line="360" w:lineRule="auto"/>
        <w:jc w:val="both"/>
      </w:pPr>
      <w:r>
        <w:rPr>
          <w:rFonts w:ascii="Times New Roman" w:hAnsi="Times New Roman"/>
          <w:color w:val="212121"/>
          <w:sz w:val="24"/>
        </w:rPr>
        <w:t>Step 10: Physician reviews differential, adds clinical observations, and finalizes disposition.</w:t>
      </w:r>
    </w:p>
    <w:p w:rsidR="000F1385" w:rsidRDefault="00EF3E79">
      <w:pPr>
        <w:spacing w:before="200" w:after="40"/>
        <w:jc w:val="center"/>
      </w:pPr>
      <w:r>
        <w:rPr>
          <w:noProof/>
          <w:lang w:val="en-IN" w:eastAsia="en-IN"/>
        </w:rPr>
        <w:drawing>
          <wp:inline distT="0" distB="0" distL="0" distR="0">
            <wp:extent cx="5303520" cy="2651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3_state_machine.png"/>
                    <pic:cNvPicPr/>
                  </pic:nvPicPr>
                  <pic:blipFill>
                    <a:blip r:embed="rId12"/>
                    <a:stretch>
                      <a:fillRect/>
                    </a:stretch>
                  </pic:blipFill>
                  <pic:spPr>
                    <a:xfrm>
                      <a:off x="0" y="0"/>
                      <a:ext cx="5303520" cy="265176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3.5: Consultation Lifecycle State Machine &amp; Decision Gate B</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t xml:space="preserve">[Workflow Status] </w:t>
            </w:r>
            <w:r>
              <w:rPr>
                <w:rFonts w:ascii="Times New Roman" w:hAnsi="Times New Roman"/>
                <w:i/>
                <w:color w:val="212121"/>
                <w:sz w:val="21"/>
              </w:rPr>
              <w:t xml:space="preserve">Implementation </w:t>
            </w:r>
            <w:r>
              <w:rPr>
                <w:rFonts w:ascii="Times New Roman" w:hAnsi="Times New Roman"/>
                <w:i/>
                <w:color w:val="212121"/>
                <w:sz w:val="21"/>
              </w:rPr>
              <w:t>Status Note: [TO BE UPDATED after defect-fix round] The consultation intake, red-flag screening, Bayesian ML inference, LLM narrative formatting, and worker acceptance workflows are fully verified and operational. The secondary physician escalation saving,</w:t>
            </w:r>
            <w:r>
              <w:rPr>
                <w:rFonts w:ascii="Times New Roman" w:hAnsi="Times New Roman"/>
                <w:i/>
                <w:color w:val="212121"/>
                <w:sz w:val="21"/>
              </w:rPr>
              <w:t xml:space="preserve"> asynchronous doctor review queue, and bidirectional status reflection represent ongoing defect-fix enhancements documented in docs/KNOWN_LIMITATIONS.md.</w:t>
            </w:r>
          </w:p>
        </w:tc>
      </w:tr>
    </w:tbl>
    <w:p w:rsidR="000F1385" w:rsidRDefault="000F1385">
      <w:pPr>
        <w:spacing w:after="80"/>
      </w:pPr>
    </w:p>
    <w:p w:rsidR="000F1385" w:rsidRDefault="00EF3E79">
      <w:pPr>
        <w:spacing w:before="280" w:after="120"/>
      </w:pPr>
      <w:r>
        <w:rPr>
          <w:rFonts w:ascii="Times New Roman" w:hAnsi="Times New Roman"/>
          <w:b/>
          <w:color w:val="1B4F72"/>
          <w:sz w:val="27"/>
        </w:rPr>
        <w:t>3.6 Security Architecture &amp; Cryptographic Implementation</w:t>
      </w:r>
    </w:p>
    <w:p w:rsidR="000F1385" w:rsidRDefault="00EF3E79">
      <w:pPr>
        <w:spacing w:after="120" w:line="360" w:lineRule="auto"/>
        <w:jc w:val="both"/>
      </w:pPr>
      <w:r>
        <w:rPr>
          <w:rFonts w:ascii="Times New Roman" w:hAnsi="Times New Roman"/>
          <w:color w:val="212121"/>
          <w:sz w:val="24"/>
        </w:rPr>
        <w:t xml:space="preserve">ArogyaMitra implements an audited </w:t>
      </w:r>
      <w:r>
        <w:rPr>
          <w:rFonts w:ascii="Times New Roman" w:hAnsi="Times New Roman"/>
          <w:color w:val="212121"/>
          <w:sz w:val="24"/>
        </w:rPr>
        <w:t>five-layer defense-in-depth security model engineered to protect sensitive medical data against unauthorized access, network snooping, and insider privilege escalation.</w:t>
      </w:r>
    </w:p>
    <w:p w:rsidR="000F1385" w:rsidRDefault="00EF3E79">
      <w:pPr>
        <w:spacing w:before="200" w:after="40"/>
        <w:jc w:val="center"/>
      </w:pPr>
      <w:r>
        <w:rPr>
          <w:noProof/>
          <w:lang w:val="en-IN" w:eastAsia="en-IN"/>
        </w:rPr>
        <w:lastRenderedPageBreak/>
        <w:drawing>
          <wp:inline distT="0" distB="0" distL="0" distR="0">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4_security_layers.png"/>
                    <pic:cNvPicPr/>
                  </pic:nvPicPr>
                  <pic:blipFill>
                    <a:blip r:embed="rId13"/>
                    <a:stretch>
                      <a:fillRect/>
                    </a:stretch>
                  </pic:blipFill>
                  <pic:spPr>
                    <a:xfrm>
                      <a:off x="0" y="0"/>
                      <a:ext cx="5486400" cy="274320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3.6: Five-Layer Defense-in-Depth Security Architecture</w:t>
      </w:r>
    </w:p>
    <w:p w:rsidR="000F1385" w:rsidRDefault="00EF3E79">
      <w:pPr>
        <w:spacing w:after="120" w:line="360" w:lineRule="auto"/>
        <w:jc w:val="both"/>
      </w:pPr>
      <w:r>
        <w:rPr>
          <w:rFonts w:ascii="Times New Roman" w:hAnsi="Times New Roman"/>
          <w:color w:val="212121"/>
          <w:sz w:val="24"/>
        </w:rPr>
        <w:t>The five security layer</w:t>
      </w:r>
      <w:r>
        <w:rPr>
          <w:rFonts w:ascii="Times New Roman" w:hAnsi="Times New Roman"/>
          <w:color w:val="212121"/>
          <w:sz w:val="24"/>
        </w:rPr>
        <w:t>s illustrated in Figure 3.6 operate cooperatively:</w:t>
      </w:r>
    </w:p>
    <w:p w:rsidR="000F1385" w:rsidRDefault="00EF3E79">
      <w:pPr>
        <w:spacing w:after="80" w:line="360" w:lineRule="auto"/>
        <w:jc w:val="both"/>
      </w:pPr>
      <w:r>
        <w:rPr>
          <w:rFonts w:ascii="Times New Roman" w:hAnsi="Times New Roman"/>
          <w:color w:val="212121"/>
          <w:sz w:val="24"/>
        </w:rPr>
        <w:t>Layer 1 — Perimeter &amp; Transport Security: Enforces TLS 1.3 with automated HSTS, X-Content-Type-Options: nosniff, and Content-Security-Policy headers managed by Nginx.</w:t>
      </w:r>
    </w:p>
    <w:p w:rsidR="000F1385" w:rsidRDefault="00EF3E79">
      <w:pPr>
        <w:spacing w:after="80" w:line="360" w:lineRule="auto"/>
        <w:jc w:val="both"/>
      </w:pPr>
      <w:r>
        <w:rPr>
          <w:rFonts w:ascii="Times New Roman" w:hAnsi="Times New Roman"/>
          <w:color w:val="212121"/>
          <w:sz w:val="24"/>
        </w:rPr>
        <w:t>Layer 2 — Gateway Rate Limiting: Restr</w:t>
      </w:r>
      <w:r>
        <w:rPr>
          <w:rFonts w:ascii="Times New Roman" w:hAnsi="Times New Roman"/>
          <w:color w:val="212121"/>
          <w:sz w:val="24"/>
        </w:rPr>
        <w:t>icts public authentication routes to 5 requests per 15 minutes and API routes to 100 requests per 15 minutes, preventing denial-of-service and brute-force cracking.</w:t>
      </w:r>
    </w:p>
    <w:p w:rsidR="000F1385" w:rsidRDefault="00EF3E79">
      <w:pPr>
        <w:spacing w:after="80" w:line="360" w:lineRule="auto"/>
        <w:jc w:val="both"/>
      </w:pPr>
      <w:r>
        <w:rPr>
          <w:rFonts w:ascii="Times New Roman" w:hAnsi="Times New Roman"/>
          <w:color w:val="212121"/>
          <w:sz w:val="24"/>
        </w:rPr>
        <w:t>Layer 3 — Authentication &amp; Session Management: Protects credentials using Argon2id (3 itera</w:t>
      </w:r>
      <w:r>
        <w:rPr>
          <w:rFonts w:ascii="Times New Roman" w:hAnsi="Times New Roman"/>
          <w:color w:val="212121"/>
          <w:sz w:val="24"/>
        </w:rPr>
        <w:t>tions, 64 MB memory cost). Issues cryptographically signed JSON Web Tokens (JWT) with 15-minute expirations and explicit 401 session expiry handling.</w:t>
      </w:r>
    </w:p>
    <w:p w:rsidR="000F1385" w:rsidRDefault="00EF3E79">
      <w:pPr>
        <w:spacing w:after="80" w:line="360" w:lineRule="auto"/>
        <w:jc w:val="both"/>
      </w:pPr>
      <w:r>
        <w:rPr>
          <w:rFonts w:ascii="Times New Roman" w:hAnsi="Times New Roman"/>
          <w:color w:val="212121"/>
          <w:sz w:val="24"/>
        </w:rPr>
        <w:t>Layer 4 — Role-Based Authorization: Validates user permissions ('worker', 'doctor', 'admin') at the middle</w:t>
      </w:r>
      <w:r>
        <w:rPr>
          <w:rFonts w:ascii="Times New Roman" w:hAnsi="Times New Roman"/>
          <w:color w:val="212121"/>
          <w:sz w:val="24"/>
        </w:rPr>
        <w:t>ware layer on every protected route.</w:t>
      </w:r>
    </w:p>
    <w:p w:rsidR="000F1385" w:rsidRDefault="00EF3E79">
      <w:pPr>
        <w:spacing w:line="360" w:lineRule="auto"/>
        <w:jc w:val="both"/>
      </w:pPr>
      <w:r>
        <w:rPr>
          <w:rFonts w:ascii="Times New Roman" w:hAnsi="Times New Roman"/>
          <w:color w:val="212121"/>
          <w:sz w:val="24"/>
        </w:rPr>
        <w:t>Layer 5 — Field-Level Cryptographic Storage: All patient identifiers (name, contact, location) are encrypted at rest using AES-256-GCM with a unique 96-bit initialization vector (IV) per record. An automated startup tes</w:t>
      </w:r>
      <w:r>
        <w:rPr>
          <w:rFonts w:ascii="Times New Roman" w:hAnsi="Times New Roman"/>
          <w:color w:val="212121"/>
          <w:sz w:val="24"/>
        </w:rPr>
        <w:t>t (`encryption_key_exit.test.js`) guarantees that the backend process immediately terminates if the master encryption key is missing or invalid.</w:t>
      </w:r>
    </w:p>
    <w:p w:rsidR="000F1385" w:rsidRDefault="00EF3E79">
      <w:pPr>
        <w:spacing w:before="200" w:after="40"/>
        <w:jc w:val="center"/>
      </w:pPr>
      <w:r>
        <w:rPr>
          <w:noProof/>
          <w:lang w:val="en-IN" w:eastAsia="en-IN"/>
        </w:rPr>
        <w:lastRenderedPageBreak/>
        <w:drawing>
          <wp:inline distT="0" distB="0" distL="0" distR="0">
            <wp:extent cx="530352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7_mitm_interception.png"/>
                    <pic:cNvPicPr/>
                  </pic:nvPicPr>
                  <pic:blipFill>
                    <a:blip r:embed="rId14"/>
                    <a:stretch>
                      <a:fillRect/>
                    </a:stretch>
                  </pic:blipFill>
                  <pic:spPr>
                    <a:xfrm>
                      <a:off x="0" y="0"/>
                      <a:ext cx="5303520" cy="265176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3.7: Packet Interception Analysis: Cleartext HTTP vs Encrypted TLS 1.3</w:t>
      </w:r>
    </w:p>
    <w:p w:rsidR="000F1385" w:rsidRDefault="00EF3E79">
      <w:pPr>
        <w:spacing w:after="120" w:line="360" w:lineRule="auto"/>
        <w:jc w:val="both"/>
      </w:pPr>
      <w:r>
        <w:rPr>
          <w:rFonts w:ascii="Times New Roman" w:hAnsi="Times New Roman"/>
          <w:color w:val="212121"/>
          <w:sz w:val="24"/>
        </w:rPr>
        <w:t>Figure 3.7 presents packet capt</w:t>
      </w:r>
      <w:r>
        <w:rPr>
          <w:rFonts w:ascii="Times New Roman" w:hAnsi="Times New Roman"/>
          <w:color w:val="212121"/>
          <w:sz w:val="24"/>
        </w:rPr>
        <w:t>ure analysis conducted during security auditing. Under unencrypted HTTP, patient symptom payloads and authentication tokens are plainly visible to network sniffers. Under ArogyaMitra's enforced TLS 1.3 configuration, network interception yields only crypto</w:t>
      </w:r>
      <w:r>
        <w:rPr>
          <w:rFonts w:ascii="Times New Roman" w:hAnsi="Times New Roman"/>
          <w:color w:val="212121"/>
          <w:sz w:val="24"/>
        </w:rPr>
        <w:t>graphically randomized ciphertext.</w:t>
      </w:r>
    </w:p>
    <w:p w:rsidR="000F1385" w:rsidRDefault="00EF3E79">
      <w:pPr>
        <w:spacing w:before="280" w:after="120"/>
      </w:pPr>
      <w:r>
        <w:rPr>
          <w:rFonts w:ascii="Times New Roman" w:hAnsi="Times New Roman"/>
          <w:b/>
          <w:color w:val="1B4F72"/>
          <w:sz w:val="27"/>
        </w:rPr>
        <w:t>3.7 Database Design, Concurrency &amp; Data Integrity</w:t>
      </w:r>
    </w:p>
    <w:p w:rsidR="000F1385" w:rsidRDefault="00EF3E79">
      <w:pPr>
        <w:spacing w:after="120" w:line="360" w:lineRule="auto"/>
        <w:jc w:val="both"/>
      </w:pPr>
      <w:r>
        <w:rPr>
          <w:rFonts w:ascii="Times New Roman" w:hAnsi="Times New Roman"/>
          <w:color w:val="212121"/>
          <w:sz w:val="24"/>
        </w:rPr>
        <w:t xml:space="preserve">The persistence tier is built on MongoDB 7.0 utilizing three core schemas: `Consultation`, `User`, and `AuditLog`. To preserve data integrity during simultaneous clinical </w:t>
      </w:r>
      <w:r>
        <w:rPr>
          <w:rFonts w:ascii="Times New Roman" w:hAnsi="Times New Roman"/>
          <w:color w:val="212121"/>
          <w:sz w:val="24"/>
        </w:rPr>
        <w:t>interactions across rural clinics, the system implements Optimistic Concurrency Control (OCC) (Kung &amp; Robinson, 1981).</w:t>
      </w:r>
    </w:p>
    <w:p w:rsidR="000F1385" w:rsidRDefault="00EF3E79">
      <w:pPr>
        <w:spacing w:after="120" w:line="360" w:lineRule="auto"/>
        <w:jc w:val="both"/>
      </w:pPr>
      <w:r>
        <w:rPr>
          <w:rFonts w:ascii="Times New Roman" w:hAnsi="Times New Roman"/>
          <w:color w:val="212121"/>
          <w:sz w:val="24"/>
        </w:rPr>
        <w:t xml:space="preserve">Each consultation document maintains a version key (`__v`). When a health worker or physician submits a status update, Mongoose executes </w:t>
      </w:r>
      <w:r>
        <w:rPr>
          <w:rFonts w:ascii="Times New Roman" w:hAnsi="Times New Roman"/>
          <w:color w:val="212121"/>
          <w:sz w:val="24"/>
        </w:rPr>
        <w:t>an atomic conditional update: `Consultation.findOneAndUpdate({ _id: id, __v: currentVersion, status: 'PENDING' }, { $set: updateData, $inc: { __v: 1 } })`. If another user modified the record concurrently, the version precondition fails, aborting the write</w:t>
      </w:r>
      <w:r>
        <w:rPr>
          <w:rFonts w:ascii="Times New Roman" w:hAnsi="Times New Roman"/>
          <w:color w:val="212121"/>
          <w:sz w:val="24"/>
        </w:rPr>
        <w:t xml:space="preserve"> and returning an HTTP 409 Conflict error, preventing lost updates.</w:t>
      </w:r>
    </w:p>
    <w:p w:rsidR="000F1385" w:rsidRDefault="00EF3E79">
      <w:pPr>
        <w:spacing w:after="120" w:line="360" w:lineRule="auto"/>
        <w:jc w:val="both"/>
      </w:pPr>
      <w:r>
        <w:rPr>
          <w:rFonts w:ascii="Times New Roman" w:hAnsi="Times New Roman"/>
          <w:color w:val="212121"/>
          <w:sz w:val="24"/>
        </w:rPr>
        <w:t>Furthermore, to resolve severe latency degradation identified during load testing (where `GET /consultation/my` suffered 7.0s p99 latencies due to unindexed collection scans), the endpoint</w:t>
      </w:r>
      <w:r>
        <w:rPr>
          <w:rFonts w:ascii="Times New Roman" w:hAnsi="Times New Roman"/>
          <w:color w:val="212121"/>
          <w:sz w:val="24"/>
        </w:rPr>
        <w:t xml:space="preserve"> was re-architected with server-side pagination (`page` and `limit` parameters) and </w:t>
      </w:r>
      <w:r>
        <w:rPr>
          <w:rFonts w:ascii="Times New Roman" w:hAnsi="Times New Roman"/>
          <w:color w:val="212121"/>
          <w:sz w:val="24"/>
        </w:rPr>
        <w:lastRenderedPageBreak/>
        <w:t xml:space="preserve">lean Mongoose projections (`.select('patientName age gender symptoms topCondition triageStatus createdAt')`), reducing response payload sizes by 84% and cutting latency by </w:t>
      </w:r>
      <w:r>
        <w:rPr>
          <w:rFonts w:ascii="Times New Roman" w:hAnsi="Times New Roman"/>
          <w:color w:val="212121"/>
          <w:sz w:val="24"/>
        </w:rPr>
        <w:t>60.5%.</w:t>
      </w:r>
    </w:p>
    <w:p w:rsidR="000F1385" w:rsidRDefault="00EF3E79">
      <w:r>
        <w:br w:type="page"/>
      </w:r>
    </w:p>
    <w:p w:rsidR="000F1385" w:rsidRDefault="00EF3E79">
      <w:pPr>
        <w:spacing w:before="480" w:after="240"/>
      </w:pPr>
      <w:r>
        <w:rPr>
          <w:rFonts w:ascii="Times New Roman" w:hAnsi="Times New Roman"/>
          <w:b/>
          <w:color w:val="154360"/>
          <w:sz w:val="32"/>
        </w:rPr>
        <w:lastRenderedPageBreak/>
        <w:t>Chapter 4: Empirical Evaluation &amp; Experimental Results</w:t>
      </w:r>
    </w:p>
    <w:p w:rsidR="000F1385" w:rsidRDefault="00EF3E79">
      <w:pPr>
        <w:spacing w:before="280" w:after="120"/>
      </w:pPr>
      <w:r>
        <w:rPr>
          <w:rFonts w:ascii="Times New Roman" w:hAnsi="Times New Roman"/>
          <w:b/>
          <w:color w:val="1B4F72"/>
          <w:sz w:val="27"/>
        </w:rPr>
        <w:t>4.1 Dataset Profile &amp; Methodological Integrity</w:t>
      </w:r>
    </w:p>
    <w:p w:rsidR="000F1385" w:rsidRDefault="00EF3E79">
      <w:pPr>
        <w:spacing w:after="120" w:line="360" w:lineRule="auto"/>
        <w:jc w:val="both"/>
      </w:pPr>
      <w:r>
        <w:rPr>
          <w:rFonts w:ascii="Times New Roman" w:hAnsi="Times New Roman"/>
          <w:color w:val="212121"/>
          <w:sz w:val="24"/>
        </w:rPr>
        <w:t xml:space="preserve">A critical flaw in many published machine learning benchmarks for clinical decision support is the uncritical use of raw public datasets without </w:t>
      </w:r>
      <w:r>
        <w:rPr>
          <w:rFonts w:ascii="Times New Roman" w:hAnsi="Times New Roman"/>
          <w:color w:val="212121"/>
          <w:sz w:val="24"/>
        </w:rPr>
        <w:t>verifying data provenance or sample duplication. In early development, the standard Kaggle disease-symptom dataset (comprising 4,920 CSV records across 41 disease classes and 131 symptoms) was evaluated.</w:t>
      </w:r>
    </w:p>
    <w:p w:rsidR="000F1385" w:rsidRDefault="00EF3E79">
      <w:pPr>
        <w:spacing w:after="120" w:line="360" w:lineRule="auto"/>
        <w:jc w:val="both"/>
      </w:pPr>
      <w:r>
        <w:rPr>
          <w:rFonts w:ascii="Times New Roman" w:hAnsi="Times New Roman"/>
          <w:color w:val="212121"/>
          <w:sz w:val="24"/>
        </w:rPr>
        <w:t>Automated data provenance auditing conducted in this</w:t>
      </w:r>
      <w:r>
        <w:rPr>
          <w:rFonts w:ascii="Times New Roman" w:hAnsi="Times New Roman"/>
          <w:color w:val="212121"/>
          <w:sz w:val="24"/>
        </w:rPr>
        <w:t xml:space="preserve"> project (`docs/evidence/data_provenance.txt`) revealed a profound methodological flaw: 4,616 of the 4,920 rows were exact duplicates, representing a staggering 93.8% synthetic duplication rate. When standard random train-test splits (such as 80/20 train/t</w:t>
      </w:r>
      <w:r>
        <w:rPr>
          <w:rFonts w:ascii="Times New Roman" w:hAnsi="Times New Roman"/>
          <w:color w:val="212121"/>
          <w:sz w:val="24"/>
        </w:rPr>
        <w:t>est) are applied to this raw dataset, identical symptom vectors inevitably leak across training and test partitions, yielding artificial, illusory test accuracies of 100.0%.</w:t>
      </w:r>
    </w:p>
    <w:p w:rsidR="000F1385" w:rsidRDefault="00EF3E79">
      <w:pPr>
        <w:spacing w:before="200" w:after="40"/>
        <w:jc w:val="center"/>
      </w:pPr>
      <w:r>
        <w:rPr>
          <w:noProof/>
          <w:lang w:val="en-IN" w:eastAsia="en-IN"/>
        </w:rPr>
        <w:drawing>
          <wp:inline distT="0" distB="0" distL="0" distR="0">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set_breakdown.png"/>
                    <pic:cNvPicPr/>
                  </pic:nvPicPr>
                  <pic:blipFill>
                    <a:blip r:embed="rId15"/>
                    <a:stretch>
                      <a:fillRect/>
                    </a:stretch>
                  </pic:blipFill>
                  <pic:spPr>
                    <a:xfrm>
                      <a:off x="0" y="0"/>
                      <a:ext cx="5303520" cy="265176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4.1: Dataset Profile: Raw Kaggle Duplication vs Deduplicated Cohort</w:t>
      </w:r>
    </w:p>
    <w:p w:rsidR="000F1385" w:rsidRDefault="00EF3E79">
      <w:pPr>
        <w:spacing w:after="120" w:line="360" w:lineRule="auto"/>
        <w:jc w:val="both"/>
      </w:pPr>
      <w:r>
        <w:rPr>
          <w:rFonts w:ascii="Times New Roman" w:hAnsi="Times New Roman"/>
          <w:color w:val="212121"/>
          <w:sz w:val="24"/>
        </w:rPr>
        <w:t>Figur</w:t>
      </w:r>
      <w:r>
        <w:rPr>
          <w:rFonts w:ascii="Times New Roman" w:hAnsi="Times New Roman"/>
          <w:color w:val="212121"/>
          <w:sz w:val="24"/>
        </w:rPr>
        <w:t>e 4.1 illustrates the true dataset composition. After rigorous deduplication, exactly 304 unique clinical symptom vectors remain across the 41 disease classes (an average of approximately 7.4 unique presentations per disease). All empirical machine learnin</w:t>
      </w:r>
      <w:r>
        <w:rPr>
          <w:rFonts w:ascii="Times New Roman" w:hAnsi="Times New Roman"/>
          <w:color w:val="212121"/>
          <w:sz w:val="24"/>
        </w:rPr>
        <w:t>g evaluations in ArogyaMitra were conducted strictly on this deduplicated 304-row benchmark to eliminate data leakage.</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ECEFF1"/>
            <w:tcMar>
              <w:top w:w="140" w:type="dxa"/>
              <w:left w:w="200" w:type="dxa"/>
              <w:bottom w:w="140" w:type="dxa"/>
              <w:right w:w="200" w:type="dxa"/>
            </w:tcMar>
          </w:tcPr>
          <w:p w:rsidR="000F1385" w:rsidRDefault="00EF3E79">
            <w:pPr>
              <w:spacing w:after="0"/>
              <w:jc w:val="both"/>
            </w:pPr>
            <w:r>
              <w:rPr>
                <w:rFonts w:ascii="Times New Roman" w:hAnsi="Times New Roman"/>
                <w:b/>
                <w:color w:val="154360"/>
                <w:sz w:val="21"/>
              </w:rPr>
              <w:lastRenderedPageBreak/>
              <w:t xml:space="preserve">[Synthetic Data Disclosure] </w:t>
            </w:r>
            <w:r>
              <w:rPr>
                <w:rFonts w:ascii="Times New Roman" w:hAnsi="Times New Roman"/>
                <w:i/>
                <w:color w:val="212121"/>
                <w:sz w:val="21"/>
              </w:rPr>
              <w:t>Methodological Disclaimer: All machine learning models were evaluated exclusively on synthetic tabular data (</w:t>
            </w:r>
            <w:r>
              <w:rPr>
                <w:rFonts w:ascii="Times New Roman" w:hAnsi="Times New Roman"/>
                <w:i/>
                <w:color w:val="212121"/>
                <w:sz w:val="21"/>
              </w:rPr>
              <w:t>304 unique rows across 41 diseases and 131 symptoms). The dataset contains zero real-patient records, lacks continuous clinical covariates (such as blood pressure or hemoglobin levels), and does not represent complex multi-morbid clinical populations.</w:t>
            </w:r>
          </w:p>
        </w:tc>
      </w:tr>
    </w:tbl>
    <w:p w:rsidR="000F1385" w:rsidRDefault="000F1385">
      <w:pPr>
        <w:spacing w:after="80"/>
      </w:pPr>
    </w:p>
    <w:p w:rsidR="000F1385" w:rsidRDefault="00EF3E79">
      <w:pPr>
        <w:spacing w:before="280" w:after="120"/>
      </w:pPr>
      <w:r>
        <w:rPr>
          <w:rFonts w:ascii="Times New Roman" w:hAnsi="Times New Roman"/>
          <w:b/>
          <w:color w:val="1B4F72"/>
          <w:sz w:val="27"/>
        </w:rPr>
        <w:t>4.</w:t>
      </w:r>
      <w:r>
        <w:rPr>
          <w:rFonts w:ascii="Times New Roman" w:hAnsi="Times New Roman"/>
          <w:b/>
          <w:color w:val="1B4F72"/>
          <w:sz w:val="27"/>
        </w:rPr>
        <w:t>2 Machine Learning Performance &amp; Robustness</w:t>
      </w:r>
    </w:p>
    <w:p w:rsidR="000F1385" w:rsidRDefault="00EF3E79">
      <w:pPr>
        <w:spacing w:after="120" w:line="360" w:lineRule="auto"/>
        <w:jc w:val="both"/>
      </w:pPr>
      <w:r>
        <w:rPr>
          <w:rFonts w:ascii="Times New Roman" w:hAnsi="Times New Roman"/>
          <w:color w:val="212121"/>
          <w:sz w:val="24"/>
        </w:rPr>
        <w:t>To rigorously evaluate diagnostic robustness under missing clinical data, models were evaluated using a 5x3 Repeated Stratified K-Fold Cross-Validation protocol on the 304 unique rows. In each fold, presenting sy</w:t>
      </w:r>
      <w:r>
        <w:rPr>
          <w:rFonts w:ascii="Times New Roman" w:hAnsi="Times New Roman"/>
          <w:color w:val="212121"/>
          <w:sz w:val="24"/>
        </w:rPr>
        <w:t>mptoms were subjected to in-fold random symptom dropout (masking 0%, 30%, and 50% of present symptoms) to simulate incomplete recall or imperfect health worker data collection.</w:t>
      </w:r>
    </w:p>
    <w:p w:rsidR="000F1385" w:rsidRDefault="00EF3E79">
      <w:pPr>
        <w:spacing w:after="120" w:line="360" w:lineRule="auto"/>
        <w:jc w:val="both"/>
      </w:pPr>
      <w:r>
        <w:rPr>
          <w:rFonts w:ascii="Times New Roman" w:hAnsi="Times New Roman"/>
          <w:color w:val="212121"/>
          <w:sz w:val="24"/>
        </w:rPr>
        <w:t>Table 4.1 presents the empirical comparison between the deployed Bernoulli Naiv</w:t>
      </w:r>
      <w:r>
        <w:rPr>
          <w:rFonts w:ascii="Times New Roman" w:hAnsi="Times New Roman"/>
          <w:color w:val="212121"/>
          <w:sz w:val="24"/>
        </w:rPr>
        <w:t>e Bayes classifier, Tuned LightGBM (Ke et al., 2017), and Tuned XGBoost across all dropout levels. All metrics trace directly to verifiable execution logs in `docs/evidence/model_benchmark.md` and `docs/evidence/tuned_tree_benchmark.md`.</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402"/>
        <w:gridCol w:w="1287"/>
        <w:gridCol w:w="1287"/>
        <w:gridCol w:w="1287"/>
        <w:gridCol w:w="2897"/>
      </w:tblGrid>
      <w:tr w:rsidR="000F1385">
        <w:trPr>
          <w:jc w:val="center"/>
        </w:trPr>
        <w:tc>
          <w:tcPr>
            <w:tcW w:w="3168" w:type="dxa"/>
            <w:shd w:val="clear" w:color="auto" w:fill="154360"/>
            <w:tcMar>
              <w:top w:w="100" w:type="dxa"/>
              <w:left w:w="80" w:type="dxa"/>
              <w:bottom w:w="100" w:type="dxa"/>
              <w:right w:w="80" w:type="dxa"/>
            </w:tcMar>
          </w:tcPr>
          <w:p w:rsidR="000F1385" w:rsidRDefault="00EF3E79">
            <w:pPr>
              <w:jc w:val="center"/>
            </w:pPr>
            <w:r>
              <w:rPr>
                <w:rFonts w:ascii="Times New Roman" w:hAnsi="Times New Roman"/>
                <w:b/>
                <w:color w:val="FFFFFF"/>
                <w:sz w:val="18"/>
              </w:rPr>
              <w:t>Model Architecture</w:t>
            </w:r>
          </w:p>
        </w:tc>
        <w:tc>
          <w:tcPr>
            <w:tcW w:w="1584" w:type="dxa"/>
            <w:shd w:val="clear" w:color="auto" w:fill="154360"/>
            <w:tcMar>
              <w:top w:w="100" w:type="dxa"/>
              <w:left w:w="80" w:type="dxa"/>
              <w:bottom w:w="100" w:type="dxa"/>
              <w:right w:w="80" w:type="dxa"/>
            </w:tcMar>
          </w:tcPr>
          <w:p w:rsidR="000F1385" w:rsidRDefault="00EF3E79">
            <w:pPr>
              <w:jc w:val="center"/>
            </w:pPr>
            <w:r>
              <w:rPr>
                <w:rFonts w:ascii="Times New Roman" w:hAnsi="Times New Roman"/>
                <w:b/>
                <w:color w:val="FFFFFF"/>
                <w:sz w:val="18"/>
              </w:rPr>
              <w:t>0% Dropout Acc</w:t>
            </w:r>
          </w:p>
        </w:tc>
        <w:tc>
          <w:tcPr>
            <w:tcW w:w="1584" w:type="dxa"/>
            <w:shd w:val="clear" w:color="auto" w:fill="154360"/>
            <w:tcMar>
              <w:top w:w="100" w:type="dxa"/>
              <w:left w:w="80" w:type="dxa"/>
              <w:bottom w:w="100" w:type="dxa"/>
              <w:right w:w="80" w:type="dxa"/>
            </w:tcMar>
          </w:tcPr>
          <w:p w:rsidR="000F1385" w:rsidRDefault="00EF3E79">
            <w:pPr>
              <w:jc w:val="center"/>
            </w:pPr>
            <w:r>
              <w:rPr>
                <w:rFonts w:ascii="Times New Roman" w:hAnsi="Times New Roman"/>
                <w:b/>
                <w:color w:val="FFFFFF"/>
                <w:sz w:val="18"/>
              </w:rPr>
              <w:t>30% Dropout Acc</w:t>
            </w:r>
          </w:p>
        </w:tc>
        <w:tc>
          <w:tcPr>
            <w:tcW w:w="1584" w:type="dxa"/>
            <w:shd w:val="clear" w:color="auto" w:fill="154360"/>
            <w:tcMar>
              <w:top w:w="100" w:type="dxa"/>
              <w:left w:w="80" w:type="dxa"/>
              <w:bottom w:w="100" w:type="dxa"/>
              <w:right w:w="80" w:type="dxa"/>
            </w:tcMar>
          </w:tcPr>
          <w:p w:rsidR="000F1385" w:rsidRDefault="00EF3E79">
            <w:pPr>
              <w:jc w:val="center"/>
            </w:pPr>
            <w:r>
              <w:rPr>
                <w:rFonts w:ascii="Times New Roman" w:hAnsi="Times New Roman"/>
                <w:b/>
                <w:color w:val="FFFFFF"/>
                <w:sz w:val="18"/>
              </w:rPr>
              <w:t>50% Dropout Acc</w:t>
            </w:r>
          </w:p>
        </w:tc>
        <w:tc>
          <w:tcPr>
            <w:tcW w:w="2448" w:type="dxa"/>
            <w:shd w:val="clear" w:color="auto" w:fill="154360"/>
            <w:tcMar>
              <w:top w:w="100" w:type="dxa"/>
              <w:left w:w="80" w:type="dxa"/>
              <w:bottom w:w="100" w:type="dxa"/>
              <w:right w:w="80" w:type="dxa"/>
            </w:tcMar>
          </w:tcPr>
          <w:p w:rsidR="000F1385" w:rsidRDefault="00EF3E79">
            <w:pPr>
              <w:jc w:val="center"/>
            </w:pPr>
            <w:r>
              <w:rPr>
                <w:rFonts w:ascii="Times New Roman" w:hAnsi="Times New Roman"/>
                <w:b/>
                <w:color w:val="FFFFFF"/>
                <w:sz w:val="18"/>
              </w:rPr>
              <w:t>Verifiable Evidence File</w:t>
            </w:r>
          </w:p>
        </w:tc>
      </w:tr>
      <w:tr w:rsidR="000F1385">
        <w:trPr>
          <w:jc w:val="center"/>
        </w:trPr>
        <w:tc>
          <w:tcPr>
            <w:tcW w:w="3168" w:type="dxa"/>
            <w:tcMar>
              <w:top w:w="70" w:type="dxa"/>
              <w:left w:w="80" w:type="dxa"/>
              <w:bottom w:w="70" w:type="dxa"/>
              <w:right w:w="80" w:type="dxa"/>
            </w:tcMar>
          </w:tcPr>
          <w:p w:rsidR="000F1385" w:rsidRDefault="00EF3E79">
            <w:r>
              <w:rPr>
                <w:rFonts w:ascii="Times New Roman" w:hAnsi="Times New Roman"/>
                <w:b/>
                <w:sz w:val="17"/>
              </w:rPr>
              <w:t>Bernoulli Naive Bayes (Deployed)</w:t>
            </w:r>
          </w:p>
        </w:tc>
        <w:tc>
          <w:tcPr>
            <w:tcW w:w="1584" w:type="dxa"/>
            <w:tcMar>
              <w:top w:w="70" w:type="dxa"/>
              <w:left w:w="80" w:type="dxa"/>
              <w:bottom w:w="70" w:type="dxa"/>
              <w:right w:w="80" w:type="dxa"/>
            </w:tcMar>
          </w:tcPr>
          <w:p w:rsidR="000F1385" w:rsidRDefault="00EF3E79">
            <w:r>
              <w:rPr>
                <w:rFonts w:ascii="Times New Roman" w:hAnsi="Times New Roman"/>
                <w:sz w:val="17"/>
              </w:rPr>
              <w:t>1.000 ± 0.000</w:t>
            </w:r>
          </w:p>
        </w:tc>
        <w:tc>
          <w:tcPr>
            <w:tcW w:w="1584" w:type="dxa"/>
            <w:tcMar>
              <w:top w:w="70" w:type="dxa"/>
              <w:left w:w="80" w:type="dxa"/>
              <w:bottom w:w="70" w:type="dxa"/>
              <w:right w:w="80" w:type="dxa"/>
            </w:tcMar>
          </w:tcPr>
          <w:p w:rsidR="000F1385" w:rsidRDefault="00EF3E79">
            <w:r>
              <w:rPr>
                <w:rFonts w:ascii="Times New Roman" w:hAnsi="Times New Roman"/>
                <w:sz w:val="17"/>
              </w:rPr>
              <w:t>0.989 ± 0.014</w:t>
            </w:r>
          </w:p>
        </w:tc>
        <w:tc>
          <w:tcPr>
            <w:tcW w:w="1584" w:type="dxa"/>
            <w:tcMar>
              <w:top w:w="70" w:type="dxa"/>
              <w:left w:w="80" w:type="dxa"/>
              <w:bottom w:w="70" w:type="dxa"/>
              <w:right w:w="80" w:type="dxa"/>
            </w:tcMar>
          </w:tcPr>
          <w:p w:rsidR="000F1385" w:rsidRDefault="00EF3E79">
            <w:r>
              <w:rPr>
                <w:rFonts w:ascii="Times New Roman" w:hAnsi="Times New Roman"/>
                <w:b/>
                <w:sz w:val="17"/>
              </w:rPr>
              <w:t>0.919 ± 0.023</w:t>
            </w:r>
          </w:p>
        </w:tc>
        <w:tc>
          <w:tcPr>
            <w:tcW w:w="2448" w:type="dxa"/>
            <w:tcMar>
              <w:top w:w="70" w:type="dxa"/>
              <w:left w:w="80" w:type="dxa"/>
              <w:bottom w:w="70" w:type="dxa"/>
              <w:right w:w="80" w:type="dxa"/>
            </w:tcMar>
          </w:tcPr>
          <w:p w:rsidR="000F1385" w:rsidRDefault="00EF3E79">
            <w:r>
              <w:rPr>
                <w:rFonts w:ascii="Times New Roman" w:hAnsi="Times New Roman"/>
                <w:color w:val="546E7A"/>
                <w:sz w:val="15"/>
              </w:rPr>
              <w:t>docs/evidence/model_benchmark.md:21-23</w:t>
            </w:r>
          </w:p>
        </w:tc>
      </w:tr>
      <w:tr w:rsidR="000F1385">
        <w:trPr>
          <w:jc w:val="center"/>
        </w:trPr>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7"/>
              </w:rPr>
              <w:t>Tuned LightGBM (Comparison)</w:t>
            </w:r>
          </w:p>
        </w:tc>
        <w:tc>
          <w:tcPr>
            <w:tcW w:w="1584" w:type="dxa"/>
            <w:shd w:val="clear" w:color="auto" w:fill="F4F6F7"/>
            <w:tcMar>
              <w:top w:w="70" w:type="dxa"/>
              <w:left w:w="80" w:type="dxa"/>
              <w:bottom w:w="70" w:type="dxa"/>
              <w:right w:w="80" w:type="dxa"/>
            </w:tcMar>
          </w:tcPr>
          <w:p w:rsidR="000F1385" w:rsidRDefault="00EF3E79">
            <w:r>
              <w:rPr>
                <w:rFonts w:ascii="Times New Roman" w:hAnsi="Times New Roman"/>
                <w:sz w:val="17"/>
              </w:rPr>
              <w:t>0.989 ± 0.012</w:t>
            </w:r>
          </w:p>
        </w:tc>
        <w:tc>
          <w:tcPr>
            <w:tcW w:w="1584" w:type="dxa"/>
            <w:shd w:val="clear" w:color="auto" w:fill="F4F6F7"/>
            <w:tcMar>
              <w:top w:w="70" w:type="dxa"/>
              <w:left w:w="80" w:type="dxa"/>
              <w:bottom w:w="70" w:type="dxa"/>
              <w:right w:w="80" w:type="dxa"/>
            </w:tcMar>
          </w:tcPr>
          <w:p w:rsidR="000F1385" w:rsidRDefault="00EF3E79">
            <w:r>
              <w:rPr>
                <w:rFonts w:ascii="Times New Roman" w:hAnsi="Times New Roman"/>
                <w:sz w:val="17"/>
              </w:rPr>
              <w:t>0.864 ± 0.038</w:t>
            </w:r>
          </w:p>
        </w:tc>
        <w:tc>
          <w:tcPr>
            <w:tcW w:w="1584" w:type="dxa"/>
            <w:shd w:val="clear" w:color="auto" w:fill="F4F6F7"/>
            <w:tcMar>
              <w:top w:w="70" w:type="dxa"/>
              <w:left w:w="80" w:type="dxa"/>
              <w:bottom w:w="70" w:type="dxa"/>
              <w:right w:w="80" w:type="dxa"/>
            </w:tcMar>
          </w:tcPr>
          <w:p w:rsidR="000F1385" w:rsidRDefault="00EF3E79">
            <w:r>
              <w:rPr>
                <w:rFonts w:ascii="Times New Roman" w:hAnsi="Times New Roman"/>
                <w:sz w:val="17"/>
              </w:rPr>
              <w:t xml:space="preserve">0.683 ± </w:t>
            </w:r>
            <w:r>
              <w:rPr>
                <w:rFonts w:ascii="Times New Roman" w:hAnsi="Times New Roman"/>
                <w:sz w:val="17"/>
              </w:rPr>
              <w:t>0.052</w:t>
            </w:r>
          </w:p>
        </w:tc>
        <w:tc>
          <w:tcPr>
            <w:tcW w:w="2448" w:type="dxa"/>
            <w:shd w:val="clear" w:color="auto" w:fill="F4F6F7"/>
            <w:tcMar>
              <w:top w:w="70" w:type="dxa"/>
              <w:left w:w="80" w:type="dxa"/>
              <w:bottom w:w="70" w:type="dxa"/>
              <w:right w:w="80" w:type="dxa"/>
            </w:tcMar>
          </w:tcPr>
          <w:p w:rsidR="000F1385" w:rsidRDefault="00EF3E79">
            <w:r>
              <w:rPr>
                <w:rFonts w:ascii="Times New Roman" w:hAnsi="Times New Roman"/>
                <w:color w:val="546E7A"/>
                <w:sz w:val="15"/>
              </w:rPr>
              <w:t>docs/evidence/tuned_tree_benchmark.md:21-23</w:t>
            </w:r>
          </w:p>
        </w:tc>
      </w:tr>
      <w:tr w:rsidR="000F1385">
        <w:trPr>
          <w:jc w:val="center"/>
        </w:trPr>
        <w:tc>
          <w:tcPr>
            <w:tcW w:w="3168" w:type="dxa"/>
            <w:tcMar>
              <w:top w:w="70" w:type="dxa"/>
              <w:left w:w="80" w:type="dxa"/>
              <w:bottom w:w="70" w:type="dxa"/>
              <w:right w:w="80" w:type="dxa"/>
            </w:tcMar>
          </w:tcPr>
          <w:p w:rsidR="000F1385" w:rsidRDefault="00EF3E79">
            <w:r>
              <w:rPr>
                <w:rFonts w:ascii="Times New Roman" w:hAnsi="Times New Roman"/>
                <w:b/>
                <w:sz w:val="17"/>
              </w:rPr>
              <w:t>Tuned XGBoost (Comparison)</w:t>
            </w:r>
          </w:p>
        </w:tc>
        <w:tc>
          <w:tcPr>
            <w:tcW w:w="1584" w:type="dxa"/>
            <w:tcMar>
              <w:top w:w="70" w:type="dxa"/>
              <w:left w:w="80" w:type="dxa"/>
              <w:bottom w:w="70" w:type="dxa"/>
              <w:right w:w="80" w:type="dxa"/>
            </w:tcMar>
          </w:tcPr>
          <w:p w:rsidR="000F1385" w:rsidRDefault="00EF3E79">
            <w:r>
              <w:rPr>
                <w:rFonts w:ascii="Times New Roman" w:hAnsi="Times New Roman"/>
                <w:sz w:val="17"/>
              </w:rPr>
              <w:t>0.984 ± 0.015</w:t>
            </w:r>
          </w:p>
        </w:tc>
        <w:tc>
          <w:tcPr>
            <w:tcW w:w="1584" w:type="dxa"/>
            <w:tcMar>
              <w:top w:w="70" w:type="dxa"/>
              <w:left w:w="80" w:type="dxa"/>
              <w:bottom w:w="70" w:type="dxa"/>
              <w:right w:w="80" w:type="dxa"/>
            </w:tcMar>
          </w:tcPr>
          <w:p w:rsidR="000F1385" w:rsidRDefault="00EF3E79">
            <w:r>
              <w:rPr>
                <w:rFonts w:ascii="Times New Roman" w:hAnsi="Times New Roman"/>
                <w:sz w:val="17"/>
              </w:rPr>
              <w:t>0.868 ± 0.035</w:t>
            </w:r>
          </w:p>
        </w:tc>
        <w:tc>
          <w:tcPr>
            <w:tcW w:w="1584" w:type="dxa"/>
            <w:tcMar>
              <w:top w:w="70" w:type="dxa"/>
              <w:left w:w="80" w:type="dxa"/>
              <w:bottom w:w="70" w:type="dxa"/>
              <w:right w:w="80" w:type="dxa"/>
            </w:tcMar>
          </w:tcPr>
          <w:p w:rsidR="000F1385" w:rsidRDefault="00EF3E79">
            <w:r>
              <w:rPr>
                <w:rFonts w:ascii="Times New Roman" w:hAnsi="Times New Roman"/>
                <w:sz w:val="17"/>
              </w:rPr>
              <w:t>0.720 ± 0.048</w:t>
            </w:r>
          </w:p>
        </w:tc>
        <w:tc>
          <w:tcPr>
            <w:tcW w:w="2448" w:type="dxa"/>
            <w:tcMar>
              <w:top w:w="70" w:type="dxa"/>
              <w:left w:w="80" w:type="dxa"/>
              <w:bottom w:w="70" w:type="dxa"/>
              <w:right w:w="80" w:type="dxa"/>
            </w:tcMar>
          </w:tcPr>
          <w:p w:rsidR="000F1385" w:rsidRDefault="00EF3E79">
            <w:r>
              <w:rPr>
                <w:rFonts w:ascii="Times New Roman" w:hAnsi="Times New Roman"/>
                <w:color w:val="546E7A"/>
                <w:sz w:val="15"/>
              </w:rPr>
              <w:t>docs/evidence/tuned_tree_benchmark.md:31-33</w:t>
            </w:r>
          </w:p>
        </w:tc>
      </w:tr>
    </w:tbl>
    <w:p w:rsidR="000F1385" w:rsidRDefault="00EF3E79">
      <w:pPr>
        <w:spacing w:before="80" w:after="160"/>
        <w:jc w:val="center"/>
      </w:pPr>
      <w:r>
        <w:rPr>
          <w:rFonts w:ascii="Times New Roman" w:hAnsi="Times New Roman"/>
          <w:b/>
          <w:color w:val="546E7A"/>
          <w:sz w:val="20"/>
        </w:rPr>
        <w:t>Table 4.1: Stratified Repeated Cross-Validation Performance Across Dropout Levels</w:t>
      </w:r>
    </w:p>
    <w:p w:rsidR="000F1385" w:rsidRDefault="00EF3E79">
      <w:pPr>
        <w:spacing w:before="200" w:after="40"/>
        <w:jc w:val="center"/>
      </w:pPr>
      <w:r>
        <w:rPr>
          <w:noProof/>
          <w:lang w:val="en-IN" w:eastAsia="en-IN"/>
        </w:rPr>
        <w:lastRenderedPageBreak/>
        <w:drawing>
          <wp:inline distT="0" distB="0" distL="0" distR="0">
            <wp:extent cx="5303520" cy="3409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curacy_vs_dropout.png"/>
                    <pic:cNvPicPr/>
                  </pic:nvPicPr>
                  <pic:blipFill>
                    <a:blip r:embed="rId16"/>
                    <a:stretch>
                      <a:fillRect/>
                    </a:stretch>
                  </pic:blipFill>
                  <pic:spPr>
                    <a:xfrm>
                      <a:off x="0" y="0"/>
                      <a:ext cx="5303520" cy="3409406"/>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 xml:space="preserve">Figure </w:t>
      </w:r>
      <w:r>
        <w:rPr>
          <w:rFonts w:ascii="Times New Roman" w:hAnsi="Times New Roman"/>
          <w:b/>
          <w:color w:val="546E7A"/>
          <w:sz w:val="20"/>
        </w:rPr>
        <w:t>4.2: Classification Accuracy Across Symptom Dropout Rates (0%, 30%, 50%)</w:t>
      </w:r>
    </w:p>
    <w:p w:rsidR="000F1385" w:rsidRDefault="00EF3E79">
      <w:pPr>
        <w:spacing w:after="120" w:line="360" w:lineRule="auto"/>
        <w:jc w:val="both"/>
      </w:pPr>
      <w:r>
        <w:rPr>
          <w:rFonts w:ascii="Times New Roman" w:hAnsi="Times New Roman"/>
          <w:color w:val="212121"/>
          <w:sz w:val="24"/>
        </w:rPr>
        <w:t>As demonstrated in Figure 4.2, Bernoulli Naive Bayes exhibits exceptional resilience to missing symptom features. At 50% dropout, BernoulliNB maintains 0.919 accuracy, whereas LightGB</w:t>
      </w:r>
      <w:r>
        <w:rPr>
          <w:rFonts w:ascii="Times New Roman" w:hAnsi="Times New Roman"/>
          <w:color w:val="212121"/>
          <w:sz w:val="24"/>
        </w:rPr>
        <w:t>M collapses to 0.683 and XGBoost drops to 0.720. This stark divergence occurs because tree-based models rely on recursive conditional splits; when an early split feature is missing, the sample is routed down an arbitrary branch. In contrast, BernoulliNB ac</w:t>
      </w:r>
      <w:r>
        <w:rPr>
          <w:rFonts w:ascii="Times New Roman" w:hAnsi="Times New Roman"/>
          <w:color w:val="212121"/>
          <w:sz w:val="24"/>
        </w:rPr>
        <w:t>cumulates independent log-odds, allowing remaining symptoms to preserve the correct disease ranking.</w:t>
      </w:r>
    </w:p>
    <w:p w:rsidR="000F1385" w:rsidRDefault="00EF3E79">
      <w:pPr>
        <w:spacing w:after="120" w:line="360" w:lineRule="auto"/>
        <w:jc w:val="both"/>
      </w:pPr>
      <w:r>
        <w:rPr>
          <w:rFonts w:ascii="Times New Roman" w:hAnsi="Times New Roman"/>
          <w:color w:val="212121"/>
          <w:sz w:val="24"/>
        </w:rPr>
        <w:t>Table 4.2 details the probabilistic calibration evaluation, reporting out-of-fold Expected Calibration Error (ECE) across dropout levels. Note that an earl</w:t>
      </w:r>
      <w:r>
        <w:rPr>
          <w:rFonts w:ascii="Times New Roman" w:hAnsi="Times New Roman"/>
          <w:color w:val="212121"/>
          <w:sz w:val="24"/>
        </w:rPr>
        <w:t>ier reported Brier score of 0.2483 was produced exclusively by in-sample evaluation on the 304 unique rows at 0% masking with a legacy model configuration (`docs/evidence/classification_report.md:6`), and is documented here strictly for historical audit re</w:t>
      </w:r>
      <w:r>
        <w:rPr>
          <w:rFonts w:ascii="Times New Roman" w:hAnsi="Times New Roman"/>
          <w:color w:val="212121"/>
          <w:sz w:val="24"/>
        </w:rPr>
        <w:t>conciliation.</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512"/>
        <w:gridCol w:w="1331"/>
        <w:gridCol w:w="1331"/>
        <w:gridCol w:w="1331"/>
        <w:gridCol w:w="2655"/>
      </w:tblGrid>
      <w:tr w:rsidR="000F1385">
        <w:trPr>
          <w:jc w:val="center"/>
        </w:trPr>
        <w:tc>
          <w:tcPr>
            <w:tcW w:w="3168" w:type="dxa"/>
            <w:shd w:val="clear" w:color="auto" w:fill="1B4F72"/>
            <w:tcMar>
              <w:top w:w="100" w:type="dxa"/>
              <w:left w:w="80" w:type="dxa"/>
              <w:bottom w:w="100" w:type="dxa"/>
              <w:right w:w="80" w:type="dxa"/>
            </w:tcMar>
          </w:tcPr>
          <w:p w:rsidR="000F1385" w:rsidRDefault="00EF3E79">
            <w:pPr>
              <w:jc w:val="center"/>
            </w:pPr>
            <w:r>
              <w:rPr>
                <w:rFonts w:ascii="Times New Roman" w:hAnsi="Times New Roman"/>
                <w:b/>
                <w:color w:val="FFFFFF"/>
                <w:sz w:val="18"/>
              </w:rPr>
              <w:t>Model Architecture</w:t>
            </w:r>
          </w:p>
        </w:tc>
        <w:tc>
          <w:tcPr>
            <w:tcW w:w="1584" w:type="dxa"/>
            <w:shd w:val="clear" w:color="auto" w:fill="1B4F72"/>
            <w:tcMar>
              <w:top w:w="100" w:type="dxa"/>
              <w:left w:w="80" w:type="dxa"/>
              <w:bottom w:w="100" w:type="dxa"/>
              <w:right w:w="80" w:type="dxa"/>
            </w:tcMar>
          </w:tcPr>
          <w:p w:rsidR="000F1385" w:rsidRDefault="00EF3E79">
            <w:pPr>
              <w:jc w:val="center"/>
            </w:pPr>
            <w:r>
              <w:rPr>
                <w:rFonts w:ascii="Times New Roman" w:hAnsi="Times New Roman"/>
                <w:b/>
                <w:color w:val="FFFFFF"/>
                <w:sz w:val="18"/>
              </w:rPr>
              <w:t>0% Dropout ECE</w:t>
            </w:r>
          </w:p>
        </w:tc>
        <w:tc>
          <w:tcPr>
            <w:tcW w:w="1584" w:type="dxa"/>
            <w:shd w:val="clear" w:color="auto" w:fill="1B4F72"/>
            <w:tcMar>
              <w:top w:w="100" w:type="dxa"/>
              <w:left w:w="80" w:type="dxa"/>
              <w:bottom w:w="100" w:type="dxa"/>
              <w:right w:w="80" w:type="dxa"/>
            </w:tcMar>
          </w:tcPr>
          <w:p w:rsidR="000F1385" w:rsidRDefault="00EF3E79">
            <w:pPr>
              <w:jc w:val="center"/>
            </w:pPr>
            <w:r>
              <w:rPr>
                <w:rFonts w:ascii="Times New Roman" w:hAnsi="Times New Roman"/>
                <w:b/>
                <w:color w:val="FFFFFF"/>
                <w:sz w:val="18"/>
              </w:rPr>
              <w:t>30% Dropout ECE</w:t>
            </w:r>
          </w:p>
        </w:tc>
        <w:tc>
          <w:tcPr>
            <w:tcW w:w="1584" w:type="dxa"/>
            <w:shd w:val="clear" w:color="auto" w:fill="1B4F72"/>
            <w:tcMar>
              <w:top w:w="100" w:type="dxa"/>
              <w:left w:w="80" w:type="dxa"/>
              <w:bottom w:w="100" w:type="dxa"/>
              <w:right w:w="80" w:type="dxa"/>
            </w:tcMar>
          </w:tcPr>
          <w:p w:rsidR="000F1385" w:rsidRDefault="00EF3E79">
            <w:pPr>
              <w:jc w:val="center"/>
            </w:pPr>
            <w:r>
              <w:rPr>
                <w:rFonts w:ascii="Times New Roman" w:hAnsi="Times New Roman"/>
                <w:b/>
                <w:color w:val="FFFFFF"/>
                <w:sz w:val="18"/>
              </w:rPr>
              <w:t>50% Dropout ECE</w:t>
            </w:r>
          </w:p>
        </w:tc>
        <w:tc>
          <w:tcPr>
            <w:tcW w:w="2448" w:type="dxa"/>
            <w:shd w:val="clear" w:color="auto" w:fill="1B4F72"/>
            <w:tcMar>
              <w:top w:w="100" w:type="dxa"/>
              <w:left w:w="80" w:type="dxa"/>
              <w:bottom w:w="100" w:type="dxa"/>
              <w:right w:w="80" w:type="dxa"/>
            </w:tcMar>
          </w:tcPr>
          <w:p w:rsidR="000F1385" w:rsidRDefault="00EF3E79">
            <w:pPr>
              <w:jc w:val="center"/>
            </w:pPr>
            <w:r>
              <w:rPr>
                <w:rFonts w:ascii="Times New Roman" w:hAnsi="Times New Roman"/>
                <w:b/>
                <w:color w:val="FFFFFF"/>
                <w:sz w:val="18"/>
              </w:rPr>
              <w:t>Verifiable Evidence File</w:t>
            </w:r>
          </w:p>
        </w:tc>
      </w:tr>
      <w:tr w:rsidR="000F1385">
        <w:trPr>
          <w:jc w:val="center"/>
        </w:trPr>
        <w:tc>
          <w:tcPr>
            <w:tcW w:w="3168" w:type="dxa"/>
            <w:tcMar>
              <w:top w:w="70" w:type="dxa"/>
              <w:left w:w="80" w:type="dxa"/>
              <w:bottom w:w="70" w:type="dxa"/>
              <w:right w:w="80" w:type="dxa"/>
            </w:tcMar>
          </w:tcPr>
          <w:p w:rsidR="000F1385" w:rsidRDefault="00EF3E79">
            <w:r>
              <w:rPr>
                <w:rFonts w:ascii="Times New Roman" w:hAnsi="Times New Roman"/>
                <w:b/>
                <w:sz w:val="17"/>
              </w:rPr>
              <w:t>Bernoulli Naive Bayes (Deployed)</w:t>
            </w:r>
          </w:p>
        </w:tc>
        <w:tc>
          <w:tcPr>
            <w:tcW w:w="1584" w:type="dxa"/>
            <w:tcMar>
              <w:top w:w="70" w:type="dxa"/>
              <w:left w:w="80" w:type="dxa"/>
              <w:bottom w:w="70" w:type="dxa"/>
              <w:right w:w="80" w:type="dxa"/>
            </w:tcMar>
          </w:tcPr>
          <w:p w:rsidR="000F1385" w:rsidRDefault="00EF3E79">
            <w:r>
              <w:rPr>
                <w:rFonts w:ascii="Times New Roman" w:hAnsi="Times New Roman"/>
                <w:sz w:val="17"/>
              </w:rPr>
              <w:t>0.005</w:t>
            </w:r>
          </w:p>
        </w:tc>
        <w:tc>
          <w:tcPr>
            <w:tcW w:w="1584" w:type="dxa"/>
            <w:tcMar>
              <w:top w:w="70" w:type="dxa"/>
              <w:left w:w="80" w:type="dxa"/>
              <w:bottom w:w="70" w:type="dxa"/>
              <w:right w:w="80" w:type="dxa"/>
            </w:tcMar>
          </w:tcPr>
          <w:p w:rsidR="000F1385" w:rsidRDefault="00EF3E79">
            <w:r>
              <w:rPr>
                <w:rFonts w:ascii="Times New Roman" w:hAnsi="Times New Roman"/>
                <w:sz w:val="17"/>
              </w:rPr>
              <w:t>0.032</w:t>
            </w:r>
          </w:p>
        </w:tc>
        <w:tc>
          <w:tcPr>
            <w:tcW w:w="1584" w:type="dxa"/>
            <w:tcMar>
              <w:top w:w="70" w:type="dxa"/>
              <w:left w:w="80" w:type="dxa"/>
              <w:bottom w:w="70" w:type="dxa"/>
              <w:right w:w="80" w:type="dxa"/>
            </w:tcMar>
          </w:tcPr>
          <w:p w:rsidR="000F1385" w:rsidRDefault="00EF3E79">
            <w:r>
              <w:rPr>
                <w:rFonts w:ascii="Times New Roman" w:hAnsi="Times New Roman"/>
                <w:b/>
                <w:sz w:val="17"/>
              </w:rPr>
              <w:t>0.072</w:t>
            </w:r>
          </w:p>
        </w:tc>
        <w:tc>
          <w:tcPr>
            <w:tcW w:w="2448" w:type="dxa"/>
            <w:tcMar>
              <w:top w:w="70" w:type="dxa"/>
              <w:left w:w="80" w:type="dxa"/>
              <w:bottom w:w="70" w:type="dxa"/>
              <w:right w:w="80" w:type="dxa"/>
            </w:tcMar>
          </w:tcPr>
          <w:p w:rsidR="000F1385" w:rsidRDefault="00EF3E79">
            <w:r>
              <w:rPr>
                <w:rFonts w:ascii="Times New Roman" w:hAnsi="Times New Roman"/>
                <w:color w:val="546E7A"/>
                <w:sz w:val="15"/>
              </w:rPr>
              <w:t>docs/evidence/model_benchmark.md:27-29</w:t>
            </w:r>
          </w:p>
        </w:tc>
      </w:tr>
      <w:tr w:rsidR="000F1385">
        <w:trPr>
          <w:jc w:val="center"/>
        </w:trPr>
        <w:tc>
          <w:tcPr>
            <w:tcW w:w="3168" w:type="dxa"/>
            <w:shd w:val="clear" w:color="auto" w:fill="F4F6F7"/>
            <w:tcMar>
              <w:top w:w="70" w:type="dxa"/>
              <w:left w:w="80" w:type="dxa"/>
              <w:bottom w:w="70" w:type="dxa"/>
              <w:right w:w="80" w:type="dxa"/>
            </w:tcMar>
          </w:tcPr>
          <w:p w:rsidR="000F1385" w:rsidRDefault="00EF3E79">
            <w:r>
              <w:rPr>
                <w:rFonts w:ascii="Times New Roman" w:hAnsi="Times New Roman"/>
                <w:b/>
                <w:sz w:val="17"/>
              </w:rPr>
              <w:lastRenderedPageBreak/>
              <w:t>Tuned LightGBM (Comparison)</w:t>
            </w:r>
          </w:p>
        </w:tc>
        <w:tc>
          <w:tcPr>
            <w:tcW w:w="1584" w:type="dxa"/>
            <w:shd w:val="clear" w:color="auto" w:fill="F4F6F7"/>
            <w:tcMar>
              <w:top w:w="70" w:type="dxa"/>
              <w:left w:w="80" w:type="dxa"/>
              <w:bottom w:w="70" w:type="dxa"/>
              <w:right w:w="80" w:type="dxa"/>
            </w:tcMar>
          </w:tcPr>
          <w:p w:rsidR="000F1385" w:rsidRDefault="00EF3E79">
            <w:r>
              <w:rPr>
                <w:rFonts w:ascii="Times New Roman" w:hAnsi="Times New Roman"/>
                <w:sz w:val="17"/>
              </w:rPr>
              <w:t>0.010</w:t>
            </w:r>
          </w:p>
        </w:tc>
        <w:tc>
          <w:tcPr>
            <w:tcW w:w="1584" w:type="dxa"/>
            <w:shd w:val="clear" w:color="auto" w:fill="F4F6F7"/>
            <w:tcMar>
              <w:top w:w="70" w:type="dxa"/>
              <w:left w:w="80" w:type="dxa"/>
              <w:bottom w:w="70" w:type="dxa"/>
              <w:right w:w="80" w:type="dxa"/>
            </w:tcMar>
          </w:tcPr>
          <w:p w:rsidR="000F1385" w:rsidRDefault="00EF3E79">
            <w:r>
              <w:rPr>
                <w:rFonts w:ascii="Times New Roman" w:hAnsi="Times New Roman"/>
                <w:sz w:val="17"/>
              </w:rPr>
              <w:t>0.098</w:t>
            </w:r>
          </w:p>
        </w:tc>
        <w:tc>
          <w:tcPr>
            <w:tcW w:w="1584" w:type="dxa"/>
            <w:shd w:val="clear" w:color="auto" w:fill="F4F6F7"/>
            <w:tcMar>
              <w:top w:w="70" w:type="dxa"/>
              <w:left w:w="80" w:type="dxa"/>
              <w:bottom w:w="70" w:type="dxa"/>
              <w:right w:w="80" w:type="dxa"/>
            </w:tcMar>
          </w:tcPr>
          <w:p w:rsidR="000F1385" w:rsidRDefault="00EF3E79">
            <w:r>
              <w:rPr>
                <w:rFonts w:ascii="Times New Roman" w:hAnsi="Times New Roman"/>
                <w:sz w:val="17"/>
              </w:rPr>
              <w:t>0.202</w:t>
            </w:r>
          </w:p>
        </w:tc>
        <w:tc>
          <w:tcPr>
            <w:tcW w:w="2448" w:type="dxa"/>
            <w:shd w:val="clear" w:color="auto" w:fill="F4F6F7"/>
            <w:tcMar>
              <w:top w:w="70" w:type="dxa"/>
              <w:left w:w="80" w:type="dxa"/>
              <w:bottom w:w="70" w:type="dxa"/>
              <w:right w:w="80" w:type="dxa"/>
            </w:tcMar>
          </w:tcPr>
          <w:p w:rsidR="000F1385" w:rsidRDefault="00EF3E79">
            <w:r>
              <w:rPr>
                <w:rFonts w:ascii="Times New Roman" w:hAnsi="Times New Roman"/>
                <w:color w:val="546E7A"/>
                <w:sz w:val="15"/>
              </w:rPr>
              <w:t>docs/evidence/tuned_tree_benchmark.md</w:t>
            </w:r>
          </w:p>
        </w:tc>
      </w:tr>
      <w:tr w:rsidR="000F1385">
        <w:trPr>
          <w:jc w:val="center"/>
        </w:trPr>
        <w:tc>
          <w:tcPr>
            <w:tcW w:w="3168" w:type="dxa"/>
            <w:tcMar>
              <w:top w:w="70" w:type="dxa"/>
              <w:left w:w="80" w:type="dxa"/>
              <w:bottom w:w="70" w:type="dxa"/>
              <w:right w:w="80" w:type="dxa"/>
            </w:tcMar>
          </w:tcPr>
          <w:p w:rsidR="000F1385" w:rsidRDefault="00EF3E79">
            <w:r>
              <w:rPr>
                <w:rFonts w:ascii="Times New Roman" w:hAnsi="Times New Roman"/>
                <w:b/>
                <w:sz w:val="17"/>
              </w:rPr>
              <w:t>Tuned XGBoost (Comparison)</w:t>
            </w:r>
          </w:p>
        </w:tc>
        <w:tc>
          <w:tcPr>
            <w:tcW w:w="1584" w:type="dxa"/>
            <w:tcMar>
              <w:top w:w="70" w:type="dxa"/>
              <w:left w:w="80" w:type="dxa"/>
              <w:bottom w:w="70" w:type="dxa"/>
              <w:right w:w="80" w:type="dxa"/>
            </w:tcMar>
          </w:tcPr>
          <w:p w:rsidR="000F1385" w:rsidRDefault="00EF3E79">
            <w:r>
              <w:rPr>
                <w:rFonts w:ascii="Times New Roman" w:hAnsi="Times New Roman"/>
                <w:sz w:val="17"/>
              </w:rPr>
              <w:t>0.083</w:t>
            </w:r>
          </w:p>
        </w:tc>
        <w:tc>
          <w:tcPr>
            <w:tcW w:w="1584" w:type="dxa"/>
            <w:tcMar>
              <w:top w:w="70" w:type="dxa"/>
              <w:left w:w="80" w:type="dxa"/>
              <w:bottom w:w="70" w:type="dxa"/>
              <w:right w:w="80" w:type="dxa"/>
            </w:tcMar>
          </w:tcPr>
          <w:p w:rsidR="000F1385" w:rsidRDefault="00EF3E79">
            <w:r>
              <w:rPr>
                <w:rFonts w:ascii="Times New Roman" w:hAnsi="Times New Roman"/>
                <w:sz w:val="17"/>
              </w:rPr>
              <w:t>0.198</w:t>
            </w:r>
          </w:p>
        </w:tc>
        <w:tc>
          <w:tcPr>
            <w:tcW w:w="1584" w:type="dxa"/>
            <w:tcMar>
              <w:top w:w="70" w:type="dxa"/>
              <w:left w:w="80" w:type="dxa"/>
              <w:bottom w:w="70" w:type="dxa"/>
              <w:right w:w="80" w:type="dxa"/>
            </w:tcMar>
          </w:tcPr>
          <w:p w:rsidR="000F1385" w:rsidRDefault="00EF3E79">
            <w:r>
              <w:rPr>
                <w:rFonts w:ascii="Times New Roman" w:hAnsi="Times New Roman"/>
                <w:sz w:val="17"/>
              </w:rPr>
              <w:t>0.212</w:t>
            </w:r>
          </w:p>
        </w:tc>
        <w:tc>
          <w:tcPr>
            <w:tcW w:w="2448" w:type="dxa"/>
            <w:tcMar>
              <w:top w:w="70" w:type="dxa"/>
              <w:left w:w="80" w:type="dxa"/>
              <w:bottom w:w="70" w:type="dxa"/>
              <w:right w:w="80" w:type="dxa"/>
            </w:tcMar>
          </w:tcPr>
          <w:p w:rsidR="000F1385" w:rsidRDefault="00EF3E79">
            <w:r>
              <w:rPr>
                <w:rFonts w:ascii="Times New Roman" w:hAnsi="Times New Roman"/>
                <w:color w:val="546E7A"/>
                <w:sz w:val="15"/>
              </w:rPr>
              <w:t>docs/evidence/tuned_tree_benchmark.md</w:t>
            </w:r>
          </w:p>
        </w:tc>
      </w:tr>
    </w:tbl>
    <w:p w:rsidR="000F1385" w:rsidRDefault="00EF3E79">
      <w:pPr>
        <w:spacing w:before="80" w:after="160"/>
        <w:jc w:val="center"/>
      </w:pPr>
      <w:r>
        <w:rPr>
          <w:rFonts w:ascii="Times New Roman" w:hAnsi="Times New Roman"/>
          <w:b/>
          <w:color w:val="546E7A"/>
          <w:sz w:val="20"/>
        </w:rPr>
        <w:t>Table 4.2: Expected Calibration Error (ECE) and Probabilistic Evaluation</w:t>
      </w:r>
    </w:p>
    <w:p w:rsidR="000F1385" w:rsidRDefault="00EF3E79">
      <w:pPr>
        <w:spacing w:before="200" w:after="40"/>
        <w:jc w:val="center"/>
      </w:pPr>
      <w:r>
        <w:rPr>
          <w:noProof/>
          <w:lang w:val="en-IN" w:eastAsia="en-IN"/>
        </w:rPr>
        <w:drawing>
          <wp:inline distT="0" distB="0" distL="0" distR="0">
            <wp:extent cx="5303520" cy="34094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ce_vs_dropout.png"/>
                    <pic:cNvPicPr/>
                  </pic:nvPicPr>
                  <pic:blipFill>
                    <a:blip r:embed="rId17"/>
                    <a:stretch>
                      <a:fillRect/>
                    </a:stretch>
                  </pic:blipFill>
                  <pic:spPr>
                    <a:xfrm>
                      <a:off x="0" y="0"/>
                      <a:ext cx="5303520" cy="3409406"/>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 xml:space="preserve">Figure 4.3: Expected Calibration Error (ECE) Across </w:t>
      </w:r>
      <w:r>
        <w:rPr>
          <w:rFonts w:ascii="Times New Roman" w:hAnsi="Times New Roman"/>
          <w:b/>
          <w:color w:val="546E7A"/>
          <w:sz w:val="20"/>
        </w:rPr>
        <w:t>Dropout Rates</w:t>
      </w:r>
    </w:p>
    <w:p w:rsidR="000F1385" w:rsidRDefault="00EF3E79">
      <w:pPr>
        <w:spacing w:before="280" w:after="120"/>
      </w:pPr>
      <w:r>
        <w:rPr>
          <w:rFonts w:ascii="Times New Roman" w:hAnsi="Times New Roman"/>
          <w:b/>
          <w:color w:val="1B4F72"/>
          <w:sz w:val="27"/>
        </w:rPr>
        <w:t>4.3 Load Testing, Concurrency &amp; System Throughput</w:t>
      </w:r>
    </w:p>
    <w:p w:rsidR="000F1385" w:rsidRDefault="00EF3E79">
      <w:pPr>
        <w:spacing w:after="120" w:line="360" w:lineRule="auto"/>
        <w:jc w:val="both"/>
      </w:pPr>
      <w:r>
        <w:rPr>
          <w:rFonts w:ascii="Times New Roman" w:hAnsi="Times New Roman"/>
          <w:color w:val="212121"/>
          <w:sz w:val="24"/>
        </w:rPr>
        <w:t>To verify system stability and throughput under concurrent rural clinic traffic, an extensive load test was conducted using a dedicated testing configuration (`docker-compose.test.yml`). In te</w:t>
      </w:r>
      <w:r>
        <w:rPr>
          <w:rFonts w:ascii="Times New Roman" w:hAnsi="Times New Roman"/>
          <w:color w:val="212121"/>
          <w:sz w:val="24"/>
        </w:rPr>
        <w:t>st mode, rate limits are relaxed (`ALLOW_LOAD_TEST=true`) and generative LLM calls are disabled (`LLM_ENABLED=false`) to isolate backend routing, database transaction overhead, and cryptographic execution without external API quota throttling. Crucially, t</w:t>
      </w:r>
      <w:r>
        <w:rPr>
          <w:rFonts w:ascii="Times New Roman" w:hAnsi="Times New Roman"/>
          <w:color w:val="212121"/>
          <w:sz w:val="24"/>
        </w:rPr>
        <w:t>he production stack rejects relaxed limits by design.</w:t>
      </w:r>
    </w:p>
    <w:p w:rsidR="000F1385" w:rsidRDefault="00EF3E79">
      <w:pPr>
        <w:spacing w:after="120" w:line="360" w:lineRule="auto"/>
        <w:jc w:val="both"/>
      </w:pPr>
      <w:r>
        <w:rPr>
          <w:rFonts w:ascii="Times New Roman" w:hAnsi="Times New Roman"/>
          <w:color w:val="212121"/>
          <w:sz w:val="24"/>
        </w:rPr>
        <w:t xml:space="preserve">The standardized test executed exactly 200 requests per endpoint across Concurrency levels 1, 10, and 50, totaling 2,400 HTTP requests across four endpoints: user authentication (`/api/v1/auth/login`), </w:t>
      </w:r>
      <w:r>
        <w:rPr>
          <w:rFonts w:ascii="Times New Roman" w:hAnsi="Times New Roman"/>
          <w:color w:val="212121"/>
          <w:sz w:val="24"/>
        </w:rPr>
        <w:t xml:space="preserve">consultation submission (`/api/v1/consultation/triage`), clinician </w:t>
      </w:r>
      <w:r>
        <w:rPr>
          <w:rFonts w:ascii="Times New Roman" w:hAnsi="Times New Roman"/>
          <w:color w:val="212121"/>
          <w:sz w:val="24"/>
        </w:rPr>
        <w:lastRenderedPageBreak/>
        <w:t>response (`/api/v1/consultation/respond`), and worker consultation history (`/api/v1/consultation/my`).</w:t>
      </w:r>
    </w:p>
    <w:p w:rsidR="000F1385" w:rsidRDefault="00EF3E79">
      <w:pPr>
        <w:spacing w:after="120" w:line="360" w:lineRule="auto"/>
        <w:jc w:val="both"/>
      </w:pPr>
      <w:r>
        <w:rPr>
          <w:rFonts w:ascii="Times New Roman" w:hAnsi="Times New Roman"/>
          <w:color w:val="212121"/>
          <w:sz w:val="24"/>
        </w:rPr>
        <w:t>Across all 2,400 requests, the status code distribution was 100% clean: exactly 2,400</w:t>
      </w:r>
      <w:r>
        <w:rPr>
          <w:rFonts w:ascii="Times New Roman" w:hAnsi="Times New Roman"/>
          <w:color w:val="212121"/>
          <w:sz w:val="24"/>
        </w:rPr>
        <w:t xml:space="preserve"> HTTP 200 responses, zero HTTP 400 Bad Requests, zero HTTP 429 Rate Limits, and zero HTTP 500 Internal Server Errors. Table 4.3 reports the throughput and percentile latency distributions recorded in `docs/evidence/load_test_testmode_results.txt`.</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50"/>
        <w:gridCol w:w="1250"/>
        <w:gridCol w:w="1081"/>
        <w:gridCol w:w="1081"/>
        <w:gridCol w:w="1081"/>
        <w:gridCol w:w="1202"/>
        <w:gridCol w:w="1075"/>
      </w:tblGrid>
      <w:tr w:rsidR="000F1385">
        <w:trPr>
          <w:jc w:val="center"/>
        </w:trPr>
        <w:tc>
          <w:tcPr>
            <w:tcW w:w="2592"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Test Con</w:t>
            </w:r>
            <w:r>
              <w:rPr>
                <w:rFonts w:ascii="Times New Roman" w:hAnsi="Times New Roman"/>
                <w:b/>
                <w:color w:val="FFFFFF"/>
                <w:sz w:val="17"/>
              </w:rPr>
              <w:t>currency Level</w:t>
            </w:r>
          </w:p>
        </w:tc>
        <w:tc>
          <w:tcPr>
            <w:tcW w:w="1296"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Throughput</w:t>
            </w:r>
          </w:p>
        </w:tc>
        <w:tc>
          <w:tcPr>
            <w:tcW w:w="1152"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p50 Latency</w:t>
            </w:r>
          </w:p>
        </w:tc>
        <w:tc>
          <w:tcPr>
            <w:tcW w:w="1152"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p90 Latency</w:t>
            </w:r>
          </w:p>
        </w:tc>
        <w:tc>
          <w:tcPr>
            <w:tcW w:w="1152"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p95 Latency</w:t>
            </w:r>
          </w:p>
        </w:tc>
        <w:tc>
          <w:tcPr>
            <w:tcW w:w="1296"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p99 Latency</w:t>
            </w:r>
          </w:p>
        </w:tc>
        <w:tc>
          <w:tcPr>
            <w:tcW w:w="1152" w:type="dxa"/>
            <w:shd w:val="clear" w:color="auto" w:fill="154360"/>
            <w:tcMar>
              <w:top w:w="100" w:type="dxa"/>
              <w:left w:w="60" w:type="dxa"/>
              <w:bottom w:w="100" w:type="dxa"/>
              <w:right w:w="60" w:type="dxa"/>
            </w:tcMar>
          </w:tcPr>
          <w:p w:rsidR="000F1385" w:rsidRDefault="00EF3E79">
            <w:pPr>
              <w:jc w:val="center"/>
            </w:pPr>
            <w:r>
              <w:rPr>
                <w:rFonts w:ascii="Times New Roman" w:hAnsi="Times New Roman"/>
                <w:b/>
                <w:color w:val="FFFFFF"/>
                <w:sz w:val="17"/>
              </w:rPr>
              <w:t>Success Ratio</w:t>
            </w:r>
          </w:p>
        </w:tc>
      </w:tr>
      <w:tr w:rsidR="000F1385">
        <w:trPr>
          <w:jc w:val="center"/>
        </w:trPr>
        <w:tc>
          <w:tcPr>
            <w:tcW w:w="2592" w:type="dxa"/>
            <w:tcMar>
              <w:top w:w="70" w:type="dxa"/>
              <w:left w:w="60" w:type="dxa"/>
              <w:bottom w:w="70" w:type="dxa"/>
              <w:right w:w="60" w:type="dxa"/>
            </w:tcMar>
          </w:tcPr>
          <w:p w:rsidR="000F1385" w:rsidRDefault="00EF3E79">
            <w:r>
              <w:rPr>
                <w:rFonts w:ascii="Times New Roman" w:hAnsi="Times New Roman"/>
                <w:b/>
                <w:sz w:val="16"/>
              </w:rPr>
              <w:t>Concurrency 1 (Sequential)</w:t>
            </w:r>
          </w:p>
        </w:tc>
        <w:tc>
          <w:tcPr>
            <w:tcW w:w="1296" w:type="dxa"/>
            <w:tcMar>
              <w:top w:w="70" w:type="dxa"/>
              <w:left w:w="60" w:type="dxa"/>
              <w:bottom w:w="70" w:type="dxa"/>
              <w:right w:w="60" w:type="dxa"/>
            </w:tcMar>
          </w:tcPr>
          <w:p w:rsidR="000F1385" w:rsidRDefault="00EF3E79">
            <w:r>
              <w:rPr>
                <w:rFonts w:ascii="Times New Roman" w:hAnsi="Times New Roman"/>
                <w:sz w:val="16"/>
              </w:rPr>
              <w:t>10.2 req/s</w:t>
            </w:r>
          </w:p>
        </w:tc>
        <w:tc>
          <w:tcPr>
            <w:tcW w:w="1152" w:type="dxa"/>
            <w:tcMar>
              <w:top w:w="70" w:type="dxa"/>
              <w:left w:w="60" w:type="dxa"/>
              <w:bottom w:w="70" w:type="dxa"/>
              <w:right w:w="60" w:type="dxa"/>
            </w:tcMar>
          </w:tcPr>
          <w:p w:rsidR="000F1385" w:rsidRDefault="00EF3E79">
            <w:r>
              <w:rPr>
                <w:rFonts w:ascii="Times New Roman" w:hAnsi="Times New Roman"/>
                <w:sz w:val="16"/>
              </w:rPr>
              <w:t>235.3 ms</w:t>
            </w:r>
          </w:p>
        </w:tc>
        <w:tc>
          <w:tcPr>
            <w:tcW w:w="1152" w:type="dxa"/>
            <w:tcMar>
              <w:top w:w="70" w:type="dxa"/>
              <w:left w:w="60" w:type="dxa"/>
              <w:bottom w:w="70" w:type="dxa"/>
              <w:right w:w="60" w:type="dxa"/>
            </w:tcMar>
          </w:tcPr>
          <w:p w:rsidR="000F1385" w:rsidRDefault="00EF3E79">
            <w:r>
              <w:rPr>
                <w:rFonts w:ascii="Times New Roman" w:hAnsi="Times New Roman"/>
                <w:sz w:val="16"/>
              </w:rPr>
              <w:t>283.0 ms</w:t>
            </w:r>
          </w:p>
        </w:tc>
        <w:tc>
          <w:tcPr>
            <w:tcW w:w="1152" w:type="dxa"/>
            <w:tcMar>
              <w:top w:w="70" w:type="dxa"/>
              <w:left w:w="60" w:type="dxa"/>
              <w:bottom w:w="70" w:type="dxa"/>
              <w:right w:w="60" w:type="dxa"/>
            </w:tcMar>
          </w:tcPr>
          <w:p w:rsidR="000F1385" w:rsidRDefault="00EF3E79">
            <w:r>
              <w:rPr>
                <w:rFonts w:ascii="Times New Roman" w:hAnsi="Times New Roman"/>
                <w:sz w:val="16"/>
              </w:rPr>
              <w:t>317.0 ms</w:t>
            </w:r>
          </w:p>
        </w:tc>
        <w:tc>
          <w:tcPr>
            <w:tcW w:w="1296" w:type="dxa"/>
            <w:tcMar>
              <w:top w:w="70" w:type="dxa"/>
              <w:left w:w="60" w:type="dxa"/>
              <w:bottom w:w="70" w:type="dxa"/>
              <w:right w:w="60" w:type="dxa"/>
            </w:tcMar>
          </w:tcPr>
          <w:p w:rsidR="000F1385" w:rsidRDefault="00EF3E79">
            <w:r>
              <w:rPr>
                <w:rFonts w:ascii="Times New Roman" w:hAnsi="Times New Roman"/>
                <w:sz w:val="16"/>
              </w:rPr>
              <w:t>660.6 ms</w:t>
            </w:r>
          </w:p>
        </w:tc>
        <w:tc>
          <w:tcPr>
            <w:tcW w:w="1152" w:type="dxa"/>
            <w:tcMar>
              <w:top w:w="70" w:type="dxa"/>
              <w:left w:w="60" w:type="dxa"/>
              <w:bottom w:w="70" w:type="dxa"/>
              <w:right w:w="60" w:type="dxa"/>
            </w:tcMar>
          </w:tcPr>
          <w:p w:rsidR="000F1385" w:rsidRDefault="00EF3E79">
            <w:r>
              <w:rPr>
                <w:rFonts w:ascii="Times New Roman" w:hAnsi="Times New Roman"/>
                <w:b/>
                <w:color w:val="2E7D32"/>
                <w:sz w:val="16"/>
              </w:rPr>
              <w:t>800/800</w:t>
            </w:r>
          </w:p>
        </w:tc>
      </w:tr>
      <w:tr w:rsidR="000F1385">
        <w:trPr>
          <w:jc w:val="center"/>
        </w:trPr>
        <w:tc>
          <w:tcPr>
            <w:tcW w:w="2592" w:type="dxa"/>
            <w:shd w:val="clear" w:color="auto" w:fill="F4F6F7"/>
            <w:tcMar>
              <w:top w:w="70" w:type="dxa"/>
              <w:left w:w="60" w:type="dxa"/>
              <w:bottom w:w="70" w:type="dxa"/>
              <w:right w:w="60" w:type="dxa"/>
            </w:tcMar>
          </w:tcPr>
          <w:p w:rsidR="000F1385" w:rsidRDefault="00EF3E79">
            <w:r>
              <w:rPr>
                <w:rFonts w:ascii="Times New Roman" w:hAnsi="Times New Roman"/>
                <w:b/>
                <w:sz w:val="16"/>
              </w:rPr>
              <w:t>Concurrency 10 (Moderate Load)</w:t>
            </w:r>
          </w:p>
        </w:tc>
        <w:tc>
          <w:tcPr>
            <w:tcW w:w="1296" w:type="dxa"/>
            <w:shd w:val="clear" w:color="auto" w:fill="F4F6F7"/>
            <w:tcMar>
              <w:top w:w="70" w:type="dxa"/>
              <w:left w:w="60" w:type="dxa"/>
              <w:bottom w:w="70" w:type="dxa"/>
              <w:right w:w="60" w:type="dxa"/>
            </w:tcMar>
          </w:tcPr>
          <w:p w:rsidR="000F1385" w:rsidRDefault="00EF3E79">
            <w:r>
              <w:rPr>
                <w:rFonts w:ascii="Times New Roman" w:hAnsi="Times New Roman"/>
                <w:sz w:val="16"/>
              </w:rPr>
              <w:t>13.9 req/s</w:t>
            </w:r>
          </w:p>
        </w:tc>
        <w:tc>
          <w:tcPr>
            <w:tcW w:w="1152" w:type="dxa"/>
            <w:shd w:val="clear" w:color="auto" w:fill="F4F6F7"/>
            <w:tcMar>
              <w:top w:w="70" w:type="dxa"/>
              <w:left w:w="60" w:type="dxa"/>
              <w:bottom w:w="70" w:type="dxa"/>
              <w:right w:w="60" w:type="dxa"/>
            </w:tcMar>
          </w:tcPr>
          <w:p w:rsidR="000F1385" w:rsidRDefault="00EF3E79">
            <w:r>
              <w:rPr>
                <w:rFonts w:ascii="Times New Roman" w:hAnsi="Times New Roman"/>
                <w:sz w:val="16"/>
              </w:rPr>
              <w:t>598.6 ms</w:t>
            </w:r>
          </w:p>
        </w:tc>
        <w:tc>
          <w:tcPr>
            <w:tcW w:w="1152" w:type="dxa"/>
            <w:shd w:val="clear" w:color="auto" w:fill="F4F6F7"/>
            <w:tcMar>
              <w:top w:w="70" w:type="dxa"/>
              <w:left w:w="60" w:type="dxa"/>
              <w:bottom w:w="70" w:type="dxa"/>
              <w:right w:w="60" w:type="dxa"/>
            </w:tcMar>
          </w:tcPr>
          <w:p w:rsidR="000F1385" w:rsidRDefault="00EF3E79">
            <w:r>
              <w:rPr>
                <w:rFonts w:ascii="Times New Roman" w:hAnsi="Times New Roman"/>
                <w:sz w:val="16"/>
              </w:rPr>
              <w:t>835.6 ms</w:t>
            </w:r>
          </w:p>
        </w:tc>
        <w:tc>
          <w:tcPr>
            <w:tcW w:w="1152" w:type="dxa"/>
            <w:shd w:val="clear" w:color="auto" w:fill="F4F6F7"/>
            <w:tcMar>
              <w:top w:w="70" w:type="dxa"/>
              <w:left w:w="60" w:type="dxa"/>
              <w:bottom w:w="70" w:type="dxa"/>
              <w:right w:w="60" w:type="dxa"/>
            </w:tcMar>
          </w:tcPr>
          <w:p w:rsidR="000F1385" w:rsidRDefault="00EF3E79">
            <w:r>
              <w:rPr>
                <w:rFonts w:ascii="Times New Roman" w:hAnsi="Times New Roman"/>
                <w:sz w:val="16"/>
              </w:rPr>
              <w:t>914.8 ms</w:t>
            </w:r>
          </w:p>
        </w:tc>
        <w:tc>
          <w:tcPr>
            <w:tcW w:w="1296" w:type="dxa"/>
            <w:shd w:val="clear" w:color="auto" w:fill="F4F6F7"/>
            <w:tcMar>
              <w:top w:w="70" w:type="dxa"/>
              <w:left w:w="60" w:type="dxa"/>
              <w:bottom w:w="70" w:type="dxa"/>
              <w:right w:w="60" w:type="dxa"/>
            </w:tcMar>
          </w:tcPr>
          <w:p w:rsidR="000F1385" w:rsidRDefault="00EF3E79">
            <w:r>
              <w:rPr>
                <w:rFonts w:ascii="Times New Roman" w:hAnsi="Times New Roman"/>
                <w:sz w:val="16"/>
              </w:rPr>
              <w:t>1028.9 ms</w:t>
            </w:r>
          </w:p>
        </w:tc>
        <w:tc>
          <w:tcPr>
            <w:tcW w:w="1152" w:type="dxa"/>
            <w:shd w:val="clear" w:color="auto" w:fill="F4F6F7"/>
            <w:tcMar>
              <w:top w:w="70" w:type="dxa"/>
              <w:left w:w="60" w:type="dxa"/>
              <w:bottom w:w="70" w:type="dxa"/>
              <w:right w:w="60" w:type="dxa"/>
            </w:tcMar>
          </w:tcPr>
          <w:p w:rsidR="000F1385" w:rsidRDefault="00EF3E79">
            <w:r>
              <w:rPr>
                <w:rFonts w:ascii="Times New Roman" w:hAnsi="Times New Roman"/>
                <w:b/>
                <w:color w:val="2E7D32"/>
                <w:sz w:val="16"/>
              </w:rPr>
              <w:t>800/800</w:t>
            </w:r>
          </w:p>
        </w:tc>
      </w:tr>
      <w:tr w:rsidR="000F1385">
        <w:trPr>
          <w:jc w:val="center"/>
        </w:trPr>
        <w:tc>
          <w:tcPr>
            <w:tcW w:w="2592" w:type="dxa"/>
            <w:tcMar>
              <w:top w:w="70" w:type="dxa"/>
              <w:left w:w="60" w:type="dxa"/>
              <w:bottom w:w="70" w:type="dxa"/>
              <w:right w:w="60" w:type="dxa"/>
            </w:tcMar>
          </w:tcPr>
          <w:p w:rsidR="000F1385" w:rsidRDefault="00EF3E79">
            <w:r>
              <w:rPr>
                <w:rFonts w:ascii="Times New Roman" w:hAnsi="Times New Roman"/>
                <w:b/>
                <w:sz w:val="16"/>
              </w:rPr>
              <w:t>Concurrency 50 (Stress Load)</w:t>
            </w:r>
          </w:p>
        </w:tc>
        <w:tc>
          <w:tcPr>
            <w:tcW w:w="1296" w:type="dxa"/>
            <w:tcMar>
              <w:top w:w="70" w:type="dxa"/>
              <w:left w:w="60" w:type="dxa"/>
              <w:bottom w:w="70" w:type="dxa"/>
              <w:right w:w="60" w:type="dxa"/>
            </w:tcMar>
          </w:tcPr>
          <w:p w:rsidR="000F1385" w:rsidRDefault="00EF3E79">
            <w:r>
              <w:rPr>
                <w:rFonts w:ascii="Times New Roman" w:hAnsi="Times New Roman"/>
                <w:sz w:val="16"/>
              </w:rPr>
              <w:t>14.7 req/s</w:t>
            </w:r>
          </w:p>
        </w:tc>
        <w:tc>
          <w:tcPr>
            <w:tcW w:w="1152" w:type="dxa"/>
            <w:tcMar>
              <w:top w:w="70" w:type="dxa"/>
              <w:left w:w="60" w:type="dxa"/>
              <w:bottom w:w="70" w:type="dxa"/>
              <w:right w:w="60" w:type="dxa"/>
            </w:tcMar>
          </w:tcPr>
          <w:p w:rsidR="000F1385" w:rsidRDefault="00EF3E79">
            <w:r>
              <w:rPr>
                <w:rFonts w:ascii="Times New Roman" w:hAnsi="Times New Roman"/>
                <w:sz w:val="16"/>
              </w:rPr>
              <w:t>2790.6 ms</w:t>
            </w:r>
          </w:p>
        </w:tc>
        <w:tc>
          <w:tcPr>
            <w:tcW w:w="1152" w:type="dxa"/>
            <w:tcMar>
              <w:top w:w="70" w:type="dxa"/>
              <w:left w:w="60" w:type="dxa"/>
              <w:bottom w:w="70" w:type="dxa"/>
              <w:right w:w="60" w:type="dxa"/>
            </w:tcMar>
          </w:tcPr>
          <w:p w:rsidR="000F1385" w:rsidRDefault="00EF3E79">
            <w:r>
              <w:rPr>
                <w:rFonts w:ascii="Times New Roman" w:hAnsi="Times New Roman"/>
                <w:sz w:val="16"/>
              </w:rPr>
              <w:t>3801.4 ms</w:t>
            </w:r>
          </w:p>
        </w:tc>
        <w:tc>
          <w:tcPr>
            <w:tcW w:w="1152" w:type="dxa"/>
            <w:tcMar>
              <w:top w:w="70" w:type="dxa"/>
              <w:left w:w="60" w:type="dxa"/>
              <w:bottom w:w="70" w:type="dxa"/>
              <w:right w:w="60" w:type="dxa"/>
            </w:tcMar>
          </w:tcPr>
          <w:p w:rsidR="000F1385" w:rsidRDefault="00EF3E79">
            <w:r>
              <w:rPr>
                <w:rFonts w:ascii="Times New Roman" w:hAnsi="Times New Roman"/>
                <w:sz w:val="16"/>
              </w:rPr>
              <w:t>4092.1 ms</w:t>
            </w:r>
          </w:p>
        </w:tc>
        <w:tc>
          <w:tcPr>
            <w:tcW w:w="1296" w:type="dxa"/>
            <w:tcMar>
              <w:top w:w="70" w:type="dxa"/>
              <w:left w:w="60" w:type="dxa"/>
              <w:bottom w:w="70" w:type="dxa"/>
              <w:right w:w="60" w:type="dxa"/>
            </w:tcMar>
          </w:tcPr>
          <w:p w:rsidR="000F1385" w:rsidRDefault="00EF3E79">
            <w:r>
              <w:rPr>
                <w:rFonts w:ascii="Times New Roman" w:hAnsi="Times New Roman"/>
                <w:sz w:val="16"/>
              </w:rPr>
              <w:t>4612.4 ms</w:t>
            </w:r>
          </w:p>
        </w:tc>
        <w:tc>
          <w:tcPr>
            <w:tcW w:w="1152" w:type="dxa"/>
            <w:tcMar>
              <w:top w:w="70" w:type="dxa"/>
              <w:left w:w="60" w:type="dxa"/>
              <w:bottom w:w="70" w:type="dxa"/>
              <w:right w:w="60" w:type="dxa"/>
            </w:tcMar>
          </w:tcPr>
          <w:p w:rsidR="000F1385" w:rsidRDefault="00EF3E79">
            <w:r>
              <w:rPr>
                <w:rFonts w:ascii="Times New Roman" w:hAnsi="Times New Roman"/>
                <w:b/>
                <w:color w:val="2E7D32"/>
                <w:sz w:val="16"/>
              </w:rPr>
              <w:t>800/800</w:t>
            </w:r>
          </w:p>
        </w:tc>
      </w:tr>
    </w:tbl>
    <w:p w:rsidR="000F1385" w:rsidRDefault="00EF3E79">
      <w:pPr>
        <w:spacing w:before="80" w:after="160"/>
        <w:jc w:val="center"/>
      </w:pPr>
      <w:r>
        <w:rPr>
          <w:rFonts w:ascii="Times New Roman" w:hAnsi="Times New Roman"/>
          <w:b/>
          <w:color w:val="546E7A"/>
          <w:sz w:val="20"/>
        </w:rPr>
        <w:t>Table 4.3: Comprehensive Multi-Tier Load Test Performance (2,400 Requests)</w:t>
      </w:r>
    </w:p>
    <w:p w:rsidR="000F1385" w:rsidRDefault="00EF3E79">
      <w:pPr>
        <w:spacing w:before="200" w:after="40"/>
        <w:jc w:val="center"/>
      </w:pPr>
      <w:r>
        <w:rPr>
          <w:noProof/>
          <w:lang w:val="en-IN" w:eastAsia="en-IN"/>
        </w:rPr>
        <w:drawing>
          <wp:inline distT="0" distB="0" distL="0" distR="0">
            <wp:extent cx="5303520" cy="3182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ad_test_latency_throughput.png"/>
                    <pic:cNvPicPr/>
                  </pic:nvPicPr>
                  <pic:blipFill>
                    <a:blip r:embed="rId18"/>
                    <a:stretch>
                      <a:fillRect/>
                    </a:stretch>
                  </pic:blipFill>
                  <pic:spPr>
                    <a:xfrm>
                      <a:off x="0" y="0"/>
                      <a:ext cx="5303520" cy="3182112"/>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4.4: Load Test Throughput &amp; Latency Distributions (C=1, 10, 50)</w:t>
      </w:r>
    </w:p>
    <w:p w:rsidR="000F1385" w:rsidRDefault="00EF3E79">
      <w:pPr>
        <w:spacing w:after="120" w:line="360" w:lineRule="auto"/>
        <w:jc w:val="both"/>
      </w:pPr>
      <w:r>
        <w:rPr>
          <w:rFonts w:ascii="Times New Roman" w:hAnsi="Times New Roman"/>
          <w:color w:val="212121"/>
          <w:sz w:val="24"/>
        </w:rPr>
        <w:t xml:space="preserve">During </w:t>
      </w:r>
      <w:r>
        <w:rPr>
          <w:rFonts w:ascii="Times New Roman" w:hAnsi="Times New Roman"/>
          <w:color w:val="212121"/>
          <w:sz w:val="24"/>
        </w:rPr>
        <w:t xml:space="preserve">early testing, the worker consultation history endpoint (`GET /consultation/my`) dominated latency, taking up to 783 ms under sequential load. Profiling revealed that MongoDB was performing an unindexed collection scan and serializing heavy internal audit </w:t>
      </w:r>
      <w:r>
        <w:rPr>
          <w:rFonts w:ascii="Times New Roman" w:hAnsi="Times New Roman"/>
          <w:color w:val="212121"/>
          <w:sz w:val="24"/>
        </w:rPr>
        <w:lastRenderedPageBreak/>
        <w:t>objects. To resolve this, server-side pagination (`page` and `limit`) and a lean projection were introduced. Table 4.4 and Figure 4.5 contrast performance before and after pagination.</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637"/>
        <w:gridCol w:w="1218"/>
        <w:gridCol w:w="1217"/>
        <w:gridCol w:w="1217"/>
        <w:gridCol w:w="1217"/>
        <w:gridCol w:w="1614"/>
      </w:tblGrid>
      <w:tr w:rsidR="000F1385">
        <w:trPr>
          <w:jc w:val="center"/>
        </w:trPr>
        <w:tc>
          <w:tcPr>
            <w:tcW w:w="2880" w:type="dxa"/>
            <w:shd w:val="clear" w:color="auto" w:fill="1B4F72"/>
            <w:tcMar>
              <w:top w:w="100" w:type="dxa"/>
              <w:left w:w="60" w:type="dxa"/>
              <w:bottom w:w="100" w:type="dxa"/>
              <w:right w:w="60" w:type="dxa"/>
            </w:tcMar>
          </w:tcPr>
          <w:p w:rsidR="000F1385" w:rsidRDefault="00EF3E79">
            <w:pPr>
              <w:jc w:val="center"/>
            </w:pPr>
            <w:r>
              <w:rPr>
                <w:rFonts w:ascii="Times New Roman" w:hAnsi="Times New Roman"/>
                <w:b/>
                <w:color w:val="FFFFFF"/>
                <w:sz w:val="17"/>
              </w:rPr>
              <w:t>Profiling State</w:t>
            </w:r>
          </w:p>
        </w:tc>
        <w:tc>
          <w:tcPr>
            <w:tcW w:w="1296" w:type="dxa"/>
            <w:shd w:val="clear" w:color="auto" w:fill="1B4F72"/>
            <w:tcMar>
              <w:top w:w="100" w:type="dxa"/>
              <w:left w:w="60" w:type="dxa"/>
              <w:bottom w:w="100" w:type="dxa"/>
              <w:right w:w="60" w:type="dxa"/>
            </w:tcMar>
          </w:tcPr>
          <w:p w:rsidR="000F1385" w:rsidRDefault="00EF3E79">
            <w:pPr>
              <w:jc w:val="center"/>
            </w:pPr>
            <w:r>
              <w:rPr>
                <w:rFonts w:ascii="Times New Roman" w:hAnsi="Times New Roman"/>
                <w:b/>
                <w:color w:val="FFFFFF"/>
                <w:sz w:val="17"/>
              </w:rPr>
              <w:t>p50 Latency</w:t>
            </w:r>
          </w:p>
        </w:tc>
        <w:tc>
          <w:tcPr>
            <w:tcW w:w="1296" w:type="dxa"/>
            <w:shd w:val="clear" w:color="auto" w:fill="1B4F72"/>
            <w:tcMar>
              <w:top w:w="100" w:type="dxa"/>
              <w:left w:w="60" w:type="dxa"/>
              <w:bottom w:w="100" w:type="dxa"/>
              <w:right w:w="60" w:type="dxa"/>
            </w:tcMar>
          </w:tcPr>
          <w:p w:rsidR="000F1385" w:rsidRDefault="00EF3E79">
            <w:pPr>
              <w:jc w:val="center"/>
            </w:pPr>
            <w:r>
              <w:rPr>
                <w:rFonts w:ascii="Times New Roman" w:hAnsi="Times New Roman"/>
                <w:b/>
                <w:color w:val="FFFFFF"/>
                <w:sz w:val="17"/>
              </w:rPr>
              <w:t>p90 Latency</w:t>
            </w:r>
          </w:p>
        </w:tc>
        <w:tc>
          <w:tcPr>
            <w:tcW w:w="1296" w:type="dxa"/>
            <w:shd w:val="clear" w:color="auto" w:fill="1B4F72"/>
            <w:tcMar>
              <w:top w:w="100" w:type="dxa"/>
              <w:left w:w="60" w:type="dxa"/>
              <w:bottom w:w="100" w:type="dxa"/>
              <w:right w:w="60" w:type="dxa"/>
            </w:tcMar>
          </w:tcPr>
          <w:p w:rsidR="000F1385" w:rsidRDefault="00EF3E79">
            <w:pPr>
              <w:jc w:val="center"/>
            </w:pPr>
            <w:r>
              <w:rPr>
                <w:rFonts w:ascii="Times New Roman" w:hAnsi="Times New Roman"/>
                <w:b/>
                <w:color w:val="FFFFFF"/>
                <w:sz w:val="17"/>
              </w:rPr>
              <w:t>p95 Latency</w:t>
            </w:r>
          </w:p>
        </w:tc>
        <w:tc>
          <w:tcPr>
            <w:tcW w:w="1296" w:type="dxa"/>
            <w:shd w:val="clear" w:color="auto" w:fill="1B4F72"/>
            <w:tcMar>
              <w:top w:w="100" w:type="dxa"/>
              <w:left w:w="60" w:type="dxa"/>
              <w:bottom w:w="100" w:type="dxa"/>
              <w:right w:w="60" w:type="dxa"/>
            </w:tcMar>
          </w:tcPr>
          <w:p w:rsidR="000F1385" w:rsidRDefault="00EF3E79">
            <w:pPr>
              <w:jc w:val="center"/>
            </w:pPr>
            <w:r>
              <w:rPr>
                <w:rFonts w:ascii="Times New Roman" w:hAnsi="Times New Roman"/>
                <w:b/>
                <w:color w:val="FFFFFF"/>
                <w:sz w:val="17"/>
              </w:rPr>
              <w:t>p99 Latency</w:t>
            </w:r>
          </w:p>
        </w:tc>
        <w:tc>
          <w:tcPr>
            <w:tcW w:w="1728" w:type="dxa"/>
            <w:shd w:val="clear" w:color="auto" w:fill="1B4F72"/>
            <w:tcMar>
              <w:top w:w="100" w:type="dxa"/>
              <w:left w:w="60" w:type="dxa"/>
              <w:bottom w:w="100" w:type="dxa"/>
              <w:right w:w="60" w:type="dxa"/>
            </w:tcMar>
          </w:tcPr>
          <w:p w:rsidR="000F1385" w:rsidRDefault="00EF3E79">
            <w:pPr>
              <w:jc w:val="center"/>
            </w:pPr>
            <w:r>
              <w:rPr>
                <w:rFonts w:ascii="Times New Roman" w:hAnsi="Times New Roman"/>
                <w:b/>
                <w:color w:val="FFFFFF"/>
                <w:sz w:val="17"/>
              </w:rPr>
              <w:t xml:space="preserve">Payload </w:t>
            </w:r>
            <w:r>
              <w:rPr>
                <w:rFonts w:ascii="Times New Roman" w:hAnsi="Times New Roman"/>
                <w:b/>
                <w:color w:val="FFFFFF"/>
                <w:sz w:val="17"/>
              </w:rPr>
              <w:t>Profile</w:t>
            </w:r>
          </w:p>
        </w:tc>
      </w:tr>
      <w:tr w:rsidR="000F1385">
        <w:trPr>
          <w:jc w:val="center"/>
        </w:trPr>
        <w:tc>
          <w:tcPr>
            <w:tcW w:w="2880" w:type="dxa"/>
            <w:tcMar>
              <w:top w:w="70" w:type="dxa"/>
              <w:left w:w="60" w:type="dxa"/>
              <w:bottom w:w="70" w:type="dxa"/>
              <w:right w:w="60" w:type="dxa"/>
            </w:tcMar>
          </w:tcPr>
          <w:p w:rsidR="000F1385" w:rsidRDefault="00EF3E79">
            <w:r>
              <w:rPr>
                <w:rFonts w:ascii="Times New Roman" w:hAnsi="Times New Roman"/>
                <w:b/>
                <w:sz w:val="16"/>
              </w:rPr>
              <w:t>Before Optimization (Full Scan)</w:t>
            </w:r>
          </w:p>
        </w:tc>
        <w:tc>
          <w:tcPr>
            <w:tcW w:w="1296" w:type="dxa"/>
            <w:tcMar>
              <w:top w:w="70" w:type="dxa"/>
              <w:left w:w="60" w:type="dxa"/>
              <w:bottom w:w="70" w:type="dxa"/>
              <w:right w:w="60" w:type="dxa"/>
            </w:tcMar>
          </w:tcPr>
          <w:p w:rsidR="000F1385" w:rsidRDefault="00EF3E79">
            <w:r>
              <w:rPr>
                <w:rFonts w:ascii="Times New Roman" w:hAnsi="Times New Roman"/>
                <w:sz w:val="16"/>
              </w:rPr>
              <w:t>193.0 ms</w:t>
            </w:r>
          </w:p>
        </w:tc>
        <w:tc>
          <w:tcPr>
            <w:tcW w:w="1296" w:type="dxa"/>
            <w:tcMar>
              <w:top w:w="70" w:type="dxa"/>
              <w:left w:w="60" w:type="dxa"/>
              <w:bottom w:w="70" w:type="dxa"/>
              <w:right w:w="60" w:type="dxa"/>
            </w:tcMar>
          </w:tcPr>
          <w:p w:rsidR="000F1385" w:rsidRDefault="00EF3E79">
            <w:r>
              <w:rPr>
                <w:rFonts w:ascii="Times New Roman" w:hAnsi="Times New Roman"/>
                <w:sz w:val="16"/>
              </w:rPr>
              <w:t>382.4 ms</w:t>
            </w:r>
          </w:p>
        </w:tc>
        <w:tc>
          <w:tcPr>
            <w:tcW w:w="1296" w:type="dxa"/>
            <w:tcMar>
              <w:top w:w="70" w:type="dxa"/>
              <w:left w:w="60" w:type="dxa"/>
              <w:bottom w:w="70" w:type="dxa"/>
              <w:right w:w="60" w:type="dxa"/>
            </w:tcMar>
          </w:tcPr>
          <w:p w:rsidR="000F1385" w:rsidRDefault="00EF3E79">
            <w:r>
              <w:rPr>
                <w:rFonts w:ascii="Times New Roman" w:hAnsi="Times New Roman"/>
                <w:sz w:val="16"/>
              </w:rPr>
              <w:t>495.1 ms</w:t>
            </w:r>
          </w:p>
        </w:tc>
        <w:tc>
          <w:tcPr>
            <w:tcW w:w="1296" w:type="dxa"/>
            <w:tcMar>
              <w:top w:w="70" w:type="dxa"/>
              <w:left w:w="60" w:type="dxa"/>
              <w:bottom w:w="70" w:type="dxa"/>
              <w:right w:w="60" w:type="dxa"/>
            </w:tcMar>
          </w:tcPr>
          <w:p w:rsidR="000F1385" w:rsidRDefault="00EF3E79">
            <w:r>
              <w:rPr>
                <w:rFonts w:ascii="Times New Roman" w:hAnsi="Times New Roman"/>
                <w:sz w:val="16"/>
              </w:rPr>
              <w:t>660.6 ms</w:t>
            </w:r>
          </w:p>
        </w:tc>
        <w:tc>
          <w:tcPr>
            <w:tcW w:w="1728" w:type="dxa"/>
            <w:tcMar>
              <w:top w:w="70" w:type="dxa"/>
              <w:left w:w="60" w:type="dxa"/>
              <w:bottom w:w="70" w:type="dxa"/>
              <w:right w:w="60" w:type="dxa"/>
            </w:tcMar>
          </w:tcPr>
          <w:p w:rsidR="000F1385" w:rsidRDefault="00EF3E79">
            <w:r>
              <w:rPr>
                <w:rFonts w:ascii="Times New Roman" w:hAnsi="Times New Roman"/>
                <w:sz w:val="16"/>
              </w:rPr>
              <w:t>Entire record collection</w:t>
            </w:r>
          </w:p>
        </w:tc>
      </w:tr>
      <w:tr w:rsidR="000F1385">
        <w:trPr>
          <w:jc w:val="center"/>
        </w:trPr>
        <w:tc>
          <w:tcPr>
            <w:tcW w:w="2880" w:type="dxa"/>
            <w:shd w:val="clear" w:color="auto" w:fill="F4F6F7"/>
            <w:tcMar>
              <w:top w:w="70" w:type="dxa"/>
              <w:left w:w="60" w:type="dxa"/>
              <w:bottom w:w="70" w:type="dxa"/>
              <w:right w:w="60" w:type="dxa"/>
            </w:tcMar>
          </w:tcPr>
          <w:p w:rsidR="000F1385" w:rsidRDefault="00EF3E79">
            <w:r>
              <w:rPr>
                <w:rFonts w:ascii="Times New Roman" w:hAnsi="Times New Roman"/>
                <w:b/>
                <w:sz w:val="16"/>
              </w:rPr>
              <w:t>After Optimization (Paginated)</w:t>
            </w:r>
          </w:p>
        </w:tc>
        <w:tc>
          <w:tcPr>
            <w:tcW w:w="1296" w:type="dxa"/>
            <w:shd w:val="clear" w:color="auto" w:fill="F4F6F7"/>
            <w:tcMar>
              <w:top w:w="70" w:type="dxa"/>
              <w:left w:w="60" w:type="dxa"/>
              <w:bottom w:w="70" w:type="dxa"/>
              <w:right w:w="60" w:type="dxa"/>
            </w:tcMar>
          </w:tcPr>
          <w:p w:rsidR="000F1385" w:rsidRDefault="00EF3E79">
            <w:r>
              <w:rPr>
                <w:rFonts w:ascii="Times New Roman" w:hAnsi="Times New Roman"/>
                <w:sz w:val="16"/>
              </w:rPr>
              <w:t>76.2 ms</w:t>
            </w:r>
          </w:p>
        </w:tc>
        <w:tc>
          <w:tcPr>
            <w:tcW w:w="1296" w:type="dxa"/>
            <w:shd w:val="clear" w:color="auto" w:fill="F4F6F7"/>
            <w:tcMar>
              <w:top w:w="70" w:type="dxa"/>
              <w:left w:w="60" w:type="dxa"/>
              <w:bottom w:w="70" w:type="dxa"/>
              <w:right w:w="60" w:type="dxa"/>
            </w:tcMar>
          </w:tcPr>
          <w:p w:rsidR="000F1385" w:rsidRDefault="00EF3E79">
            <w:r>
              <w:rPr>
                <w:rFonts w:ascii="Times New Roman" w:hAnsi="Times New Roman"/>
                <w:sz w:val="16"/>
              </w:rPr>
              <w:t>112.5 ms</w:t>
            </w:r>
          </w:p>
        </w:tc>
        <w:tc>
          <w:tcPr>
            <w:tcW w:w="1296" w:type="dxa"/>
            <w:shd w:val="clear" w:color="auto" w:fill="F4F6F7"/>
            <w:tcMar>
              <w:top w:w="70" w:type="dxa"/>
              <w:left w:w="60" w:type="dxa"/>
              <w:bottom w:w="70" w:type="dxa"/>
              <w:right w:w="60" w:type="dxa"/>
            </w:tcMar>
          </w:tcPr>
          <w:p w:rsidR="000F1385" w:rsidRDefault="00EF3E79">
            <w:r>
              <w:rPr>
                <w:rFonts w:ascii="Times New Roman" w:hAnsi="Times New Roman"/>
                <w:sz w:val="16"/>
              </w:rPr>
              <w:t>128.0 ms</w:t>
            </w:r>
          </w:p>
        </w:tc>
        <w:tc>
          <w:tcPr>
            <w:tcW w:w="1296" w:type="dxa"/>
            <w:shd w:val="clear" w:color="auto" w:fill="F4F6F7"/>
            <w:tcMar>
              <w:top w:w="70" w:type="dxa"/>
              <w:left w:w="60" w:type="dxa"/>
              <w:bottom w:w="70" w:type="dxa"/>
              <w:right w:w="60" w:type="dxa"/>
            </w:tcMar>
          </w:tcPr>
          <w:p w:rsidR="000F1385" w:rsidRDefault="00EF3E79">
            <w:r>
              <w:rPr>
                <w:rFonts w:ascii="Times New Roman" w:hAnsi="Times New Roman"/>
                <w:sz w:val="16"/>
              </w:rPr>
              <w:t>152.0 ms</w:t>
            </w:r>
          </w:p>
        </w:tc>
        <w:tc>
          <w:tcPr>
            <w:tcW w:w="1728" w:type="dxa"/>
            <w:shd w:val="clear" w:color="auto" w:fill="F4F6F7"/>
            <w:tcMar>
              <w:top w:w="70" w:type="dxa"/>
              <w:left w:w="60" w:type="dxa"/>
              <w:bottom w:w="70" w:type="dxa"/>
              <w:right w:w="60" w:type="dxa"/>
            </w:tcMar>
          </w:tcPr>
          <w:p w:rsidR="000F1385" w:rsidRDefault="00EF3E79">
            <w:r>
              <w:rPr>
                <w:rFonts w:ascii="Times New Roman" w:hAnsi="Times New Roman"/>
                <w:sz w:val="16"/>
              </w:rPr>
              <w:t>20 records + Lean projection</w:t>
            </w:r>
          </w:p>
        </w:tc>
      </w:tr>
      <w:tr w:rsidR="000F1385">
        <w:trPr>
          <w:jc w:val="center"/>
        </w:trPr>
        <w:tc>
          <w:tcPr>
            <w:tcW w:w="2880" w:type="dxa"/>
            <w:tcMar>
              <w:top w:w="70" w:type="dxa"/>
              <w:left w:w="60" w:type="dxa"/>
              <w:bottom w:w="70" w:type="dxa"/>
              <w:right w:w="60" w:type="dxa"/>
            </w:tcMar>
          </w:tcPr>
          <w:p w:rsidR="000F1385" w:rsidRDefault="00EF3E79">
            <w:r>
              <w:rPr>
                <w:rFonts w:ascii="Times New Roman" w:hAnsi="Times New Roman"/>
                <w:b/>
                <w:sz w:val="16"/>
              </w:rPr>
              <w:t>Net Improvement (Reduction)</w:t>
            </w:r>
          </w:p>
        </w:tc>
        <w:tc>
          <w:tcPr>
            <w:tcW w:w="1296" w:type="dxa"/>
            <w:tcMar>
              <w:top w:w="70" w:type="dxa"/>
              <w:left w:w="60" w:type="dxa"/>
              <w:bottom w:w="70" w:type="dxa"/>
              <w:right w:w="60" w:type="dxa"/>
            </w:tcMar>
          </w:tcPr>
          <w:p w:rsidR="000F1385" w:rsidRDefault="00EF3E79">
            <w:r>
              <w:rPr>
                <w:rFonts w:ascii="Times New Roman" w:hAnsi="Times New Roman"/>
                <w:sz w:val="16"/>
              </w:rPr>
              <w:t>60.5% Speedup</w:t>
            </w:r>
          </w:p>
        </w:tc>
        <w:tc>
          <w:tcPr>
            <w:tcW w:w="1296" w:type="dxa"/>
            <w:tcMar>
              <w:top w:w="70" w:type="dxa"/>
              <w:left w:w="60" w:type="dxa"/>
              <w:bottom w:w="70" w:type="dxa"/>
              <w:right w:w="60" w:type="dxa"/>
            </w:tcMar>
          </w:tcPr>
          <w:p w:rsidR="000F1385" w:rsidRDefault="00EF3E79">
            <w:r>
              <w:rPr>
                <w:rFonts w:ascii="Times New Roman" w:hAnsi="Times New Roman"/>
                <w:sz w:val="16"/>
              </w:rPr>
              <w:t>70.6% Speedup</w:t>
            </w:r>
          </w:p>
        </w:tc>
        <w:tc>
          <w:tcPr>
            <w:tcW w:w="1296" w:type="dxa"/>
            <w:tcMar>
              <w:top w:w="70" w:type="dxa"/>
              <w:left w:w="60" w:type="dxa"/>
              <w:bottom w:w="70" w:type="dxa"/>
              <w:right w:w="60" w:type="dxa"/>
            </w:tcMar>
          </w:tcPr>
          <w:p w:rsidR="000F1385" w:rsidRDefault="00EF3E79">
            <w:r>
              <w:rPr>
                <w:rFonts w:ascii="Times New Roman" w:hAnsi="Times New Roman"/>
                <w:sz w:val="16"/>
              </w:rPr>
              <w:t>74.1% Speedup</w:t>
            </w:r>
          </w:p>
        </w:tc>
        <w:tc>
          <w:tcPr>
            <w:tcW w:w="1296" w:type="dxa"/>
            <w:tcMar>
              <w:top w:w="70" w:type="dxa"/>
              <w:left w:w="60" w:type="dxa"/>
              <w:bottom w:w="70" w:type="dxa"/>
              <w:right w:w="60" w:type="dxa"/>
            </w:tcMar>
          </w:tcPr>
          <w:p w:rsidR="000F1385" w:rsidRDefault="00EF3E79">
            <w:r>
              <w:rPr>
                <w:rFonts w:ascii="Times New Roman" w:hAnsi="Times New Roman"/>
                <w:sz w:val="16"/>
              </w:rPr>
              <w:t>77.0% Speedup</w:t>
            </w:r>
          </w:p>
        </w:tc>
        <w:tc>
          <w:tcPr>
            <w:tcW w:w="1728" w:type="dxa"/>
            <w:tcMar>
              <w:top w:w="70" w:type="dxa"/>
              <w:left w:w="60" w:type="dxa"/>
              <w:bottom w:w="70" w:type="dxa"/>
              <w:right w:w="60" w:type="dxa"/>
            </w:tcMar>
          </w:tcPr>
          <w:p w:rsidR="000F1385" w:rsidRDefault="00EF3E79">
            <w:r>
              <w:rPr>
                <w:rFonts w:ascii="Times New Roman" w:hAnsi="Times New Roman"/>
                <w:b/>
                <w:sz w:val="16"/>
              </w:rPr>
              <w:t>84% Bandwidth Saved</w:t>
            </w:r>
          </w:p>
        </w:tc>
      </w:tr>
    </w:tbl>
    <w:p w:rsidR="000F1385" w:rsidRDefault="00EF3E79">
      <w:pPr>
        <w:spacing w:before="80" w:after="160"/>
        <w:jc w:val="center"/>
      </w:pPr>
      <w:r>
        <w:rPr>
          <w:rFonts w:ascii="Times New Roman" w:hAnsi="Times New Roman"/>
          <w:b/>
          <w:color w:val="546E7A"/>
          <w:sz w:val="20"/>
        </w:rPr>
        <w:t>Table 4.4: Worker Consultation List Endpoint Profiling: Full Scan vs Pagination</w:t>
      </w:r>
    </w:p>
    <w:p w:rsidR="000F1385" w:rsidRDefault="00EF3E79">
      <w:pPr>
        <w:spacing w:before="200" w:after="40"/>
        <w:jc w:val="center"/>
      </w:pPr>
      <w:r>
        <w:rPr>
          <w:noProof/>
          <w:lang w:val="en-IN" w:eastAsia="en-IN"/>
        </w:rPr>
        <w:drawing>
          <wp:inline distT="0" distB="0" distL="0" distR="0">
            <wp:extent cx="5303520" cy="3182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ist_latency_before_after.png"/>
                    <pic:cNvPicPr/>
                  </pic:nvPicPr>
                  <pic:blipFill>
                    <a:blip r:embed="rId19"/>
                    <a:stretch>
                      <a:fillRect/>
                    </a:stretch>
                  </pic:blipFill>
                  <pic:spPr>
                    <a:xfrm>
                      <a:off x="0" y="0"/>
                      <a:ext cx="5303520" cy="3182112"/>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4.5: Worker List Latency Before vs After Index Projection Optimization</w:t>
      </w:r>
    </w:p>
    <w:p w:rsidR="000F1385" w:rsidRDefault="00EF3E79">
      <w:pPr>
        <w:spacing w:before="280" w:after="120"/>
      </w:pPr>
      <w:r>
        <w:rPr>
          <w:rFonts w:ascii="Times New Roman" w:hAnsi="Times New Roman"/>
          <w:b/>
          <w:color w:val="1B4F72"/>
          <w:sz w:val="27"/>
        </w:rPr>
        <w:t>4.4 Automated Testing &amp; Verification Suite</w:t>
      </w:r>
    </w:p>
    <w:p w:rsidR="000F1385" w:rsidRDefault="00EF3E79">
      <w:pPr>
        <w:spacing w:after="120" w:line="360" w:lineRule="auto"/>
        <w:jc w:val="both"/>
      </w:pPr>
      <w:r>
        <w:rPr>
          <w:rFonts w:ascii="Times New Roman" w:hAnsi="Times New Roman"/>
          <w:color w:val="212121"/>
          <w:sz w:val="24"/>
        </w:rPr>
        <w:t xml:space="preserve">To </w:t>
      </w:r>
      <w:r>
        <w:rPr>
          <w:rFonts w:ascii="Times New Roman" w:hAnsi="Times New Roman"/>
          <w:color w:val="212121"/>
          <w:sz w:val="24"/>
        </w:rPr>
        <w:t>verify system correctness and fail-closed safety, ArogyaMitra maintains a comprehensive automated testing suite encompassing 321 prototype test cases across all four microservices. Table 4.5 summarizes test distribution and execution logs.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51"/>
        <w:gridCol w:w="1426"/>
        <w:gridCol w:w="1714"/>
        <w:gridCol w:w="1297"/>
        <w:gridCol w:w="2352"/>
      </w:tblGrid>
      <w:tr w:rsidR="000F1385">
        <w:trPr>
          <w:jc w:val="center"/>
        </w:trPr>
        <w:tc>
          <w:tcPr>
            <w:tcW w:w="2592"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Microservice Lay</w:t>
            </w:r>
            <w:r>
              <w:rPr>
                <w:rFonts w:ascii="Times New Roman" w:hAnsi="Times New Roman"/>
                <w:b/>
                <w:color w:val="FFFFFF"/>
                <w:sz w:val="17"/>
              </w:rPr>
              <w:t>er</w:t>
            </w:r>
          </w:p>
        </w:tc>
        <w:tc>
          <w:tcPr>
            <w:tcW w:w="1584"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Test Case Count</w:t>
            </w:r>
          </w:p>
        </w:tc>
        <w:tc>
          <w:tcPr>
            <w:tcW w:w="1872"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Testing Harness</w:t>
            </w:r>
          </w:p>
        </w:tc>
        <w:tc>
          <w:tcPr>
            <w:tcW w:w="1440"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Pass Rate</w:t>
            </w:r>
          </w:p>
        </w:tc>
        <w:tc>
          <w:tcPr>
            <w:tcW w:w="2304"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Evidence Citation</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lastRenderedPageBreak/>
              <w:t>Backend API Service</w:t>
            </w:r>
          </w:p>
        </w:tc>
        <w:tc>
          <w:tcPr>
            <w:tcW w:w="1584" w:type="dxa"/>
            <w:tcMar>
              <w:top w:w="70" w:type="dxa"/>
              <w:left w:w="70" w:type="dxa"/>
              <w:bottom w:w="70" w:type="dxa"/>
              <w:right w:w="70" w:type="dxa"/>
            </w:tcMar>
          </w:tcPr>
          <w:p w:rsidR="000F1385" w:rsidRDefault="00EF3E79">
            <w:r>
              <w:rPr>
                <w:rFonts w:ascii="Times New Roman" w:hAnsi="Times New Roman"/>
                <w:sz w:val="16"/>
              </w:rPr>
              <w:t>231 Tests</w:t>
            </w:r>
          </w:p>
        </w:tc>
        <w:tc>
          <w:tcPr>
            <w:tcW w:w="1872" w:type="dxa"/>
            <w:tcMar>
              <w:top w:w="70" w:type="dxa"/>
              <w:left w:w="70" w:type="dxa"/>
              <w:bottom w:w="70" w:type="dxa"/>
              <w:right w:w="70" w:type="dxa"/>
            </w:tcMar>
          </w:tcPr>
          <w:p w:rsidR="000F1385" w:rsidRDefault="00EF3E79">
            <w:r>
              <w:rPr>
                <w:rFonts w:ascii="Times New Roman" w:hAnsi="Times New Roman"/>
                <w:sz w:val="16"/>
              </w:rPr>
              <w:t>Jest / Supertest</w:t>
            </w:r>
          </w:p>
        </w:tc>
        <w:tc>
          <w:tcPr>
            <w:tcW w:w="1440" w:type="dxa"/>
            <w:tcMar>
              <w:top w:w="70" w:type="dxa"/>
              <w:left w:w="70" w:type="dxa"/>
              <w:bottom w:w="70" w:type="dxa"/>
              <w:right w:w="70" w:type="dxa"/>
            </w:tcMar>
          </w:tcPr>
          <w:p w:rsidR="000F1385" w:rsidRDefault="00EF3E79">
            <w:r>
              <w:rPr>
                <w:rFonts w:ascii="Times New Roman" w:hAnsi="Times New Roman"/>
                <w:b/>
                <w:color w:val="2E7D32"/>
                <w:sz w:val="16"/>
              </w:rPr>
              <w:t>100% Pass</w:t>
            </w:r>
          </w:p>
        </w:tc>
        <w:tc>
          <w:tcPr>
            <w:tcW w:w="2304" w:type="dxa"/>
            <w:tcMar>
              <w:top w:w="70" w:type="dxa"/>
              <w:left w:w="70" w:type="dxa"/>
              <w:bottom w:w="70" w:type="dxa"/>
              <w:right w:w="70" w:type="dxa"/>
            </w:tcMar>
          </w:tcPr>
          <w:p w:rsidR="000F1385" w:rsidRDefault="00EF3E79">
            <w:r>
              <w:rPr>
                <w:rFonts w:ascii="Times New Roman" w:hAnsi="Times New Roman"/>
                <w:color w:val="546E7A"/>
                <w:sz w:val="15"/>
              </w:rPr>
              <w:t>docs/evidence/verify_backend.txt:85</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t>Stateless ML Engine</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sz w:val="16"/>
              </w:rPr>
              <w:t>55 Tests</w:t>
            </w:r>
          </w:p>
        </w:tc>
        <w:tc>
          <w:tcPr>
            <w:tcW w:w="1872" w:type="dxa"/>
            <w:shd w:val="clear" w:color="auto" w:fill="F4F6F7"/>
            <w:tcMar>
              <w:top w:w="70" w:type="dxa"/>
              <w:left w:w="70" w:type="dxa"/>
              <w:bottom w:w="70" w:type="dxa"/>
              <w:right w:w="70" w:type="dxa"/>
            </w:tcMar>
          </w:tcPr>
          <w:p w:rsidR="000F1385" w:rsidRDefault="00EF3E79">
            <w:r>
              <w:rPr>
                <w:rFonts w:ascii="Times New Roman" w:hAnsi="Times New Roman"/>
                <w:sz w:val="16"/>
              </w:rPr>
              <w:t>Pytest / NumPy</w:t>
            </w:r>
          </w:p>
        </w:tc>
        <w:tc>
          <w:tcPr>
            <w:tcW w:w="1440" w:type="dxa"/>
            <w:shd w:val="clear" w:color="auto" w:fill="F4F6F7"/>
            <w:tcMar>
              <w:top w:w="70" w:type="dxa"/>
              <w:left w:w="70" w:type="dxa"/>
              <w:bottom w:w="70" w:type="dxa"/>
              <w:right w:w="70" w:type="dxa"/>
            </w:tcMar>
          </w:tcPr>
          <w:p w:rsidR="000F1385" w:rsidRDefault="00EF3E79">
            <w:r>
              <w:rPr>
                <w:rFonts w:ascii="Times New Roman" w:hAnsi="Times New Roman"/>
                <w:b/>
                <w:color w:val="2E7D32"/>
                <w:sz w:val="16"/>
              </w:rPr>
              <w:t>100% Pass</w:t>
            </w:r>
          </w:p>
        </w:tc>
        <w:tc>
          <w:tcPr>
            <w:tcW w:w="2304" w:type="dxa"/>
            <w:shd w:val="clear" w:color="auto" w:fill="F4F6F7"/>
            <w:tcMar>
              <w:top w:w="70" w:type="dxa"/>
              <w:left w:w="70" w:type="dxa"/>
              <w:bottom w:w="70" w:type="dxa"/>
              <w:right w:w="70" w:type="dxa"/>
            </w:tcMar>
          </w:tcPr>
          <w:p w:rsidR="000F1385" w:rsidRDefault="00EF3E79">
            <w:r>
              <w:rPr>
                <w:rFonts w:ascii="Times New Roman" w:hAnsi="Times New Roman"/>
                <w:color w:val="546E7A"/>
                <w:sz w:val="15"/>
              </w:rPr>
              <w:t>docs/evidence/verify_ml.txt:47</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 xml:space="preserve">Guarded </w:t>
            </w:r>
            <w:r>
              <w:rPr>
                <w:rFonts w:ascii="Times New Roman" w:hAnsi="Times New Roman"/>
                <w:b/>
                <w:sz w:val="16"/>
              </w:rPr>
              <w:t>Graph Service</w:t>
            </w:r>
          </w:p>
        </w:tc>
        <w:tc>
          <w:tcPr>
            <w:tcW w:w="1584" w:type="dxa"/>
            <w:tcMar>
              <w:top w:w="70" w:type="dxa"/>
              <w:left w:w="70" w:type="dxa"/>
              <w:bottom w:w="70" w:type="dxa"/>
              <w:right w:w="70" w:type="dxa"/>
            </w:tcMar>
          </w:tcPr>
          <w:p w:rsidR="000F1385" w:rsidRDefault="00EF3E79">
            <w:r>
              <w:rPr>
                <w:rFonts w:ascii="Times New Roman" w:hAnsi="Times New Roman"/>
                <w:sz w:val="16"/>
              </w:rPr>
              <w:t>26 Tests</w:t>
            </w:r>
          </w:p>
        </w:tc>
        <w:tc>
          <w:tcPr>
            <w:tcW w:w="1872" w:type="dxa"/>
            <w:tcMar>
              <w:top w:w="70" w:type="dxa"/>
              <w:left w:w="70" w:type="dxa"/>
              <w:bottom w:w="70" w:type="dxa"/>
              <w:right w:w="70" w:type="dxa"/>
            </w:tcMar>
          </w:tcPr>
          <w:p w:rsidR="000F1385" w:rsidRDefault="00EF3E79">
            <w:r>
              <w:rPr>
                <w:rFonts w:ascii="Times New Roman" w:hAnsi="Times New Roman"/>
                <w:sz w:val="16"/>
              </w:rPr>
              <w:t>Pytest / LangGraph</w:t>
            </w:r>
          </w:p>
        </w:tc>
        <w:tc>
          <w:tcPr>
            <w:tcW w:w="1440" w:type="dxa"/>
            <w:tcMar>
              <w:top w:w="70" w:type="dxa"/>
              <w:left w:w="70" w:type="dxa"/>
              <w:bottom w:w="70" w:type="dxa"/>
              <w:right w:w="70" w:type="dxa"/>
            </w:tcMar>
          </w:tcPr>
          <w:p w:rsidR="000F1385" w:rsidRDefault="00EF3E79">
            <w:r>
              <w:rPr>
                <w:rFonts w:ascii="Times New Roman" w:hAnsi="Times New Roman"/>
                <w:b/>
                <w:color w:val="2E7D32"/>
                <w:sz w:val="16"/>
              </w:rPr>
              <w:t>100% Pass</w:t>
            </w:r>
          </w:p>
        </w:tc>
        <w:tc>
          <w:tcPr>
            <w:tcW w:w="2304" w:type="dxa"/>
            <w:tcMar>
              <w:top w:w="70" w:type="dxa"/>
              <w:left w:w="70" w:type="dxa"/>
              <w:bottom w:w="70" w:type="dxa"/>
              <w:right w:w="70" w:type="dxa"/>
            </w:tcMar>
          </w:tcPr>
          <w:p w:rsidR="000F1385" w:rsidRDefault="00EF3E79">
            <w:r>
              <w:rPr>
                <w:rFonts w:ascii="Times New Roman" w:hAnsi="Times New Roman"/>
                <w:color w:val="546E7A"/>
                <w:sz w:val="15"/>
              </w:rPr>
              <w:t>docs/evidence/verify_graph.txt:32</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t>Frontend UI Service</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sz w:val="16"/>
              </w:rPr>
              <w:t>9 Tests</w:t>
            </w:r>
          </w:p>
        </w:tc>
        <w:tc>
          <w:tcPr>
            <w:tcW w:w="1872" w:type="dxa"/>
            <w:shd w:val="clear" w:color="auto" w:fill="F4F6F7"/>
            <w:tcMar>
              <w:top w:w="70" w:type="dxa"/>
              <w:left w:w="70" w:type="dxa"/>
              <w:bottom w:w="70" w:type="dxa"/>
              <w:right w:w="70" w:type="dxa"/>
            </w:tcMar>
          </w:tcPr>
          <w:p w:rsidR="000F1385" w:rsidRDefault="00EF3E79">
            <w:r>
              <w:rPr>
                <w:rFonts w:ascii="Times New Roman" w:hAnsi="Times New Roman"/>
                <w:sz w:val="16"/>
              </w:rPr>
              <w:t>Pytest / Streamlit</w:t>
            </w:r>
          </w:p>
        </w:tc>
        <w:tc>
          <w:tcPr>
            <w:tcW w:w="1440" w:type="dxa"/>
            <w:shd w:val="clear" w:color="auto" w:fill="F4F6F7"/>
            <w:tcMar>
              <w:top w:w="70" w:type="dxa"/>
              <w:left w:w="70" w:type="dxa"/>
              <w:bottom w:w="70" w:type="dxa"/>
              <w:right w:w="70" w:type="dxa"/>
            </w:tcMar>
          </w:tcPr>
          <w:p w:rsidR="000F1385" w:rsidRDefault="00EF3E79">
            <w:r>
              <w:rPr>
                <w:rFonts w:ascii="Times New Roman" w:hAnsi="Times New Roman"/>
                <w:b/>
                <w:color w:val="2E7D32"/>
                <w:sz w:val="16"/>
              </w:rPr>
              <w:t>100% Pass</w:t>
            </w:r>
          </w:p>
        </w:tc>
        <w:tc>
          <w:tcPr>
            <w:tcW w:w="2304" w:type="dxa"/>
            <w:shd w:val="clear" w:color="auto" w:fill="F4F6F7"/>
            <w:tcMar>
              <w:top w:w="70" w:type="dxa"/>
              <w:left w:w="70" w:type="dxa"/>
              <w:bottom w:w="70" w:type="dxa"/>
              <w:right w:w="70" w:type="dxa"/>
            </w:tcMar>
          </w:tcPr>
          <w:p w:rsidR="000F1385" w:rsidRDefault="00EF3E79">
            <w:r>
              <w:rPr>
                <w:rFonts w:ascii="Times New Roman" w:hAnsi="Times New Roman"/>
                <w:color w:val="546E7A"/>
                <w:sz w:val="15"/>
              </w:rPr>
              <w:t>docs/evidence/verify_ui.txt:26</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Total Automated Tests</w:t>
            </w:r>
          </w:p>
        </w:tc>
        <w:tc>
          <w:tcPr>
            <w:tcW w:w="1584" w:type="dxa"/>
            <w:tcMar>
              <w:top w:w="70" w:type="dxa"/>
              <w:left w:w="70" w:type="dxa"/>
              <w:bottom w:w="70" w:type="dxa"/>
              <w:right w:w="70" w:type="dxa"/>
            </w:tcMar>
          </w:tcPr>
          <w:p w:rsidR="000F1385" w:rsidRDefault="00EF3E79">
            <w:r>
              <w:rPr>
                <w:rFonts w:ascii="Times New Roman" w:hAnsi="Times New Roman"/>
                <w:sz w:val="16"/>
              </w:rPr>
              <w:t>321 Tests</w:t>
            </w:r>
          </w:p>
        </w:tc>
        <w:tc>
          <w:tcPr>
            <w:tcW w:w="1872" w:type="dxa"/>
            <w:tcMar>
              <w:top w:w="70" w:type="dxa"/>
              <w:left w:w="70" w:type="dxa"/>
              <w:bottom w:w="70" w:type="dxa"/>
              <w:right w:w="70" w:type="dxa"/>
            </w:tcMar>
          </w:tcPr>
          <w:p w:rsidR="000F1385" w:rsidRDefault="00EF3E79">
            <w:r>
              <w:rPr>
                <w:rFonts w:ascii="Times New Roman" w:hAnsi="Times New Roman"/>
                <w:sz w:val="16"/>
              </w:rPr>
              <w:t>Multi-Framework</w:t>
            </w:r>
          </w:p>
        </w:tc>
        <w:tc>
          <w:tcPr>
            <w:tcW w:w="1440" w:type="dxa"/>
            <w:tcMar>
              <w:top w:w="70" w:type="dxa"/>
              <w:left w:w="70" w:type="dxa"/>
              <w:bottom w:w="70" w:type="dxa"/>
              <w:right w:w="70" w:type="dxa"/>
            </w:tcMar>
          </w:tcPr>
          <w:p w:rsidR="000F1385" w:rsidRDefault="00EF3E79">
            <w:r>
              <w:rPr>
                <w:rFonts w:ascii="Times New Roman" w:hAnsi="Times New Roman"/>
                <w:b/>
                <w:color w:val="2E7D32"/>
                <w:sz w:val="16"/>
              </w:rPr>
              <w:t>100% Pass</w:t>
            </w:r>
          </w:p>
        </w:tc>
        <w:tc>
          <w:tcPr>
            <w:tcW w:w="2304" w:type="dxa"/>
            <w:tcMar>
              <w:top w:w="70" w:type="dxa"/>
              <w:left w:w="70" w:type="dxa"/>
              <w:bottom w:w="70" w:type="dxa"/>
              <w:right w:w="70" w:type="dxa"/>
            </w:tcMar>
          </w:tcPr>
          <w:p w:rsidR="000F1385" w:rsidRDefault="00EF3E79">
            <w:r>
              <w:rPr>
                <w:rFonts w:ascii="Times New Roman" w:hAnsi="Times New Roman"/>
                <w:color w:val="546E7A"/>
                <w:sz w:val="15"/>
              </w:rPr>
              <w:t>Clean Verification Run</w:t>
            </w:r>
          </w:p>
        </w:tc>
      </w:tr>
    </w:tbl>
    <w:p w:rsidR="000F1385" w:rsidRDefault="00EF3E79">
      <w:pPr>
        <w:spacing w:before="80" w:after="160"/>
        <w:jc w:val="center"/>
      </w:pPr>
      <w:r>
        <w:rPr>
          <w:rFonts w:ascii="Times New Roman" w:hAnsi="Times New Roman"/>
          <w:b/>
          <w:color w:val="546E7A"/>
          <w:sz w:val="20"/>
        </w:rPr>
        <w:t>Table 4.5: Automated Prototype Test Suite Breakdown Across Services</w:t>
      </w:r>
    </w:p>
    <w:p w:rsidR="000F1385" w:rsidRDefault="00EF3E79">
      <w:pPr>
        <w:spacing w:before="200" w:after="40"/>
        <w:jc w:val="center"/>
      </w:pPr>
      <w:r>
        <w:rPr>
          <w:noProof/>
          <w:lang w:val="en-IN" w:eastAsia="en-IN"/>
        </w:rPr>
        <w:drawing>
          <wp:inline distT="0" distB="0" distL="0" distR="0">
            <wp:extent cx="5303520" cy="36716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est_suite_composition.png"/>
                    <pic:cNvPicPr/>
                  </pic:nvPicPr>
                  <pic:blipFill>
                    <a:blip r:embed="rId20"/>
                    <a:stretch>
                      <a:fillRect/>
                    </a:stretch>
                  </pic:blipFill>
                  <pic:spPr>
                    <a:xfrm>
                      <a:off x="0" y="0"/>
                      <a:ext cx="5303520" cy="3671668"/>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4.6: Test Suite Distribution Across Prototype Architectural Layers (321 Tests)</w:t>
      </w:r>
    </w:p>
    <w:p w:rsidR="000F1385" w:rsidRDefault="00EF3E79">
      <w:pPr>
        <w:spacing w:after="120" w:line="360" w:lineRule="auto"/>
        <w:jc w:val="both"/>
      </w:pPr>
      <w:r>
        <w:rPr>
          <w:rFonts w:ascii="Times New Roman" w:hAnsi="Times New Roman"/>
          <w:color w:val="212121"/>
          <w:sz w:val="24"/>
        </w:rPr>
        <w:t xml:space="preserve">In addition to unit and integration testing, two specialized end-to-end verification suites are </w:t>
      </w:r>
      <w:r>
        <w:rPr>
          <w:rFonts w:ascii="Times New Roman" w:hAnsi="Times New Roman"/>
          <w:color w:val="212121"/>
          <w:sz w:val="24"/>
        </w:rPr>
        <w:t>executed against the running Docker stack:</w:t>
      </w:r>
    </w:p>
    <w:p w:rsidR="000F1385" w:rsidRDefault="00EF3E79">
      <w:pPr>
        <w:spacing w:after="80" w:line="360" w:lineRule="auto"/>
        <w:jc w:val="both"/>
      </w:pPr>
      <w:r>
        <w:rPr>
          <w:rFonts w:ascii="Times New Roman" w:hAnsi="Times New Roman"/>
          <w:color w:val="212121"/>
          <w:sz w:val="24"/>
        </w:rPr>
        <w:t>1. Golden Clinical Test Set (20/20 Passing): Validates 20 standardized clinical vignettes covering emergency cardiac, respiratory, infectious, and dermatological presentations (`docs/evidence/p0_golden_tests.txt:3</w:t>
      </w:r>
      <w:r>
        <w:rPr>
          <w:rFonts w:ascii="Times New Roman" w:hAnsi="Times New Roman"/>
          <w:color w:val="212121"/>
          <w:sz w:val="24"/>
        </w:rPr>
        <w:t>8`).</w:t>
      </w:r>
    </w:p>
    <w:p w:rsidR="000F1385" w:rsidRDefault="00EF3E79">
      <w:pPr>
        <w:spacing w:line="360" w:lineRule="auto"/>
        <w:jc w:val="both"/>
      </w:pPr>
      <w:r>
        <w:rPr>
          <w:rFonts w:ascii="Times New Roman" w:hAnsi="Times New Roman"/>
          <w:color w:val="212121"/>
          <w:sz w:val="24"/>
        </w:rPr>
        <w:t xml:space="preserve">2. Playwright End-to-End Suite (11/11 Passing): Automates complete browser journeys across authenticated roles, testing intake, red-flag emergency blocking, role-based </w:t>
      </w:r>
      <w:r>
        <w:rPr>
          <w:rFonts w:ascii="Times New Roman" w:hAnsi="Times New Roman"/>
          <w:color w:val="212121"/>
          <w:sz w:val="24"/>
        </w:rPr>
        <w:lastRenderedPageBreak/>
        <w:t>navigation, pagination, and fail-closed error handling (`docs/evidence/p4_playwrigh</w:t>
      </w:r>
      <w:r>
        <w:rPr>
          <w:rFonts w:ascii="Times New Roman" w:hAnsi="Times New Roman"/>
          <w:color w:val="212121"/>
          <w:sz w:val="24"/>
        </w:rPr>
        <w:t>t_suite.txt:72`).</w:t>
      </w:r>
    </w:p>
    <w:p w:rsidR="000F1385" w:rsidRDefault="00EF3E79">
      <w:pPr>
        <w:spacing w:before="200" w:after="40"/>
        <w:jc w:val="center"/>
      </w:pPr>
      <w:r>
        <w:rPr>
          <w:noProof/>
          <w:lang w:val="en-IN" w:eastAsia="en-IN"/>
        </w:rPr>
        <w:drawing>
          <wp:inline distT="0" distB="0" distL="0" distR="0">
            <wp:extent cx="5029200" cy="384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s1_worker_accept.png"/>
                    <pic:cNvPicPr/>
                  </pic:nvPicPr>
                  <pic:blipFill>
                    <a:blip r:embed="rId21"/>
                    <a:stretch>
                      <a:fillRect/>
                    </a:stretch>
                  </pic:blipFill>
                  <pic:spPr>
                    <a:xfrm>
                      <a:off x="0" y="0"/>
                      <a:ext cx="5029200" cy="384175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4.7: User Interface: Primary Health Worker Consultation Intake &amp; Accept Journey</w:t>
      </w:r>
    </w:p>
    <w:p w:rsidR="000F1385" w:rsidRDefault="00EF3E79">
      <w:pPr>
        <w:spacing w:before="200" w:after="40"/>
        <w:jc w:val="center"/>
      </w:pPr>
      <w:r>
        <w:rPr>
          <w:noProof/>
          <w:lang w:val="en-IN" w:eastAsia="en-IN"/>
        </w:rPr>
        <w:lastRenderedPageBreak/>
        <w:drawing>
          <wp:inline distT="0" distB="0" distL="0" distR="0">
            <wp:extent cx="5029200" cy="3841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s2_redflag_blocked.png"/>
                    <pic:cNvPicPr/>
                  </pic:nvPicPr>
                  <pic:blipFill>
                    <a:blip r:embed="rId22"/>
                    <a:stretch>
                      <a:fillRect/>
                    </a:stretch>
                  </pic:blipFill>
                  <pic:spPr>
                    <a:xfrm>
                      <a:off x="0" y="0"/>
                      <a:ext cx="5029200" cy="384175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4.8: User Interface: Red-Flag Emergency Detection &amp; Blocked Direct Triage</w:t>
      </w:r>
    </w:p>
    <w:p w:rsidR="000F1385" w:rsidRDefault="00EF3E79">
      <w:pPr>
        <w:spacing w:before="200" w:after="40"/>
        <w:jc w:val="center"/>
      </w:pPr>
      <w:r>
        <w:rPr>
          <w:noProof/>
          <w:lang w:val="en-IN" w:eastAsia="en-IN"/>
        </w:rPr>
        <w:drawing>
          <wp:inline distT="0" distB="0" distL="0" distR="0">
            <wp:extent cx="5029200" cy="3841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s11_ui_pagination.png"/>
                    <pic:cNvPicPr/>
                  </pic:nvPicPr>
                  <pic:blipFill>
                    <a:blip r:embed="rId23"/>
                    <a:stretch>
                      <a:fillRect/>
                    </a:stretch>
                  </pic:blipFill>
                  <pic:spPr>
                    <a:xfrm>
                      <a:off x="0" y="0"/>
                      <a:ext cx="5029200" cy="384175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lastRenderedPageBreak/>
        <w:t xml:space="preserve">Figure 4.9: User Interface: Server-Side Consultation Pagination </w:t>
      </w:r>
      <w:r>
        <w:rPr>
          <w:rFonts w:ascii="Times New Roman" w:hAnsi="Times New Roman"/>
          <w:b/>
          <w:color w:val="546E7A"/>
          <w:sz w:val="20"/>
        </w:rPr>
        <w:t>&amp; Historical Record Review</w:t>
      </w:r>
    </w:p>
    <w:p w:rsidR="000F1385" w:rsidRDefault="00EF3E79">
      <w:pPr>
        <w:spacing w:before="200" w:after="40"/>
        <w:jc w:val="center"/>
      </w:pPr>
      <w:r>
        <w:rPr>
          <w:noProof/>
          <w:lang w:val="en-IN" w:eastAsia="en-IN"/>
        </w:rPr>
        <w:drawing>
          <wp:inline distT="0" distB="0" distL="0" distR="0">
            <wp:extent cx="5029200" cy="384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s9_ml_outage_error.png"/>
                    <pic:cNvPicPr/>
                  </pic:nvPicPr>
                  <pic:blipFill>
                    <a:blip r:embed="rId24"/>
                    <a:stretch>
                      <a:fillRect/>
                    </a:stretch>
                  </pic:blipFill>
                  <pic:spPr>
                    <a:xfrm>
                      <a:off x="0" y="0"/>
                      <a:ext cx="5029200" cy="3841750"/>
                    </a:xfrm>
                    <a:prstGeom prst="rect">
                      <a:avLst/>
                    </a:prstGeom>
                  </pic:spPr>
                </pic:pic>
              </a:graphicData>
            </a:graphic>
          </wp:inline>
        </w:drawing>
      </w:r>
    </w:p>
    <w:p w:rsidR="000F1385" w:rsidRDefault="00EF3E79">
      <w:pPr>
        <w:spacing w:before="80" w:after="160"/>
        <w:jc w:val="center"/>
      </w:pPr>
      <w:r>
        <w:rPr>
          <w:rFonts w:ascii="Times New Roman" w:hAnsi="Times New Roman"/>
          <w:b/>
          <w:color w:val="546E7A"/>
          <w:sz w:val="20"/>
        </w:rPr>
        <w:t>Figure 4.10: User Interface: Fail-Closed Resilient Error State on ML Service Outage</w:t>
      </w:r>
    </w:p>
    <w:p w:rsidR="000F1385" w:rsidRDefault="00EF3E79">
      <w:pPr>
        <w:spacing w:before="280" w:after="120"/>
      </w:pPr>
      <w:r>
        <w:rPr>
          <w:rFonts w:ascii="Times New Roman" w:hAnsi="Times New Roman"/>
          <w:b/>
          <w:color w:val="1B4F72"/>
          <w:sz w:val="27"/>
        </w:rPr>
        <w:t>4.5 Security Vulnerability &amp; Dependency Auditing</w:t>
      </w:r>
    </w:p>
    <w:p w:rsidR="000F1385" w:rsidRDefault="00EF3E79">
      <w:pPr>
        <w:spacing w:after="120" w:line="360" w:lineRule="auto"/>
        <w:jc w:val="both"/>
      </w:pPr>
      <w:r>
        <w:rPr>
          <w:rFonts w:ascii="Times New Roman" w:hAnsi="Times New Roman"/>
          <w:color w:val="212121"/>
          <w:sz w:val="24"/>
        </w:rPr>
        <w:t xml:space="preserve">To verify container and dependency hygiene, automated security scanning was conducted across </w:t>
      </w:r>
      <w:r>
        <w:rPr>
          <w:rFonts w:ascii="Times New Roman" w:hAnsi="Times New Roman"/>
          <w:color w:val="212121"/>
          <w:sz w:val="24"/>
        </w:rPr>
        <w:t>the production images. Vulnerability auditing with Trivy (`trivy image --ignore-unfixed`) verified zero High or Critical vulnerabilities with available upstream vendor fixes across the backend, ML, and graph Python runtime images (`docs/evidence/trivy_all_</w:t>
      </w:r>
      <w:r>
        <w:rPr>
          <w:rFonts w:ascii="Times New Roman" w:hAnsi="Times New Roman"/>
          <w:color w:val="212121"/>
          <w:sz w:val="24"/>
        </w:rPr>
        <w:t>images_scan.txt`). Similarly, `pip-audit` verified that all Python dependencies in the LangGraph service are cleanly pinned with zero known CVEs.</w:t>
      </w:r>
    </w:p>
    <w:p w:rsidR="000F1385" w:rsidRDefault="00EF3E79">
      <w:pPr>
        <w:spacing w:after="120" w:line="360" w:lineRule="auto"/>
        <w:jc w:val="both"/>
      </w:pPr>
      <w:r>
        <w:rPr>
          <w:rFonts w:ascii="Times New Roman" w:hAnsi="Times New Roman"/>
          <w:color w:val="212121"/>
          <w:sz w:val="24"/>
        </w:rPr>
        <w:t>Dynamic application security testing was conducted using the OWASP Zed Attack Proxy (ZAP) baseline scanner. Ta</w:t>
      </w:r>
      <w:r>
        <w:rPr>
          <w:rFonts w:ascii="Times New Roman" w:hAnsi="Times New Roman"/>
          <w:color w:val="212121"/>
          <w:sz w:val="24"/>
        </w:rPr>
        <w:t>ble 4.6 documents the five identified Low-risk findings and their architectural dispositions.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22"/>
        <w:gridCol w:w="2924"/>
        <w:gridCol w:w="1791"/>
        <w:gridCol w:w="3203"/>
      </w:tblGrid>
      <w:tr w:rsidR="000F1385">
        <w:trPr>
          <w:jc w:val="center"/>
        </w:trPr>
        <w:tc>
          <w:tcPr>
            <w:tcW w:w="1296"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Plugin ID</w:t>
            </w:r>
          </w:p>
        </w:tc>
        <w:tc>
          <w:tcPr>
            <w:tcW w:w="3168"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ZAP Alert Title</w:t>
            </w:r>
          </w:p>
        </w:tc>
        <w:tc>
          <w:tcPr>
            <w:tcW w:w="1872"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Risk Level</w:t>
            </w:r>
          </w:p>
        </w:tc>
        <w:tc>
          <w:tcPr>
            <w:tcW w:w="3456"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Architectural Disposition</w:t>
            </w:r>
          </w:p>
        </w:tc>
      </w:tr>
      <w:tr w:rsidR="000F1385">
        <w:trPr>
          <w:jc w:val="center"/>
        </w:trPr>
        <w:tc>
          <w:tcPr>
            <w:tcW w:w="1296" w:type="dxa"/>
            <w:tcMar>
              <w:top w:w="70" w:type="dxa"/>
              <w:left w:w="70" w:type="dxa"/>
              <w:bottom w:w="70" w:type="dxa"/>
              <w:right w:w="70" w:type="dxa"/>
            </w:tcMar>
          </w:tcPr>
          <w:p w:rsidR="000F1385" w:rsidRDefault="00EF3E79">
            <w:r>
              <w:rPr>
                <w:rFonts w:ascii="Times New Roman" w:hAnsi="Times New Roman"/>
                <w:b/>
                <w:sz w:val="16"/>
              </w:rPr>
              <w:t>10015</w:t>
            </w:r>
          </w:p>
        </w:tc>
        <w:tc>
          <w:tcPr>
            <w:tcW w:w="3168" w:type="dxa"/>
            <w:tcMar>
              <w:top w:w="70" w:type="dxa"/>
              <w:left w:w="70" w:type="dxa"/>
              <w:bottom w:w="70" w:type="dxa"/>
              <w:right w:w="70" w:type="dxa"/>
            </w:tcMar>
          </w:tcPr>
          <w:p w:rsidR="000F1385" w:rsidRDefault="00EF3E79">
            <w:r>
              <w:rPr>
                <w:rFonts w:ascii="Times New Roman" w:hAnsi="Times New Roman"/>
                <w:sz w:val="16"/>
              </w:rPr>
              <w:t>Re-examine Cache-Control Directives</w:t>
            </w:r>
          </w:p>
        </w:tc>
        <w:tc>
          <w:tcPr>
            <w:tcW w:w="1872" w:type="dxa"/>
            <w:tcMar>
              <w:top w:w="70" w:type="dxa"/>
              <w:left w:w="70" w:type="dxa"/>
              <w:bottom w:w="70" w:type="dxa"/>
              <w:right w:w="70" w:type="dxa"/>
            </w:tcMar>
          </w:tcPr>
          <w:p w:rsidR="000F1385" w:rsidRDefault="00EF3E79">
            <w:r>
              <w:rPr>
                <w:rFonts w:ascii="Times New Roman" w:hAnsi="Times New Roman"/>
                <w:sz w:val="16"/>
              </w:rPr>
              <w:t>Low (Informational)</w:t>
            </w:r>
          </w:p>
        </w:tc>
        <w:tc>
          <w:tcPr>
            <w:tcW w:w="3456" w:type="dxa"/>
            <w:tcMar>
              <w:top w:w="70" w:type="dxa"/>
              <w:left w:w="70" w:type="dxa"/>
              <w:bottom w:w="70" w:type="dxa"/>
              <w:right w:w="70" w:type="dxa"/>
            </w:tcMar>
          </w:tcPr>
          <w:p w:rsidR="000F1385" w:rsidRDefault="00EF3E79">
            <w:r>
              <w:rPr>
                <w:rFonts w:ascii="Times New Roman" w:hAnsi="Times New Roman"/>
                <w:sz w:val="15"/>
              </w:rPr>
              <w:t xml:space="preserve">Accepted, not tested: Static UI </w:t>
            </w:r>
            <w:r>
              <w:rPr>
                <w:rFonts w:ascii="Times New Roman" w:hAnsi="Times New Roman"/>
                <w:sz w:val="15"/>
              </w:rPr>
              <w:t xml:space="preserve">assets employ caching, while dynamic API responses set strict </w:t>
            </w:r>
            <w:r>
              <w:rPr>
                <w:rFonts w:ascii="Times New Roman" w:hAnsi="Times New Roman"/>
                <w:sz w:val="15"/>
              </w:rPr>
              <w:lastRenderedPageBreak/>
              <w:t>no-store headers.</w:t>
            </w:r>
          </w:p>
        </w:tc>
      </w:tr>
      <w:tr w:rsidR="000F1385">
        <w:trPr>
          <w:jc w:val="center"/>
        </w:trPr>
        <w:tc>
          <w:tcPr>
            <w:tcW w:w="1296" w:type="dxa"/>
            <w:shd w:val="clear" w:color="auto" w:fill="F4F6F7"/>
            <w:tcMar>
              <w:top w:w="70" w:type="dxa"/>
              <w:left w:w="70" w:type="dxa"/>
              <w:bottom w:w="70" w:type="dxa"/>
              <w:right w:w="70" w:type="dxa"/>
            </w:tcMar>
          </w:tcPr>
          <w:p w:rsidR="000F1385" w:rsidRDefault="00EF3E79">
            <w:r>
              <w:rPr>
                <w:rFonts w:ascii="Times New Roman" w:hAnsi="Times New Roman"/>
                <w:b/>
                <w:sz w:val="16"/>
              </w:rPr>
              <w:lastRenderedPageBreak/>
              <w:t>10020</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6"/>
              </w:rPr>
              <w:t>Missing Anti-clickjacking Header</w:t>
            </w:r>
          </w:p>
        </w:tc>
        <w:tc>
          <w:tcPr>
            <w:tcW w:w="1872" w:type="dxa"/>
            <w:shd w:val="clear" w:color="auto" w:fill="F4F6F7"/>
            <w:tcMar>
              <w:top w:w="70" w:type="dxa"/>
              <w:left w:w="70" w:type="dxa"/>
              <w:bottom w:w="70" w:type="dxa"/>
              <w:right w:w="70" w:type="dxa"/>
            </w:tcMar>
          </w:tcPr>
          <w:p w:rsidR="000F1385" w:rsidRDefault="00EF3E79">
            <w:r>
              <w:rPr>
                <w:rFonts w:ascii="Times New Roman" w:hAnsi="Times New Roman"/>
                <w:sz w:val="16"/>
              </w:rPr>
              <w:t>Low (Informational)</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Mitigated: Nginx gateway sets `X-Frame-Options: SAMEORIGIN` across all proxied responses.</w:t>
            </w:r>
          </w:p>
        </w:tc>
      </w:tr>
      <w:tr w:rsidR="000F1385">
        <w:trPr>
          <w:jc w:val="center"/>
        </w:trPr>
        <w:tc>
          <w:tcPr>
            <w:tcW w:w="1296" w:type="dxa"/>
            <w:tcMar>
              <w:top w:w="70" w:type="dxa"/>
              <w:left w:w="70" w:type="dxa"/>
              <w:bottom w:w="70" w:type="dxa"/>
              <w:right w:w="70" w:type="dxa"/>
            </w:tcMar>
          </w:tcPr>
          <w:p w:rsidR="000F1385" w:rsidRDefault="00EF3E79">
            <w:r>
              <w:rPr>
                <w:rFonts w:ascii="Times New Roman" w:hAnsi="Times New Roman"/>
                <w:b/>
                <w:sz w:val="16"/>
              </w:rPr>
              <w:t>10021</w:t>
            </w:r>
          </w:p>
        </w:tc>
        <w:tc>
          <w:tcPr>
            <w:tcW w:w="3168" w:type="dxa"/>
            <w:tcMar>
              <w:top w:w="70" w:type="dxa"/>
              <w:left w:w="70" w:type="dxa"/>
              <w:bottom w:w="70" w:type="dxa"/>
              <w:right w:w="70" w:type="dxa"/>
            </w:tcMar>
          </w:tcPr>
          <w:p w:rsidR="000F1385" w:rsidRDefault="00EF3E79">
            <w:r>
              <w:rPr>
                <w:rFonts w:ascii="Times New Roman" w:hAnsi="Times New Roman"/>
                <w:sz w:val="16"/>
              </w:rPr>
              <w:t>X-Content-Type-Options Header Missing</w:t>
            </w:r>
          </w:p>
        </w:tc>
        <w:tc>
          <w:tcPr>
            <w:tcW w:w="1872" w:type="dxa"/>
            <w:tcMar>
              <w:top w:w="70" w:type="dxa"/>
              <w:left w:w="70" w:type="dxa"/>
              <w:bottom w:w="70" w:type="dxa"/>
              <w:right w:w="70" w:type="dxa"/>
            </w:tcMar>
          </w:tcPr>
          <w:p w:rsidR="000F1385" w:rsidRDefault="00EF3E79">
            <w:r>
              <w:rPr>
                <w:rFonts w:ascii="Times New Roman" w:hAnsi="Times New Roman"/>
                <w:sz w:val="16"/>
              </w:rPr>
              <w:t>Low (Informational)</w:t>
            </w:r>
          </w:p>
        </w:tc>
        <w:tc>
          <w:tcPr>
            <w:tcW w:w="3456" w:type="dxa"/>
            <w:tcMar>
              <w:top w:w="70" w:type="dxa"/>
              <w:left w:w="70" w:type="dxa"/>
              <w:bottom w:w="70" w:type="dxa"/>
              <w:right w:w="70" w:type="dxa"/>
            </w:tcMar>
          </w:tcPr>
          <w:p w:rsidR="000F1385" w:rsidRDefault="00EF3E79">
            <w:r>
              <w:rPr>
                <w:rFonts w:ascii="Times New Roman" w:hAnsi="Times New Roman"/>
                <w:sz w:val="15"/>
              </w:rPr>
              <w:t>Mitigated: Enforced `X-Content-Type-Options: nosniff` globally in Nginx configuration.</w:t>
            </w:r>
          </w:p>
        </w:tc>
      </w:tr>
      <w:tr w:rsidR="000F1385">
        <w:trPr>
          <w:jc w:val="center"/>
        </w:trPr>
        <w:tc>
          <w:tcPr>
            <w:tcW w:w="1296" w:type="dxa"/>
            <w:shd w:val="clear" w:color="auto" w:fill="F4F6F7"/>
            <w:tcMar>
              <w:top w:w="70" w:type="dxa"/>
              <w:left w:w="70" w:type="dxa"/>
              <w:bottom w:w="70" w:type="dxa"/>
              <w:right w:w="70" w:type="dxa"/>
            </w:tcMar>
          </w:tcPr>
          <w:p w:rsidR="000F1385" w:rsidRDefault="00EF3E79">
            <w:r>
              <w:rPr>
                <w:rFonts w:ascii="Times New Roman" w:hAnsi="Times New Roman"/>
                <w:b/>
                <w:sz w:val="16"/>
              </w:rPr>
              <w:t>10038</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6"/>
              </w:rPr>
              <w:t>Content Security Policy (CSP) Header Not Set</w:t>
            </w:r>
          </w:p>
        </w:tc>
        <w:tc>
          <w:tcPr>
            <w:tcW w:w="1872" w:type="dxa"/>
            <w:shd w:val="clear" w:color="auto" w:fill="F4F6F7"/>
            <w:tcMar>
              <w:top w:w="70" w:type="dxa"/>
              <w:left w:w="70" w:type="dxa"/>
              <w:bottom w:w="70" w:type="dxa"/>
              <w:right w:w="70" w:type="dxa"/>
            </w:tcMar>
          </w:tcPr>
          <w:p w:rsidR="000F1385" w:rsidRDefault="00EF3E79">
            <w:r>
              <w:rPr>
                <w:rFonts w:ascii="Times New Roman" w:hAnsi="Times New Roman"/>
                <w:sz w:val="16"/>
              </w:rPr>
              <w:t>Low (Informational)</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 xml:space="preserve">Mitigated: Implemented CSP policy </w:t>
            </w:r>
            <w:r>
              <w:rPr>
                <w:rFonts w:ascii="Times New Roman" w:hAnsi="Times New Roman"/>
                <w:sz w:val="15"/>
              </w:rPr>
              <w:t>restricting script and connect sources to trusted endpoints.</w:t>
            </w:r>
          </w:p>
        </w:tc>
      </w:tr>
      <w:tr w:rsidR="000F1385">
        <w:trPr>
          <w:jc w:val="center"/>
        </w:trPr>
        <w:tc>
          <w:tcPr>
            <w:tcW w:w="1296" w:type="dxa"/>
            <w:tcMar>
              <w:top w:w="70" w:type="dxa"/>
              <w:left w:w="70" w:type="dxa"/>
              <w:bottom w:w="70" w:type="dxa"/>
              <w:right w:w="70" w:type="dxa"/>
            </w:tcMar>
          </w:tcPr>
          <w:p w:rsidR="000F1385" w:rsidRDefault="00EF3E79">
            <w:r>
              <w:rPr>
                <w:rFonts w:ascii="Times New Roman" w:hAnsi="Times New Roman"/>
                <w:b/>
                <w:sz w:val="16"/>
              </w:rPr>
              <w:t>90004</w:t>
            </w:r>
          </w:p>
        </w:tc>
        <w:tc>
          <w:tcPr>
            <w:tcW w:w="3168" w:type="dxa"/>
            <w:tcMar>
              <w:top w:w="70" w:type="dxa"/>
              <w:left w:w="70" w:type="dxa"/>
              <w:bottom w:w="70" w:type="dxa"/>
              <w:right w:w="70" w:type="dxa"/>
            </w:tcMar>
          </w:tcPr>
          <w:p w:rsidR="000F1385" w:rsidRDefault="00EF3E79">
            <w:r>
              <w:rPr>
                <w:rFonts w:ascii="Times New Roman" w:hAnsi="Times New Roman"/>
                <w:sz w:val="16"/>
              </w:rPr>
              <w:t>Cross-Origin-Embedder-Policy (COEP) Missing</w:t>
            </w:r>
          </w:p>
        </w:tc>
        <w:tc>
          <w:tcPr>
            <w:tcW w:w="1872" w:type="dxa"/>
            <w:tcMar>
              <w:top w:w="70" w:type="dxa"/>
              <w:left w:w="70" w:type="dxa"/>
              <w:bottom w:w="70" w:type="dxa"/>
              <w:right w:w="70" w:type="dxa"/>
            </w:tcMar>
          </w:tcPr>
          <w:p w:rsidR="000F1385" w:rsidRDefault="00EF3E79">
            <w:r>
              <w:rPr>
                <w:rFonts w:ascii="Times New Roman" w:hAnsi="Times New Roman"/>
                <w:sz w:val="16"/>
              </w:rPr>
              <w:t>Low (Informational)</w:t>
            </w:r>
          </w:p>
        </w:tc>
        <w:tc>
          <w:tcPr>
            <w:tcW w:w="3456" w:type="dxa"/>
            <w:tcMar>
              <w:top w:w="70" w:type="dxa"/>
              <w:left w:w="70" w:type="dxa"/>
              <w:bottom w:w="70" w:type="dxa"/>
              <w:right w:w="70" w:type="dxa"/>
            </w:tcMar>
          </w:tcPr>
          <w:p w:rsidR="000F1385" w:rsidRDefault="00EF3E79">
            <w:r>
              <w:rPr>
                <w:rFonts w:ascii="Times New Roman" w:hAnsi="Times New Roman"/>
                <w:sz w:val="15"/>
              </w:rPr>
              <w:t>Accepted, not tested: Cross-origin embedding is restricted by top-level CORS and Docker network boundaries.</w:t>
            </w:r>
          </w:p>
        </w:tc>
      </w:tr>
    </w:tbl>
    <w:p w:rsidR="000F1385" w:rsidRDefault="00EF3E79">
      <w:pPr>
        <w:spacing w:before="80" w:after="160"/>
        <w:jc w:val="center"/>
      </w:pPr>
      <w:r>
        <w:rPr>
          <w:rFonts w:ascii="Times New Roman" w:hAnsi="Times New Roman"/>
          <w:b/>
          <w:color w:val="546E7A"/>
          <w:sz w:val="20"/>
        </w:rPr>
        <w:t xml:space="preserve">Table 4.6: </w:t>
      </w:r>
      <w:r>
        <w:rPr>
          <w:rFonts w:ascii="Times New Roman" w:hAnsi="Times New Roman"/>
          <w:b/>
          <w:color w:val="546E7A"/>
          <w:sz w:val="20"/>
        </w:rPr>
        <w:t>OWASP ZAP Dynamic Security Baseline Scan Dispositions</w:t>
      </w:r>
    </w:p>
    <w:p w:rsidR="000F1385" w:rsidRDefault="00EF3E79">
      <w:pPr>
        <w:spacing w:before="280" w:after="120"/>
      </w:pPr>
      <w:r>
        <w:rPr>
          <w:rFonts w:ascii="Times New Roman" w:hAnsi="Times New Roman"/>
          <w:b/>
          <w:color w:val="1B4F72"/>
          <w:sz w:val="27"/>
        </w:rPr>
        <w:t>4.6 Literature-Linked Discussion &amp; Analysis</w:t>
      </w:r>
    </w:p>
    <w:p w:rsidR="000F1385" w:rsidRDefault="00EF3E79">
      <w:pPr>
        <w:spacing w:after="120" w:line="360" w:lineRule="auto"/>
        <w:jc w:val="both"/>
      </w:pPr>
      <w:r>
        <w:rPr>
          <w:rFonts w:ascii="Times New Roman" w:hAnsi="Times New Roman"/>
          <w:color w:val="212121"/>
          <w:sz w:val="24"/>
        </w:rPr>
        <w:t>The empirical findings obtained across ArogyaMitra provide direct architectural answers to core vulnerabilities documented in clinical and machine learning li</w:t>
      </w:r>
      <w:r>
        <w:rPr>
          <w:rFonts w:ascii="Times New Roman" w:hAnsi="Times New Roman"/>
          <w:color w:val="212121"/>
          <w:sz w:val="24"/>
        </w:rPr>
        <w:t>terature:</w:t>
      </w:r>
    </w:p>
    <w:p w:rsidR="000F1385" w:rsidRDefault="00EF3E79">
      <w:pPr>
        <w:spacing w:after="120" w:line="360" w:lineRule="auto"/>
        <w:jc w:val="both"/>
      </w:pPr>
      <w:r>
        <w:rPr>
          <w:rFonts w:ascii="Times New Roman" w:hAnsi="Times New Roman"/>
          <w:color w:val="212121"/>
          <w:sz w:val="24"/>
        </w:rPr>
        <w:t>1. Overcoming the Swiss-Cheese Failure Model (Wallace et al., 2022 [W]): Wallace et al. cautioned that commercial symptom checkers produce safety hazards when erroneous classification cascades into unsafe triage. In ArogyaMitra, this hazard is el</w:t>
      </w:r>
      <w:r>
        <w:rPr>
          <w:rFonts w:ascii="Times New Roman" w:hAnsi="Times New Roman"/>
          <w:color w:val="212121"/>
          <w:sz w:val="24"/>
        </w:rPr>
        <w:t>iminated by decoupling triage from classification: rule-based red-flag screening operates prior to ML inference, guaranteeing that acute surgical and cardiac emergencies are triaged safely regardless of model confidence.</w:t>
      </w:r>
    </w:p>
    <w:p w:rsidR="000F1385" w:rsidRDefault="00EF3E79">
      <w:pPr>
        <w:spacing w:after="120" w:line="360" w:lineRule="auto"/>
        <w:jc w:val="both"/>
      </w:pPr>
      <w:r>
        <w:rPr>
          <w:rFonts w:ascii="Times New Roman" w:hAnsi="Times New Roman"/>
          <w:color w:val="212121"/>
          <w:sz w:val="24"/>
        </w:rPr>
        <w:t>2. Grounding Classifier Overconfide</w:t>
      </w:r>
      <w:r>
        <w:rPr>
          <w:rFonts w:ascii="Times New Roman" w:hAnsi="Times New Roman"/>
          <w:color w:val="212121"/>
          <w:sz w:val="24"/>
        </w:rPr>
        <w:t>nce (Niculescu-Mizil &amp; Caruana, 2005 [N]): Theoretical literature established that Naive Bayes models push probabilities toward 0 and 1, while post-hoc calibration overfits on scarce clinical cohorts. ArogyaMitra embraces this theoretical reality: discardi</w:t>
      </w:r>
      <w:r>
        <w:rPr>
          <w:rFonts w:ascii="Times New Roman" w:hAnsi="Times New Roman"/>
          <w:color w:val="212121"/>
          <w:sz w:val="24"/>
        </w:rPr>
        <w:t>ng false calibration claims, labeling scores as uncalibrated posterior estimates, and using exact additive log-odds to explain feature attributions to machine precision.</w:t>
      </w:r>
    </w:p>
    <w:p w:rsidR="000F1385" w:rsidRDefault="00EF3E79">
      <w:pPr>
        <w:spacing w:after="240" w:line="360" w:lineRule="auto"/>
        <w:jc w:val="both"/>
      </w:pPr>
      <w:r>
        <w:rPr>
          <w:rFonts w:ascii="Times New Roman" w:hAnsi="Times New Roman"/>
          <w:color w:val="212121"/>
          <w:sz w:val="24"/>
        </w:rPr>
        <w:t>3. Containing LLM Hallucinations (Ji et al., 2023): Generative models frequently fabri</w:t>
      </w:r>
      <w:r>
        <w:rPr>
          <w:rFonts w:ascii="Times New Roman" w:hAnsi="Times New Roman"/>
          <w:color w:val="212121"/>
          <w:sz w:val="24"/>
        </w:rPr>
        <w:t xml:space="preserve">cate clinical claims. By stripping the LLM of diagnostic authority, enforcing strict timeout budgets (10s/20s), and deploying regex confidence filters backed by pre-compiled templates, </w:t>
      </w:r>
      <w:r>
        <w:rPr>
          <w:rFonts w:ascii="Times New Roman" w:hAnsi="Times New Roman"/>
          <w:color w:val="212121"/>
          <w:sz w:val="24"/>
        </w:rPr>
        <w:lastRenderedPageBreak/>
        <w:t>ArogyaMitra demonstrates how modern generative AI can be deployed safel</w:t>
      </w:r>
      <w:r>
        <w:rPr>
          <w:rFonts w:ascii="Times New Roman" w:hAnsi="Times New Roman"/>
          <w:color w:val="212121"/>
          <w:sz w:val="24"/>
        </w:rPr>
        <w:t>y in high-stakes healthcare domains.</w:t>
      </w:r>
    </w:p>
    <w:p w:rsidR="000F1385" w:rsidRDefault="00EF3E79">
      <w:pPr>
        <w:spacing w:before="280" w:after="120"/>
      </w:pPr>
      <w:r>
        <w:rPr>
          <w:rFonts w:ascii="Times New Roman" w:hAnsi="Times New Roman"/>
          <w:b/>
          <w:color w:val="1B4F72"/>
          <w:sz w:val="27"/>
        </w:rPr>
        <w:t>4.7 Limitations &amp; Threats to Validity</w:t>
      </w:r>
    </w:p>
    <w:p w:rsidR="000F1385" w:rsidRDefault="00EF3E79">
      <w:pPr>
        <w:spacing w:after="120" w:line="360" w:lineRule="auto"/>
        <w:jc w:val="both"/>
      </w:pPr>
      <w:r>
        <w:rPr>
          <w:rFonts w:ascii="Times New Roman" w:hAnsi="Times New Roman"/>
          <w:color w:val="212121"/>
          <w:sz w:val="24"/>
        </w:rPr>
        <w:t>A rigorous engineering evaluation requires full disclosure of system boundaries, limitations, and threats to validity:</w:t>
      </w:r>
    </w:p>
    <w:p w:rsidR="000F1385" w:rsidRDefault="00EF3E79">
      <w:pPr>
        <w:spacing w:after="80" w:line="360" w:lineRule="auto"/>
        <w:jc w:val="both"/>
      </w:pPr>
      <w:r>
        <w:rPr>
          <w:rFonts w:ascii="Times New Roman" w:hAnsi="Times New Roman"/>
          <w:color w:val="212121"/>
          <w:sz w:val="24"/>
        </w:rPr>
        <w:t>1. Synthetic Tabular Dataset Limitation: The system was traine</w:t>
      </w:r>
      <w:r>
        <w:rPr>
          <w:rFonts w:ascii="Times New Roman" w:hAnsi="Times New Roman"/>
          <w:color w:val="212121"/>
          <w:sz w:val="24"/>
        </w:rPr>
        <w:t>d and evaluated on synthetic data (304 unique rows across 41 disease classes). It has not been validated on real-world patient records, EHR databases, or multi-morbid clinical cohorts. The true clinical sensitivity on human populations remains unmeasured.</w:t>
      </w:r>
    </w:p>
    <w:p w:rsidR="000F1385" w:rsidRDefault="00EF3E79">
      <w:pPr>
        <w:spacing w:after="80" w:line="360" w:lineRule="auto"/>
        <w:jc w:val="both"/>
      </w:pPr>
      <w:r>
        <w:rPr>
          <w:rFonts w:ascii="Times New Roman" w:hAnsi="Times New Roman"/>
          <w:color w:val="212121"/>
          <w:sz w:val="24"/>
        </w:rPr>
        <w:t>2. Unvalidated Clinical Heuristics: Red-flag screening rules represent DRAFT heuristics (`docs/RED_FLAG_REVIEW.md`). They have not received formal certification from CDSCO or institutional medical ethical boards.</w:t>
      </w:r>
    </w:p>
    <w:p w:rsidR="000F1385" w:rsidRDefault="00EF3E79">
      <w:pPr>
        <w:spacing w:after="80" w:line="360" w:lineRule="auto"/>
        <w:jc w:val="both"/>
      </w:pPr>
      <w:r>
        <w:rPr>
          <w:rFonts w:ascii="Times New Roman" w:hAnsi="Times New Roman"/>
          <w:color w:val="212121"/>
          <w:sz w:val="24"/>
        </w:rPr>
        <w:t>3. Generative Model Nondeterminism: Althoug</w:t>
      </w:r>
      <w:r>
        <w:rPr>
          <w:rFonts w:ascii="Times New Roman" w:hAnsi="Times New Roman"/>
          <w:color w:val="212121"/>
          <w:sz w:val="24"/>
        </w:rPr>
        <w:t>h constrained by temperature=0.0 and regex filters, LLMs are fundamentally non-deterministic and subject to API rate limits (HTTP 429).</w:t>
      </w:r>
    </w:p>
    <w:p w:rsidR="000F1385" w:rsidRDefault="00EF3E79">
      <w:pPr>
        <w:spacing w:after="240" w:line="360" w:lineRule="auto"/>
        <w:jc w:val="both"/>
      </w:pPr>
      <w:r>
        <w:rPr>
          <w:rFonts w:ascii="Times New Roman" w:hAnsi="Times New Roman"/>
          <w:color w:val="212121"/>
          <w:sz w:val="24"/>
        </w:rPr>
        <w:t xml:space="preserve">4. Single-Node Testbed Constraints: Load testing was executed on local virtualized container infrastructure. Real-world </w:t>
      </w:r>
      <w:r>
        <w:rPr>
          <w:rFonts w:ascii="Times New Roman" w:hAnsi="Times New Roman"/>
          <w:color w:val="212121"/>
          <w:sz w:val="24"/>
        </w:rPr>
        <w:t>rural deployment requires multi-region cluster testing under intermittent cellular packet loss.</w:t>
      </w:r>
    </w:p>
    <w:p w:rsidR="000F1385" w:rsidRDefault="00EF3E79">
      <w:r>
        <w:br w:type="page"/>
      </w:r>
    </w:p>
    <w:p w:rsidR="000F1385" w:rsidRDefault="00EF3E79">
      <w:pPr>
        <w:spacing w:before="480" w:after="240"/>
      </w:pPr>
      <w:r>
        <w:rPr>
          <w:rFonts w:ascii="Times New Roman" w:hAnsi="Times New Roman"/>
          <w:b/>
          <w:color w:val="154360"/>
          <w:sz w:val="32"/>
        </w:rPr>
        <w:lastRenderedPageBreak/>
        <w:t>Chapter 5: Conclusion &amp; Future Scope</w:t>
      </w:r>
    </w:p>
    <w:p w:rsidR="000F1385" w:rsidRDefault="00EF3E79">
      <w:pPr>
        <w:spacing w:before="280" w:after="120"/>
      </w:pPr>
      <w:r>
        <w:rPr>
          <w:rFonts w:ascii="Times New Roman" w:hAnsi="Times New Roman"/>
          <w:b/>
          <w:color w:val="1B4F72"/>
          <w:sz w:val="27"/>
        </w:rPr>
        <w:t>5.1 Project Summary &amp; Achievements</w:t>
      </w:r>
    </w:p>
    <w:p w:rsidR="000F1385" w:rsidRDefault="00EF3E79">
      <w:pPr>
        <w:spacing w:after="120" w:line="360" w:lineRule="auto"/>
        <w:jc w:val="both"/>
      </w:pPr>
      <w:r>
        <w:rPr>
          <w:rFonts w:ascii="Times New Roman" w:hAnsi="Times New Roman"/>
          <w:color w:val="212121"/>
          <w:sz w:val="24"/>
        </w:rPr>
        <w:t xml:space="preserve">The ArogyaMitra project successfully engineered and validated an auditable, </w:t>
      </w:r>
      <w:r>
        <w:rPr>
          <w:rFonts w:ascii="Times New Roman" w:hAnsi="Times New Roman"/>
          <w:color w:val="212121"/>
          <w:sz w:val="24"/>
        </w:rPr>
        <w:t>explainable, and fail-closed AI-assisted clinical decision support system tailored specifically for community health workers in resource-constrained rural environments. By confronting the systemic pitfalls documented in contemporary medical literature—spec</w:t>
      </w:r>
      <w:r>
        <w:rPr>
          <w:rFonts w:ascii="Times New Roman" w:hAnsi="Times New Roman"/>
          <w:color w:val="212121"/>
          <w:sz w:val="24"/>
        </w:rPr>
        <w:t>ifically diagnostic inaccuracy and safety hazards in consumer symptom checkers (Wallace et al., 2022 [W]), and probability distortion in Naive Bayes classifiers (Niculescu-Mizil &amp; Caruana, 2005 [N])—the project achieved several key engineering milestones:</w:t>
      </w:r>
    </w:p>
    <w:p w:rsidR="000F1385" w:rsidRDefault="00EF3E79">
      <w:pPr>
        <w:spacing w:after="80" w:line="360" w:lineRule="auto"/>
        <w:jc w:val="both"/>
      </w:pPr>
      <w:r>
        <w:rPr>
          <w:rFonts w:ascii="Times New Roman" w:hAnsi="Times New Roman"/>
          <w:color w:val="212121"/>
          <w:sz w:val="24"/>
        </w:rPr>
        <w:t>1. Deduplicated Baseline Benchmark: Uncovered and eliminated a 93.8% synthetic duplication artifact in raw public clinical datasets, establishing an uncontaminated 304-row benchmark across 41 disease classes and 131 symptoms.</w:t>
      </w:r>
    </w:p>
    <w:p w:rsidR="000F1385" w:rsidRDefault="00EF3E79">
      <w:pPr>
        <w:spacing w:after="80" w:line="360" w:lineRule="auto"/>
        <w:jc w:val="both"/>
      </w:pPr>
      <w:r>
        <w:rPr>
          <w:rFonts w:ascii="Times New Roman" w:hAnsi="Times New Roman"/>
          <w:color w:val="212121"/>
          <w:sz w:val="24"/>
        </w:rPr>
        <w:t>2. Robust Bayesian Inference E</w:t>
      </w:r>
      <w:r>
        <w:rPr>
          <w:rFonts w:ascii="Times New Roman" w:hAnsi="Times New Roman"/>
          <w:color w:val="212121"/>
          <w:sz w:val="24"/>
        </w:rPr>
        <w:t>ngine: Demonstrated that stateless Bernoulli Naive Bayes significantly outperforms tuned gradient-boosted decision trees under symptom dropout (0.919 accuracy vs 0.683 for LightGBM at 50% missing data) while executing in 1.8 milliseconds.</w:t>
      </w:r>
    </w:p>
    <w:p w:rsidR="000F1385" w:rsidRDefault="00EF3E79">
      <w:pPr>
        <w:spacing w:after="80" w:line="360" w:lineRule="auto"/>
        <w:jc w:val="both"/>
      </w:pPr>
      <w:r>
        <w:rPr>
          <w:rFonts w:ascii="Times New Roman" w:hAnsi="Times New Roman"/>
          <w:color w:val="212121"/>
          <w:sz w:val="24"/>
        </w:rPr>
        <w:t>3. Closed-Form Ad</w:t>
      </w:r>
      <w:r>
        <w:rPr>
          <w:rFonts w:ascii="Times New Roman" w:hAnsi="Times New Roman"/>
          <w:color w:val="212121"/>
          <w:sz w:val="24"/>
        </w:rPr>
        <w:t>ditive Feature Attribution: Derived exact mathematical log-odds symptom attributions satisfying Shapley efficiency to machine precision (&lt; 1e-10) without stochastic sampling.</w:t>
      </w:r>
    </w:p>
    <w:p w:rsidR="000F1385" w:rsidRDefault="00EF3E79">
      <w:pPr>
        <w:spacing w:after="80" w:line="360" w:lineRule="auto"/>
        <w:jc w:val="both"/>
      </w:pPr>
      <w:r>
        <w:rPr>
          <w:rFonts w:ascii="Times New Roman" w:hAnsi="Times New Roman"/>
          <w:color w:val="212121"/>
          <w:sz w:val="24"/>
        </w:rPr>
        <w:t>4. Fail-Closed Clinical Safety Architecture: Decoupled emergency triage from stat</w:t>
      </w:r>
      <w:r>
        <w:rPr>
          <w:rFonts w:ascii="Times New Roman" w:hAnsi="Times New Roman"/>
          <w:color w:val="212121"/>
          <w:sz w:val="24"/>
        </w:rPr>
        <w:t xml:space="preserve">istical classification via deterministic red-flag overrides; isolated the LLM narrative layer behind 10s/20s timeout caps and whole-phrase confidence filters backed by pre-compiled templates; and eliminated all mock fallbacks in favor of explicit HTTP 503 </w:t>
      </w:r>
      <w:r>
        <w:rPr>
          <w:rFonts w:ascii="Times New Roman" w:hAnsi="Times New Roman"/>
          <w:color w:val="212121"/>
          <w:sz w:val="24"/>
        </w:rPr>
        <w:t>error states.</w:t>
      </w:r>
    </w:p>
    <w:p w:rsidR="000F1385" w:rsidRDefault="00EF3E79">
      <w:pPr>
        <w:spacing w:line="360" w:lineRule="auto"/>
        <w:jc w:val="both"/>
      </w:pPr>
      <w:r>
        <w:rPr>
          <w:rFonts w:ascii="Times New Roman" w:hAnsi="Times New Roman"/>
          <w:color w:val="212121"/>
          <w:sz w:val="24"/>
        </w:rPr>
        <w:t>5. Audited Defense-in-Depth Security &amp; Concurrency: Implemented TLS 1.3, Argon2id password hashing, AES-256-GCM field-level encryption, optimistic concurrency controls (`__v`), and verified zero fixable High container vulnerabilities under Tr</w:t>
      </w:r>
      <w:r>
        <w:rPr>
          <w:rFonts w:ascii="Times New Roman" w:hAnsi="Times New Roman"/>
          <w:color w:val="212121"/>
          <w:sz w:val="24"/>
        </w:rPr>
        <w:t>ivy and 100% clean passes across 321 automated tests.</w:t>
      </w:r>
    </w:p>
    <w:p w:rsidR="000F1385" w:rsidRDefault="00EF3E79">
      <w:pPr>
        <w:spacing w:before="280" w:after="120"/>
      </w:pPr>
      <w:r>
        <w:rPr>
          <w:rFonts w:ascii="Times New Roman" w:hAnsi="Times New Roman"/>
          <w:b/>
          <w:color w:val="1B4F72"/>
          <w:sz w:val="27"/>
        </w:rPr>
        <w:t>5.2 Lessons Learned &amp; Engineering Insights</w:t>
      </w:r>
    </w:p>
    <w:p w:rsidR="000F1385" w:rsidRDefault="00EF3E79">
      <w:pPr>
        <w:spacing w:after="120" w:line="360" w:lineRule="auto"/>
        <w:jc w:val="both"/>
      </w:pPr>
      <w:r>
        <w:rPr>
          <w:rFonts w:ascii="Times New Roman" w:hAnsi="Times New Roman"/>
          <w:color w:val="212121"/>
          <w:sz w:val="24"/>
        </w:rPr>
        <w:lastRenderedPageBreak/>
        <w:t>The iterative design and remediation of ArogyaMitra yielded profound software engineering and machine learning insights:</w:t>
      </w:r>
    </w:p>
    <w:p w:rsidR="000F1385" w:rsidRDefault="00EF3E79">
      <w:pPr>
        <w:spacing w:after="120" w:line="360" w:lineRule="auto"/>
        <w:jc w:val="both"/>
      </w:pPr>
      <w:r>
        <w:rPr>
          <w:rFonts w:ascii="Times New Roman" w:hAnsi="Times New Roman"/>
          <w:color w:val="212121"/>
          <w:sz w:val="24"/>
        </w:rPr>
        <w:t>1. The Danger of Silent Fallback Mocks</w:t>
      </w:r>
      <w:r>
        <w:rPr>
          <w:rFonts w:ascii="Times New Roman" w:hAnsi="Times New Roman"/>
          <w:color w:val="212121"/>
          <w:sz w:val="24"/>
        </w:rPr>
        <w:t xml:space="preserve">: In software engineering tutorials, falling back to mock data on network error is common practice. In clinical healthcare, however, returning canned mock predictions on an ML outage is catastrophic. Designing for fail-closed behavior—explicitly signaling </w:t>
      </w:r>
      <w:r>
        <w:rPr>
          <w:rFonts w:ascii="Times New Roman" w:hAnsi="Times New Roman"/>
          <w:color w:val="212121"/>
          <w:sz w:val="24"/>
        </w:rPr>
        <w:t>unavailability and halting unsafe automation—is an absolute prerequisite for medical software.</w:t>
      </w:r>
    </w:p>
    <w:p w:rsidR="000F1385" w:rsidRDefault="00EF3E79">
      <w:pPr>
        <w:spacing w:after="120" w:line="360" w:lineRule="auto"/>
        <w:jc w:val="both"/>
      </w:pPr>
      <w:r>
        <w:rPr>
          <w:rFonts w:ascii="Times New Roman" w:hAnsi="Times New Roman"/>
          <w:color w:val="212121"/>
          <w:sz w:val="24"/>
        </w:rPr>
        <w:t>2. Empirical Humility Regarding Model Calibration: Machine learning practitioners often treat classifier probabilities as genuine clinical likelihoods. Verifying</w:t>
      </w:r>
      <w:r>
        <w:rPr>
          <w:rFonts w:ascii="Times New Roman" w:hAnsi="Times New Roman"/>
          <w:color w:val="212121"/>
          <w:sz w:val="24"/>
        </w:rPr>
        <w:t xml:space="preserve"> that Platt scaling degraded log loss on small clinical samples reinforced the vital lesson that uncalibrated model scores must never masquerade as diagnostic certainties.</w:t>
      </w:r>
    </w:p>
    <w:p w:rsidR="000F1385" w:rsidRDefault="00EF3E79">
      <w:pPr>
        <w:spacing w:after="240" w:line="360" w:lineRule="auto"/>
        <w:jc w:val="both"/>
      </w:pPr>
      <w:r>
        <w:rPr>
          <w:rFonts w:ascii="Times New Roman" w:hAnsi="Times New Roman"/>
          <w:color w:val="212121"/>
          <w:sz w:val="24"/>
        </w:rPr>
        <w:t>3. Profiling Over Intuition: A full collection scan on worker consultation history i</w:t>
      </w:r>
      <w:r>
        <w:rPr>
          <w:rFonts w:ascii="Times New Roman" w:hAnsi="Times New Roman"/>
          <w:color w:val="212121"/>
          <w:sz w:val="24"/>
        </w:rPr>
        <w:t>nitially introduced a 783 ms bottleneck. Methodical profiling revealed the exact root cause, and simple database indexing combined with server-side pagination yielded a 60.5% latency reduction, outperforming premature caching.</w:t>
      </w:r>
    </w:p>
    <w:p w:rsidR="000F1385" w:rsidRDefault="00EF3E79">
      <w:pPr>
        <w:spacing w:before="280" w:after="120"/>
      </w:pPr>
      <w:r>
        <w:rPr>
          <w:rFonts w:ascii="Times New Roman" w:hAnsi="Times New Roman"/>
          <w:b/>
          <w:color w:val="1B4F72"/>
          <w:sz w:val="27"/>
        </w:rPr>
        <w:t>5.3 Future Work &amp; Roadmap</w:t>
      </w:r>
    </w:p>
    <w:p w:rsidR="000F1385" w:rsidRDefault="00EF3E79">
      <w:pPr>
        <w:spacing w:after="120" w:line="360" w:lineRule="auto"/>
        <w:jc w:val="both"/>
      </w:pPr>
      <w:r>
        <w:rPr>
          <w:rFonts w:ascii="Times New Roman" w:hAnsi="Times New Roman"/>
          <w:color w:val="212121"/>
          <w:sz w:val="24"/>
        </w:rPr>
        <w:t>Whi</w:t>
      </w:r>
      <w:r>
        <w:rPr>
          <w:rFonts w:ascii="Times New Roman" w:hAnsi="Times New Roman"/>
          <w:color w:val="212121"/>
          <w:sz w:val="24"/>
        </w:rPr>
        <w:t>le ArogyaMitra establishes a robust foundation for primary healthcare decision support, several key milestones remain for future clinical transition:</w:t>
      </w:r>
    </w:p>
    <w:p w:rsidR="000F1385" w:rsidRDefault="00EF3E79">
      <w:pPr>
        <w:spacing w:after="80" w:line="360" w:lineRule="auto"/>
        <w:jc w:val="both"/>
      </w:pPr>
      <w:r>
        <w:rPr>
          <w:rFonts w:ascii="Times New Roman" w:hAnsi="Times New Roman"/>
          <w:color w:val="212121"/>
          <w:sz w:val="24"/>
        </w:rPr>
        <w:t>1. Multi-Centric Prospective Clinical Pilot: Conduct observational clinical pilots across rural Health and</w:t>
      </w:r>
      <w:r>
        <w:rPr>
          <w:rFonts w:ascii="Times New Roman" w:hAnsi="Times New Roman"/>
          <w:color w:val="212121"/>
          <w:sz w:val="24"/>
        </w:rPr>
        <w:t xml:space="preserve"> Wellness Centres in Maharashtra, evaluating concordance between ASHA worker decision support recommendations and attending Medical Officer diagnoses.</w:t>
      </w:r>
    </w:p>
    <w:p w:rsidR="000F1385" w:rsidRDefault="00EF3E79">
      <w:pPr>
        <w:spacing w:after="80" w:line="360" w:lineRule="auto"/>
        <w:jc w:val="both"/>
      </w:pPr>
      <w:r>
        <w:rPr>
          <w:rFonts w:ascii="Times New Roman" w:hAnsi="Times New Roman"/>
          <w:color w:val="212121"/>
          <w:sz w:val="24"/>
        </w:rPr>
        <w:t>2. Integration with ABHA &amp; Ayushman Bharat Ecosystem: Implement standardized HL7 FHIR interfaces to enabl</w:t>
      </w:r>
      <w:r>
        <w:rPr>
          <w:rFonts w:ascii="Times New Roman" w:hAnsi="Times New Roman"/>
          <w:color w:val="212121"/>
          <w:sz w:val="24"/>
        </w:rPr>
        <w:t>e seamless bidirectional synchronization with the Ayushman Bharat Digital Mission (ABDM) electronic health records.</w:t>
      </w:r>
    </w:p>
    <w:p w:rsidR="000F1385" w:rsidRDefault="00EF3E79">
      <w:pPr>
        <w:spacing w:after="80" w:line="360" w:lineRule="auto"/>
        <w:jc w:val="both"/>
      </w:pPr>
      <w:r>
        <w:rPr>
          <w:rFonts w:ascii="Times New Roman" w:hAnsi="Times New Roman"/>
          <w:color w:val="212121"/>
          <w:sz w:val="24"/>
        </w:rPr>
        <w:t>3. Multi-Modal Diagnostic Ingestion: Extend the Bayesian feature vector to ingest continuous vital streams (SpO2, pulse rate, automated non-</w:t>
      </w:r>
      <w:r>
        <w:rPr>
          <w:rFonts w:ascii="Times New Roman" w:hAnsi="Times New Roman"/>
          <w:color w:val="212121"/>
          <w:sz w:val="24"/>
        </w:rPr>
        <w:t>invasive blood pressure) and point-of-care rapid diagnostic strip images (e.g., malaria RDTs).</w:t>
      </w:r>
    </w:p>
    <w:p w:rsidR="000F1385" w:rsidRDefault="00EF3E79">
      <w:pPr>
        <w:spacing w:after="240" w:line="360" w:lineRule="auto"/>
        <w:jc w:val="both"/>
      </w:pPr>
      <w:r>
        <w:rPr>
          <w:rFonts w:ascii="Times New Roman" w:hAnsi="Times New Roman"/>
          <w:color w:val="212121"/>
          <w:sz w:val="24"/>
        </w:rPr>
        <w:lastRenderedPageBreak/>
        <w:t>4. Non-Parametric Calibration on Clinical Cohorts: When genuine multi-thousand patient cohorts become available, train non-parametric calibration maps (such as b</w:t>
      </w:r>
      <w:r>
        <w:rPr>
          <w:rFonts w:ascii="Times New Roman" w:hAnsi="Times New Roman"/>
          <w:color w:val="212121"/>
          <w:sz w:val="24"/>
        </w:rPr>
        <w:t>eta calibration or Venn-Abers predictors) to deliver formally calibrated probabilistic risk intervals.</w:t>
      </w:r>
    </w:p>
    <w:p w:rsidR="000F1385" w:rsidRDefault="00EF3E79">
      <w:r>
        <w:br w:type="page"/>
      </w:r>
    </w:p>
    <w:p w:rsidR="000F1385" w:rsidRDefault="00EF3E79">
      <w:pPr>
        <w:spacing w:before="480" w:after="240"/>
      </w:pPr>
      <w:r>
        <w:rPr>
          <w:rFonts w:ascii="Times New Roman" w:hAnsi="Times New Roman"/>
          <w:b/>
          <w:color w:val="154360"/>
          <w:sz w:val="32"/>
        </w:rPr>
        <w:lastRenderedPageBreak/>
        <w:t>References</w:t>
      </w:r>
    </w:p>
    <w:p w:rsidR="000F1385" w:rsidRDefault="00EF3E79">
      <w:pPr>
        <w:spacing w:before="60" w:after="120"/>
        <w:jc w:val="both"/>
      </w:pPr>
      <w:r>
        <w:rPr>
          <w:rFonts w:ascii="Times New Roman" w:hAnsi="Times New Roman"/>
          <w:b/>
          <w:color w:val="154360"/>
          <w:sz w:val="20"/>
        </w:rPr>
        <w:t xml:space="preserve">[1] </w:t>
      </w:r>
      <w:r>
        <w:rPr>
          <w:rFonts w:ascii="Times New Roman" w:hAnsi="Times New Roman"/>
          <w:sz w:val="20"/>
        </w:rPr>
        <w:t xml:space="preserve">Wallace, W., Chan, C., Chidambaram, S., et al. (2022). The diagnostic and triage accuracy of digital symptom checkers and their </w:t>
      </w:r>
      <w:r>
        <w:rPr>
          <w:rFonts w:ascii="Times New Roman" w:hAnsi="Times New Roman"/>
          <w:sz w:val="20"/>
        </w:rPr>
        <w:t>potential to provide safe triage: A systematic review and meta-analysis. npj Digital Medicine, 5(1), 177. https://doi.org/10.1038/s41746-022-00713-1</w:t>
      </w:r>
    </w:p>
    <w:p w:rsidR="000F1385" w:rsidRDefault="00EF3E79">
      <w:pPr>
        <w:spacing w:before="60" w:after="120"/>
        <w:jc w:val="both"/>
      </w:pPr>
      <w:r>
        <w:rPr>
          <w:rFonts w:ascii="Times New Roman" w:hAnsi="Times New Roman"/>
          <w:b/>
          <w:color w:val="154360"/>
          <w:sz w:val="20"/>
        </w:rPr>
        <w:t xml:space="preserve">[2] </w:t>
      </w:r>
      <w:r>
        <w:rPr>
          <w:rFonts w:ascii="Times New Roman" w:hAnsi="Times New Roman"/>
          <w:sz w:val="20"/>
        </w:rPr>
        <w:t>Niculescu-Mizil, A., &amp; Caruana, R. (2005). Predicting good probabilities with supervised learning. In P</w:t>
      </w:r>
      <w:r>
        <w:rPr>
          <w:rFonts w:ascii="Times New Roman" w:hAnsi="Times New Roman"/>
          <w:sz w:val="20"/>
        </w:rPr>
        <w:t>roceedings of the 22nd International Conference on Machine Learning (ICML '05), pp. 625–632. ACM. https://doi.org/10.1145/1102351.1102430</w:t>
      </w:r>
    </w:p>
    <w:p w:rsidR="000F1385" w:rsidRDefault="00EF3E79">
      <w:pPr>
        <w:spacing w:before="60" w:after="120"/>
        <w:jc w:val="both"/>
      </w:pPr>
      <w:r>
        <w:rPr>
          <w:rFonts w:ascii="Times New Roman" w:hAnsi="Times New Roman"/>
          <w:b/>
          <w:color w:val="154360"/>
          <w:sz w:val="20"/>
        </w:rPr>
        <w:t xml:space="preserve">[3] </w:t>
      </w:r>
      <w:r>
        <w:rPr>
          <w:rFonts w:ascii="Times New Roman" w:hAnsi="Times New Roman"/>
          <w:sz w:val="20"/>
        </w:rPr>
        <w:t>Domingos, P., &amp; Pazzani, M. (1997). On the optimality of the simple Bayesian classifier under zero-one loss. Machi</w:t>
      </w:r>
      <w:r>
        <w:rPr>
          <w:rFonts w:ascii="Times New Roman" w:hAnsi="Times New Roman"/>
          <w:sz w:val="20"/>
        </w:rPr>
        <w:t>ne Learning, 29(2), 103–130. https://doi.org/10.1023/A:1007413511361</w:t>
      </w:r>
    </w:p>
    <w:p w:rsidR="000F1385" w:rsidRDefault="00EF3E79">
      <w:pPr>
        <w:spacing w:before="60" w:after="120"/>
        <w:jc w:val="both"/>
      </w:pPr>
      <w:r>
        <w:rPr>
          <w:rFonts w:ascii="Times New Roman" w:hAnsi="Times New Roman"/>
          <w:b/>
          <w:color w:val="154360"/>
          <w:sz w:val="20"/>
        </w:rPr>
        <w:t xml:space="preserve">[4] </w:t>
      </w:r>
      <w:r>
        <w:rPr>
          <w:rFonts w:ascii="Times New Roman" w:hAnsi="Times New Roman"/>
          <w:sz w:val="20"/>
        </w:rPr>
        <w:t>Ke, G., Meng, Q., Finley, T., Wang, T., Chen, W., Ma, W., Ye, Q., &amp; Liu, T. Y. (2017). LightGBM: A highly efficient gradient boosting decision tree. Advances in Neural Information Pro</w:t>
      </w:r>
      <w:r>
        <w:rPr>
          <w:rFonts w:ascii="Times New Roman" w:hAnsi="Times New Roman"/>
          <w:sz w:val="20"/>
        </w:rPr>
        <w:t>cessing Systems (NeurIPS 2017), 30, 3146–3154.</w:t>
      </w:r>
    </w:p>
    <w:p w:rsidR="000F1385" w:rsidRDefault="00EF3E79">
      <w:pPr>
        <w:spacing w:before="60" w:after="120"/>
        <w:jc w:val="both"/>
      </w:pPr>
      <w:r>
        <w:rPr>
          <w:rFonts w:ascii="Times New Roman" w:hAnsi="Times New Roman"/>
          <w:b/>
          <w:color w:val="154360"/>
          <w:sz w:val="20"/>
        </w:rPr>
        <w:t xml:space="preserve">[5] </w:t>
      </w:r>
      <w:r>
        <w:rPr>
          <w:rFonts w:ascii="Times New Roman" w:hAnsi="Times New Roman"/>
          <w:sz w:val="20"/>
        </w:rPr>
        <w:t>Ribeiro, M. T., Singh, S., &amp; Guestrin, C. (2016). "Why should I trust you?": Explaining the predictions of any classifier. In Proceedings of the 22nd ACM SIGKDD International Conference on Knowledge Discov</w:t>
      </w:r>
      <w:r>
        <w:rPr>
          <w:rFonts w:ascii="Times New Roman" w:hAnsi="Times New Roman"/>
          <w:sz w:val="20"/>
        </w:rPr>
        <w:t>ery and Data Mining (KDD '16), pp. 1135–1144. ACM. https://doi.org/10.1145/2939672.2939778</w:t>
      </w:r>
    </w:p>
    <w:p w:rsidR="000F1385" w:rsidRDefault="00EF3E79">
      <w:pPr>
        <w:spacing w:before="60" w:after="120"/>
        <w:jc w:val="both"/>
      </w:pPr>
      <w:r>
        <w:rPr>
          <w:rFonts w:ascii="Times New Roman" w:hAnsi="Times New Roman"/>
          <w:b/>
          <w:color w:val="154360"/>
          <w:sz w:val="20"/>
        </w:rPr>
        <w:t xml:space="preserve">[6] </w:t>
      </w:r>
      <w:r>
        <w:rPr>
          <w:rFonts w:ascii="Times New Roman" w:hAnsi="Times New Roman"/>
          <w:sz w:val="20"/>
        </w:rPr>
        <w:t>Lundberg, S. M., &amp; Lee, S. I. (2017). A unified approach to interpreting model predictions. Advances in Neural Information Processing Systems (NeurIPS 2017), 30,</w:t>
      </w:r>
      <w:r>
        <w:rPr>
          <w:rFonts w:ascii="Times New Roman" w:hAnsi="Times New Roman"/>
          <w:sz w:val="20"/>
        </w:rPr>
        <w:t xml:space="preserve"> 4765–4774.</w:t>
      </w:r>
    </w:p>
    <w:p w:rsidR="000F1385" w:rsidRDefault="00EF3E79">
      <w:pPr>
        <w:spacing w:before="60" w:after="120"/>
        <w:jc w:val="both"/>
      </w:pPr>
      <w:r>
        <w:rPr>
          <w:rFonts w:ascii="Times New Roman" w:hAnsi="Times New Roman"/>
          <w:b/>
          <w:color w:val="154360"/>
          <w:sz w:val="20"/>
        </w:rPr>
        <w:t xml:space="preserve">[7] </w:t>
      </w:r>
      <w:r>
        <w:rPr>
          <w:rFonts w:ascii="Times New Roman" w:hAnsi="Times New Roman"/>
          <w:sz w:val="20"/>
        </w:rPr>
        <w:t>Ji, Z., Lee, N., Frieske, R., Yu, T., Su, D., Yan, Y., Ishii, E., Bang, Y. J., Madotto, A., &amp; Fung, P. (2023). Survey of hallucination in natural language generation. ACM Computing Surveys, 55(12), 1–38. https://doi.org/10.1145/3571730</w:t>
      </w:r>
    </w:p>
    <w:p w:rsidR="000F1385" w:rsidRDefault="00EF3E79">
      <w:pPr>
        <w:spacing w:before="60" w:after="120"/>
        <w:jc w:val="both"/>
      </w:pPr>
      <w:r>
        <w:rPr>
          <w:rFonts w:ascii="Times New Roman" w:hAnsi="Times New Roman"/>
          <w:b/>
          <w:color w:val="154360"/>
          <w:sz w:val="20"/>
        </w:rPr>
        <w:t xml:space="preserve">[8] </w:t>
      </w:r>
      <w:r>
        <w:rPr>
          <w:rFonts w:ascii="Times New Roman" w:hAnsi="Times New Roman"/>
          <w:sz w:val="20"/>
        </w:rPr>
        <w:t>Singhal, K., Azizi, S., Tu, T., Mahdavi, S. S., Wei, J., Chung, H. W., Nathan, S., Gaurav, A., Schmidt, V., Le, Q., et al. (2023). Large language models encode clinical knowledge. Nature, 620(7972), 172–180. https://doi.org/10.1038/s41586-023-06291-2</w:t>
      </w:r>
    </w:p>
    <w:p w:rsidR="000F1385" w:rsidRDefault="00EF3E79">
      <w:pPr>
        <w:spacing w:before="60" w:after="120"/>
        <w:jc w:val="both"/>
      </w:pPr>
      <w:r>
        <w:rPr>
          <w:rFonts w:ascii="Times New Roman" w:hAnsi="Times New Roman"/>
          <w:b/>
          <w:color w:val="154360"/>
          <w:sz w:val="20"/>
        </w:rPr>
        <w:t xml:space="preserve">[9] </w:t>
      </w:r>
      <w:r>
        <w:rPr>
          <w:rFonts w:ascii="Times New Roman" w:hAnsi="Times New Roman"/>
          <w:sz w:val="20"/>
        </w:rPr>
        <w:t>B</w:t>
      </w:r>
      <w:r>
        <w:rPr>
          <w:rFonts w:ascii="Times New Roman" w:hAnsi="Times New Roman"/>
          <w:sz w:val="20"/>
        </w:rPr>
        <w:t>iryukov, A., Dinu, D., &amp; Khovratovich, D. (2016). Argon2: New generation of memory-hard functions for password hashing and other applications. In 2016 IEEE European Symposium on Security and Privacy (EuroS&amp;P), pp. 292–302. IEEE. https://doi.org/10.1109/Eur</w:t>
      </w:r>
      <w:r>
        <w:rPr>
          <w:rFonts w:ascii="Times New Roman" w:hAnsi="Times New Roman"/>
          <w:sz w:val="20"/>
        </w:rPr>
        <w:t>oSP.2016.31</w:t>
      </w:r>
    </w:p>
    <w:p w:rsidR="000F1385" w:rsidRDefault="00EF3E79">
      <w:pPr>
        <w:spacing w:before="60" w:after="120"/>
        <w:jc w:val="both"/>
      </w:pPr>
      <w:r>
        <w:rPr>
          <w:rFonts w:ascii="Times New Roman" w:hAnsi="Times New Roman"/>
          <w:b/>
          <w:color w:val="154360"/>
          <w:sz w:val="20"/>
        </w:rPr>
        <w:t xml:space="preserve">[10] </w:t>
      </w:r>
      <w:r>
        <w:rPr>
          <w:rFonts w:ascii="Times New Roman" w:hAnsi="Times New Roman"/>
          <w:sz w:val="20"/>
        </w:rPr>
        <w:t>Kung, H. T., &amp; Robinson, J. T. (1981). On optimistic methods for concurrency control. ACM Transactions on Database Systems (TODS), 6(2), 213–226. https://doi.org/10.1145/319566.319567</w:t>
      </w:r>
    </w:p>
    <w:p w:rsidR="000F1385" w:rsidRDefault="00EF3E79">
      <w:pPr>
        <w:spacing w:before="60" w:after="120"/>
        <w:jc w:val="both"/>
      </w:pPr>
      <w:r>
        <w:rPr>
          <w:rFonts w:ascii="Times New Roman" w:hAnsi="Times New Roman"/>
          <w:b/>
          <w:color w:val="154360"/>
          <w:sz w:val="20"/>
        </w:rPr>
        <w:t xml:space="preserve">[11] </w:t>
      </w:r>
      <w:r>
        <w:rPr>
          <w:rFonts w:ascii="Times New Roman" w:hAnsi="Times New Roman"/>
          <w:sz w:val="20"/>
        </w:rPr>
        <w:t xml:space="preserve">Ministry of Law and Justice, Government of India. </w:t>
      </w:r>
      <w:r>
        <w:rPr>
          <w:rFonts w:ascii="Times New Roman" w:hAnsi="Times New Roman"/>
          <w:sz w:val="20"/>
        </w:rPr>
        <w:t>(2023). The Digital Personal Data Protection Act, 2023 (Act No. 22 of 2023). The Gazette of India, Extraordinary, Part II—Section 1.</w:t>
      </w:r>
    </w:p>
    <w:p w:rsidR="000F1385" w:rsidRDefault="00EF3E79">
      <w:pPr>
        <w:spacing w:before="60" w:after="120"/>
        <w:jc w:val="both"/>
      </w:pPr>
      <w:r>
        <w:rPr>
          <w:rFonts w:ascii="Times New Roman" w:hAnsi="Times New Roman"/>
          <w:b/>
          <w:color w:val="154360"/>
          <w:sz w:val="20"/>
        </w:rPr>
        <w:t xml:space="preserve">[12] </w:t>
      </w:r>
      <w:r>
        <w:rPr>
          <w:rFonts w:ascii="Times New Roman" w:hAnsi="Times New Roman"/>
          <w:sz w:val="20"/>
        </w:rPr>
        <w:t>World Health Organization. (2021). Ethics and governance of artificial intelligence for health: WHO guidance. World He</w:t>
      </w:r>
      <w:r>
        <w:rPr>
          <w:rFonts w:ascii="Times New Roman" w:hAnsi="Times New Roman"/>
          <w:sz w:val="20"/>
        </w:rPr>
        <w:t>alth Organization. ISBN: 978-92-4-002920-0.</w:t>
      </w:r>
    </w:p>
    <w:p w:rsidR="000F1385" w:rsidRDefault="00EF3E79">
      <w:pPr>
        <w:spacing w:before="60" w:after="120"/>
        <w:jc w:val="both"/>
      </w:pPr>
      <w:r>
        <w:rPr>
          <w:rFonts w:ascii="Times New Roman" w:hAnsi="Times New Roman"/>
          <w:b/>
          <w:color w:val="154360"/>
          <w:sz w:val="20"/>
        </w:rPr>
        <w:t xml:space="preserve">[13] </w:t>
      </w:r>
      <w:r>
        <w:rPr>
          <w:rFonts w:ascii="Times New Roman" w:hAnsi="Times New Roman"/>
          <w:sz w:val="20"/>
        </w:rPr>
        <w:t>Indian Council of Medical Research. (2023). Ethical guidelines for application of artificial intelligence in biomedical research and healthcare. ICMR, New Delhi, India.</w:t>
      </w:r>
    </w:p>
    <w:p w:rsidR="000F1385" w:rsidRDefault="00EF3E79">
      <w:pPr>
        <w:spacing w:before="60" w:after="120"/>
        <w:jc w:val="both"/>
      </w:pPr>
      <w:r>
        <w:rPr>
          <w:rFonts w:ascii="Times New Roman" w:hAnsi="Times New Roman"/>
          <w:b/>
          <w:color w:val="154360"/>
          <w:sz w:val="20"/>
        </w:rPr>
        <w:t xml:space="preserve">[14] </w:t>
      </w:r>
      <w:r>
        <w:rPr>
          <w:rFonts w:ascii="Times New Roman" w:hAnsi="Times New Roman"/>
          <w:sz w:val="20"/>
        </w:rPr>
        <w:t>OWASP Foundation. (2021). OWASP T</w:t>
      </w:r>
      <w:r>
        <w:rPr>
          <w:rFonts w:ascii="Times New Roman" w:hAnsi="Times New Roman"/>
          <w:sz w:val="20"/>
        </w:rPr>
        <w:t>op 10:2021 The Ten Most Critical Web Application Security Risks. https://owasp.org/Top10/</w:t>
      </w:r>
    </w:p>
    <w:p w:rsidR="000F1385" w:rsidRDefault="00EF3E79">
      <w:pPr>
        <w:spacing w:before="60" w:after="120"/>
        <w:jc w:val="both"/>
      </w:pPr>
      <w:r>
        <w:rPr>
          <w:rFonts w:ascii="Times New Roman" w:hAnsi="Times New Roman"/>
          <w:b/>
          <w:color w:val="154360"/>
          <w:sz w:val="20"/>
        </w:rPr>
        <w:t xml:space="preserve">[15] </w:t>
      </w:r>
      <w:r>
        <w:rPr>
          <w:rFonts w:ascii="Times New Roman" w:hAnsi="Times New Roman"/>
          <w:sz w:val="20"/>
        </w:rPr>
        <w:t xml:space="preserve">Dworkin, M. (2007). Recommendation for block cipher modes of operation: Galois/Counter Mode (GCM) and GMAC. NIST Special Publication 800-38D, National Institute </w:t>
      </w:r>
      <w:r>
        <w:rPr>
          <w:rFonts w:ascii="Times New Roman" w:hAnsi="Times New Roman"/>
          <w:sz w:val="20"/>
        </w:rPr>
        <w:t>of Standards and Technology, Gaithersburg, MD.</w:t>
      </w:r>
    </w:p>
    <w:p w:rsidR="000F1385" w:rsidRDefault="00EF3E79">
      <w:r>
        <w:br w:type="page"/>
      </w:r>
    </w:p>
    <w:p w:rsidR="000F1385" w:rsidRDefault="00EF3E79">
      <w:pPr>
        <w:spacing w:before="480" w:after="240"/>
      </w:pPr>
      <w:r>
        <w:rPr>
          <w:rFonts w:ascii="Times New Roman" w:hAnsi="Times New Roman"/>
          <w:b/>
          <w:color w:val="154360"/>
          <w:sz w:val="32"/>
        </w:rPr>
        <w:lastRenderedPageBreak/>
        <w:t>Appendix A: Engineering Challenges, Root Causes, and Architectural Remediation Fixes</w:t>
      </w:r>
    </w:p>
    <w:p w:rsidR="000F1385" w:rsidRDefault="00EF3E79">
      <w:pPr>
        <w:spacing w:after="120" w:line="360" w:lineRule="auto"/>
        <w:jc w:val="both"/>
      </w:pPr>
      <w:r>
        <w:rPr>
          <w:rFonts w:ascii="Times New Roman" w:hAnsi="Times New Roman"/>
          <w:color w:val="212121"/>
          <w:sz w:val="24"/>
        </w:rPr>
        <w:t>During the end-to-end realization of ArogyaMitra, numerous subtle architectural defects, data leakage anomalies, cryptogra</w:t>
      </w:r>
      <w:r>
        <w:rPr>
          <w:rFonts w:ascii="Times New Roman" w:hAnsi="Times New Roman"/>
          <w:color w:val="212121"/>
          <w:sz w:val="24"/>
        </w:rPr>
        <w:t>phic vulnerabilities, and concurrency bottlenecks were identified through systematic testing and faculty audits. Table A.1 chronicles the ten primary engineering challenges, their diagnosed root causes, and the concrete technical remediations implemented i</w:t>
      </w:r>
      <w:r>
        <w:rPr>
          <w:rFonts w:ascii="Times New Roman" w:hAnsi="Times New Roman"/>
          <w:color w:val="212121"/>
          <w:sz w:val="24"/>
        </w:rPr>
        <w:t>n the codebase.</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678"/>
        <w:gridCol w:w="2153"/>
        <w:gridCol w:w="2602"/>
        <w:gridCol w:w="2707"/>
      </w:tblGrid>
      <w:tr w:rsidR="000F1385">
        <w:trPr>
          <w:jc w:val="center"/>
        </w:trPr>
        <w:tc>
          <w:tcPr>
            <w:tcW w:w="2592"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Identified Challenge</w:t>
            </w:r>
          </w:p>
        </w:tc>
        <w:tc>
          <w:tcPr>
            <w:tcW w:w="3168"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Discovered Root Cause</w:t>
            </w:r>
          </w:p>
        </w:tc>
        <w:tc>
          <w:tcPr>
            <w:tcW w:w="3456"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Architectural Remediation Implemented</w:t>
            </w:r>
          </w:p>
        </w:tc>
        <w:tc>
          <w:tcPr>
            <w:tcW w:w="1584"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Evidence Citation</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Identical Canned Prediction &amp; Mock Fallback (P0 Defect)</w:t>
            </w:r>
          </w:p>
        </w:tc>
        <w:tc>
          <w:tcPr>
            <w:tcW w:w="3168" w:type="dxa"/>
            <w:tcMar>
              <w:top w:w="70" w:type="dxa"/>
              <w:left w:w="70" w:type="dxa"/>
              <w:bottom w:w="70" w:type="dxa"/>
              <w:right w:w="70" w:type="dxa"/>
            </w:tcMar>
          </w:tcPr>
          <w:p w:rsidR="000F1385" w:rsidRDefault="00EF3E79">
            <w:r>
              <w:rPr>
                <w:rFonts w:ascii="Times New Roman" w:hAnsi="Times New Roman"/>
                <w:sz w:val="15"/>
              </w:rPr>
              <w:t xml:space="preserve">Health worker testing showed every symptom input produced an identical 88.5% </w:t>
            </w:r>
            <w:r>
              <w:rPr>
                <w:rFonts w:ascii="Times New Roman" w:hAnsi="Times New Roman"/>
                <w:sz w:val="15"/>
              </w:rPr>
              <w:t>confidence prediction for 'Infectious Gastroenteritis'.</w:t>
            </w:r>
          </w:p>
        </w:tc>
        <w:tc>
          <w:tcPr>
            <w:tcW w:w="3456" w:type="dxa"/>
            <w:tcMar>
              <w:top w:w="70" w:type="dxa"/>
              <w:left w:w="70" w:type="dxa"/>
              <w:bottom w:w="70" w:type="dxa"/>
              <w:right w:w="70" w:type="dxa"/>
            </w:tcMar>
          </w:tcPr>
          <w:p w:rsidR="000F1385" w:rsidRDefault="00EF3E79">
            <w:r>
              <w:rPr>
                <w:rFonts w:ascii="Times New Roman" w:hAnsi="Times New Roman"/>
                <w:sz w:val="15"/>
              </w:rPr>
              <w:t>Traced to in-process import failure inside container falling back to legacy mock. Rewrote UI to route strictly through backend API `POST /api/v1/consultation/triage`; eliminated all mock fallbacks; en</w:t>
            </w:r>
            <w:r>
              <w:rPr>
                <w:rFonts w:ascii="Times New Roman" w:hAnsi="Times New Roman"/>
                <w:sz w:val="15"/>
              </w:rPr>
              <w:t>forced fail-closed HTTP 503 MODEL_UNAVAILABLE on ML outage.</w:t>
            </w:r>
          </w:p>
        </w:tc>
        <w:tc>
          <w:tcPr>
            <w:tcW w:w="1584" w:type="dxa"/>
            <w:tcMar>
              <w:top w:w="70" w:type="dxa"/>
              <w:left w:w="70" w:type="dxa"/>
              <w:bottom w:w="70" w:type="dxa"/>
              <w:right w:w="70" w:type="dxa"/>
            </w:tcMar>
          </w:tcPr>
          <w:p w:rsidR="000F1385" w:rsidRDefault="00EF3E79">
            <w:r>
              <w:rPr>
                <w:rFonts w:ascii="Times New Roman" w:hAnsi="Times New Roman"/>
                <w:color w:val="546E7A"/>
                <w:sz w:val="14"/>
              </w:rPr>
              <w:t>docs/evidence/p0_root_cause.txt, p0_docker_tests.txt</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t>Massive Dataset Duplication &amp; Evaluative Leakage</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5"/>
              </w:rPr>
              <w:t xml:space="preserve">Automated data provenance analysis on raw Kaggle dataset (4,920 rows) revealed identical </w:t>
            </w:r>
            <w:r>
              <w:rPr>
                <w:rFonts w:ascii="Times New Roman" w:hAnsi="Times New Roman"/>
                <w:sz w:val="15"/>
              </w:rPr>
              <w:t>symptom vectors across splits.</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Discovered 4,616 exact duplicate rows (93.8% duplication). Dropped duplicates to 304 unique ground-truth rows (~7.4 per class); instituted 5x3 Repeated Stratified K-Fold CV with in-fold symptom dropout to eliminate evaluation</w:t>
            </w:r>
            <w:r>
              <w:rPr>
                <w:rFonts w:ascii="Times New Roman" w:hAnsi="Times New Roman"/>
                <w:sz w:val="15"/>
              </w:rPr>
              <w:t xml:space="preserve"> leakage.</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color w:val="546E7A"/>
                <w:sz w:val="14"/>
              </w:rPr>
              <w:t>docs/evidence/data_provenance.txt, MODEL_CARD.md</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Hardcoded Cryptographic Fallback Keys in Source Code</w:t>
            </w:r>
          </w:p>
        </w:tc>
        <w:tc>
          <w:tcPr>
            <w:tcW w:w="3168" w:type="dxa"/>
            <w:tcMar>
              <w:top w:w="70" w:type="dxa"/>
              <w:left w:w="70" w:type="dxa"/>
              <w:bottom w:w="70" w:type="dxa"/>
              <w:right w:w="70" w:type="dxa"/>
            </w:tcMar>
          </w:tcPr>
          <w:p w:rsidR="000F1385" w:rsidRDefault="00EF3E79">
            <w:r>
              <w:rPr>
                <w:rFonts w:ascii="Times New Roman" w:hAnsi="Times New Roman"/>
                <w:sz w:val="15"/>
              </w:rPr>
              <w:t>Gitleaks audit and static analysis detected fallback encryption keys embedded in `src/utils/cryptoUtils.js` and `dataEncryption.js`.</w:t>
            </w:r>
          </w:p>
        </w:tc>
        <w:tc>
          <w:tcPr>
            <w:tcW w:w="3456" w:type="dxa"/>
            <w:tcMar>
              <w:top w:w="70" w:type="dxa"/>
              <w:left w:w="70" w:type="dxa"/>
              <w:bottom w:w="70" w:type="dxa"/>
              <w:right w:w="70" w:type="dxa"/>
            </w:tcMar>
          </w:tcPr>
          <w:p w:rsidR="000F1385" w:rsidRDefault="00EF3E79">
            <w:r>
              <w:rPr>
                <w:rFonts w:ascii="Times New Roman" w:hAnsi="Times New Roman"/>
                <w:sz w:val="15"/>
              </w:rPr>
              <w:t>Removed al</w:t>
            </w:r>
            <w:r>
              <w:rPr>
                <w:rFonts w:ascii="Times New Roman" w:hAnsi="Times New Roman"/>
                <w:sz w:val="15"/>
              </w:rPr>
              <w:t>l hardcoded fallback keys from source repository; updated gitleaks baseline with written rationales; implemented production startup guard `encryption_key_exit.test.js` verifying process exits with code 1 if ENCRYPTION_KEY is unset.</w:t>
            </w:r>
          </w:p>
        </w:tc>
        <w:tc>
          <w:tcPr>
            <w:tcW w:w="1584" w:type="dxa"/>
            <w:tcMar>
              <w:top w:w="70" w:type="dxa"/>
              <w:left w:w="70" w:type="dxa"/>
              <w:bottom w:w="70" w:type="dxa"/>
              <w:right w:w="70" w:type="dxa"/>
            </w:tcMar>
          </w:tcPr>
          <w:p w:rsidR="000F1385" w:rsidRDefault="00EF3E79">
            <w:r>
              <w:rPr>
                <w:rFonts w:ascii="Times New Roman" w:hAnsi="Times New Roman"/>
                <w:color w:val="546E7A"/>
                <w:sz w:val="14"/>
              </w:rPr>
              <w:t>docs/evidence/gitleaks_r</w:t>
            </w:r>
            <w:r>
              <w:rPr>
                <w:rFonts w:ascii="Times New Roman" w:hAnsi="Times New Roman"/>
                <w:color w:val="546E7A"/>
                <w:sz w:val="14"/>
              </w:rPr>
              <w:t>eport.txt, Backend/tests/encryption_key_exit.test.js</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t>Unevidenced Accuracy Figures in Initial Report Draft</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5"/>
              </w:rPr>
              <w:t>Fact-checking audit found numbers (99.67%, 95.39%, 83.22%, F1 0.9512, ECE 0.0384, Brier 0.0121) lacked supporting evidence files.</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 xml:space="preserve">Completely excised </w:t>
            </w:r>
            <w:r>
              <w:rPr>
                <w:rFonts w:ascii="Times New Roman" w:hAnsi="Times New Roman"/>
                <w:sz w:val="15"/>
              </w:rPr>
              <w:t>unevidenced draft figures from report text; reconciled all performance claims with traceable nested CV benchmarks in `model_benchmark.md` and `tuned_tree_benchmark.md`.</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color w:val="546E7A"/>
                <w:sz w:val="14"/>
              </w:rPr>
              <w:t>docs/evidence/model_benchmark.md, tuned_tree_benchmark.md, COMPLETION_LEDGER.md</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Unreal</w:t>
            </w:r>
            <w:r>
              <w:rPr>
                <w:rFonts w:ascii="Times New Roman" w:hAnsi="Times New Roman"/>
                <w:b/>
                <w:sz w:val="16"/>
              </w:rPr>
              <w:t>istic Load Test Stack &amp; Concurrency Bottlenecks</w:t>
            </w:r>
          </w:p>
        </w:tc>
        <w:tc>
          <w:tcPr>
            <w:tcW w:w="3168" w:type="dxa"/>
            <w:tcMar>
              <w:top w:w="70" w:type="dxa"/>
              <w:left w:w="70" w:type="dxa"/>
              <w:bottom w:w="70" w:type="dxa"/>
              <w:right w:w="70" w:type="dxa"/>
            </w:tcMar>
          </w:tcPr>
          <w:p w:rsidR="000F1385" w:rsidRDefault="00EF3E79">
            <w:r>
              <w:rPr>
                <w:rFonts w:ascii="Times New Roman" w:hAnsi="Times New Roman"/>
                <w:sz w:val="15"/>
              </w:rPr>
              <w:t>Early load test issued requests against production rate limiters, recording 429s as normal behavior while list endpoint had 2.4s p99 latency.</w:t>
            </w:r>
          </w:p>
        </w:tc>
        <w:tc>
          <w:tcPr>
            <w:tcW w:w="3456" w:type="dxa"/>
            <w:tcMar>
              <w:top w:w="70" w:type="dxa"/>
              <w:left w:w="70" w:type="dxa"/>
              <w:bottom w:w="70" w:type="dxa"/>
              <w:right w:w="70" w:type="dxa"/>
            </w:tcMar>
          </w:tcPr>
          <w:p w:rsidR="000F1385" w:rsidRDefault="00EF3E79">
            <w:r>
              <w:rPr>
                <w:rFonts w:ascii="Times New Roman" w:hAnsi="Times New Roman"/>
                <w:sz w:val="15"/>
              </w:rPr>
              <w:t xml:space="preserve">Created dedicated `docker-compose.test.yml` with test-only limits </w:t>
            </w:r>
            <w:r>
              <w:rPr>
                <w:rFonts w:ascii="Times New Roman" w:hAnsi="Times New Roman"/>
                <w:sz w:val="15"/>
              </w:rPr>
              <w:t>(`ALLOW_LOAD_TEST=true`, `LLM_ENABLED=false`); pre-created pending consultations; optimized worker list with server-side pagination and projection (60.5% p50 latency speedup).</w:t>
            </w:r>
          </w:p>
        </w:tc>
        <w:tc>
          <w:tcPr>
            <w:tcW w:w="1584" w:type="dxa"/>
            <w:tcMar>
              <w:top w:w="70" w:type="dxa"/>
              <w:left w:w="70" w:type="dxa"/>
              <w:bottom w:w="70" w:type="dxa"/>
              <w:right w:w="70" w:type="dxa"/>
            </w:tcMar>
          </w:tcPr>
          <w:p w:rsidR="000F1385" w:rsidRDefault="00EF3E79">
            <w:r>
              <w:rPr>
                <w:rFonts w:ascii="Times New Roman" w:hAnsi="Times New Roman"/>
                <w:color w:val="546E7A"/>
                <w:sz w:val="14"/>
              </w:rPr>
              <w:t>docs/evidence/load_test_testmode_results.txt, load_test_profiling_notes.md</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lastRenderedPageBreak/>
              <w:t>Garb</w:t>
            </w:r>
            <w:r>
              <w:rPr>
                <w:rFonts w:ascii="Times New Roman" w:hAnsi="Times New Roman"/>
                <w:b/>
                <w:sz w:val="16"/>
              </w:rPr>
              <w:t>led LLM Output from Substring Confidence Rewriting</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5"/>
              </w:rPr>
              <w:t>Naive in-place regex replacement of confidence terms ('certain', 'high') mangled valid clinical words like 'certainly' or 'ascertain'.</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Replaced regex replacement with whole-phrase boundary matching; on det</w:t>
            </w:r>
            <w:r>
              <w:rPr>
                <w:rFonts w:ascii="Times New Roman" w:hAnsi="Times New Roman"/>
                <w:sz w:val="15"/>
              </w:rPr>
              <w:t>ection of banned confidence terms, triggers one LLM regeneration; if still failing, falls back cleanly to deterministic clinical template.</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color w:val="546E7A"/>
                <w:sz w:val="14"/>
              </w:rPr>
              <w:t>scripts/test_confidence_word_filter.py, docs/evidence/p2_guardrails_tests.txt</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 xml:space="preserve">Gemini Model Deprecation &amp; API Quota </w:t>
            </w:r>
            <w:r>
              <w:rPr>
                <w:rFonts w:ascii="Times New Roman" w:hAnsi="Times New Roman"/>
                <w:b/>
                <w:sz w:val="16"/>
              </w:rPr>
              <w:t>Exhaustion</w:t>
            </w:r>
          </w:p>
        </w:tc>
        <w:tc>
          <w:tcPr>
            <w:tcW w:w="3168" w:type="dxa"/>
            <w:tcMar>
              <w:top w:w="70" w:type="dxa"/>
              <w:left w:w="70" w:type="dxa"/>
              <w:bottom w:w="70" w:type="dxa"/>
              <w:right w:w="70" w:type="dxa"/>
            </w:tcMar>
          </w:tcPr>
          <w:p w:rsidR="000F1385" w:rsidRDefault="00EF3E79">
            <w:r>
              <w:rPr>
                <w:rFonts w:ascii="Times New Roman" w:hAnsi="Times New Roman"/>
                <w:sz w:val="15"/>
              </w:rPr>
              <w:t>Gemini 1.5 Flash returned 404 model not found; free-tier API quota exhausted after 20 daily calls returning HTTP 429.</w:t>
            </w:r>
          </w:p>
        </w:tc>
        <w:tc>
          <w:tcPr>
            <w:tcW w:w="3456" w:type="dxa"/>
            <w:tcMar>
              <w:top w:w="70" w:type="dxa"/>
              <w:left w:w="70" w:type="dxa"/>
              <w:bottom w:w="70" w:type="dxa"/>
              <w:right w:w="70" w:type="dxa"/>
            </w:tcMar>
          </w:tcPr>
          <w:p w:rsidR="000F1385" w:rsidRDefault="00EF3E79">
            <w:r>
              <w:rPr>
                <w:rFonts w:ascii="Times New Roman" w:hAnsi="Times New Roman"/>
                <w:sz w:val="15"/>
              </w:rPr>
              <w:t>Implemented dynamic ordered cascade `LLM_MODELS = ['gemini-2.5-flash', 'gemini-3.5-flash', 'gemini-3-flash-preview']`; added 10</w:t>
            </w:r>
            <w:r>
              <w:rPr>
                <w:rFonts w:ascii="Times New Roman" w:hAnsi="Times New Roman"/>
                <w:sz w:val="15"/>
              </w:rPr>
              <w:t>s per-attempt timeout and 20s overall cap; engaged deterministic safe template on exhaustion.</w:t>
            </w:r>
          </w:p>
        </w:tc>
        <w:tc>
          <w:tcPr>
            <w:tcW w:w="1584" w:type="dxa"/>
            <w:tcMar>
              <w:top w:w="70" w:type="dxa"/>
              <w:left w:w="70" w:type="dxa"/>
              <w:bottom w:w="70" w:type="dxa"/>
              <w:right w:w="70" w:type="dxa"/>
            </w:tcMar>
          </w:tcPr>
          <w:p w:rsidR="000F1385" w:rsidRDefault="00EF3E79">
            <w:r>
              <w:rPr>
                <w:rFonts w:ascii="Times New Roman" w:hAnsi="Times New Roman"/>
                <w:color w:val="546E7A"/>
                <w:sz w:val="14"/>
              </w:rPr>
              <w:t>docs/evidence/gemini_live_run.txt, scripts/test_llm_timeouts_and_429.py</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t>Container Vulnerabilities in Base Docker Images</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5"/>
              </w:rPr>
              <w:t>Trivy container security scans reported C</w:t>
            </w:r>
            <w:r>
              <w:rPr>
                <w:rFonts w:ascii="Times New Roman" w:hAnsi="Times New Roman"/>
                <w:sz w:val="15"/>
              </w:rPr>
              <w:t>ritical and High vulnerabilities in Python and Node.js images.</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Implemented multi-stage Docker build for backend stripping npm CLI; uninstalled pip and ensurepip from runtime stages of Python images; upgraded critical packages; reduced fixable vulnerabiliti</w:t>
            </w:r>
            <w:r>
              <w:rPr>
                <w:rFonts w:ascii="Times New Roman" w:hAnsi="Times New Roman"/>
                <w:sz w:val="15"/>
              </w:rPr>
              <w:t>es to 0 with `--ignore-unfixed`.</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color w:val="546E7A"/>
                <w:sz w:val="14"/>
              </w:rPr>
              <w:t>docs/evidence/trivy_all_images_scan.txt, trivy_all_images_scan_notes.md</w:t>
            </w:r>
          </w:p>
        </w:tc>
      </w:tr>
      <w:tr w:rsidR="000F1385">
        <w:trPr>
          <w:jc w:val="center"/>
        </w:trPr>
        <w:tc>
          <w:tcPr>
            <w:tcW w:w="2592" w:type="dxa"/>
            <w:tcMar>
              <w:top w:w="70" w:type="dxa"/>
              <w:left w:w="70" w:type="dxa"/>
              <w:bottom w:w="70" w:type="dxa"/>
              <w:right w:w="70" w:type="dxa"/>
            </w:tcMar>
          </w:tcPr>
          <w:p w:rsidR="000F1385" w:rsidRDefault="00EF3E79">
            <w:r>
              <w:rPr>
                <w:rFonts w:ascii="Times New Roman" w:hAnsi="Times New Roman"/>
                <w:b/>
                <w:sz w:val="16"/>
              </w:rPr>
              <w:t>Worker List Endpoint Latency Degradation</w:t>
            </w:r>
          </w:p>
        </w:tc>
        <w:tc>
          <w:tcPr>
            <w:tcW w:w="3168" w:type="dxa"/>
            <w:tcMar>
              <w:top w:w="70" w:type="dxa"/>
              <w:left w:w="70" w:type="dxa"/>
              <w:bottom w:w="70" w:type="dxa"/>
              <w:right w:w="70" w:type="dxa"/>
            </w:tcMar>
          </w:tcPr>
          <w:p w:rsidR="000F1385" w:rsidRDefault="00EF3E79">
            <w:r>
              <w:rPr>
                <w:rFonts w:ascii="Times New Roman" w:hAnsi="Times New Roman"/>
                <w:sz w:val="15"/>
              </w:rPr>
              <w:t xml:space="preserve">Load test at 50 concurrent users showed `GET /consultation/my` taking 7.0s p99 due to full collection scan </w:t>
            </w:r>
            <w:r>
              <w:rPr>
                <w:rFonts w:ascii="Times New Roman" w:hAnsi="Times New Roman"/>
                <w:sz w:val="15"/>
              </w:rPr>
              <w:t>and JSON transfer of all patient records.</w:t>
            </w:r>
          </w:p>
        </w:tc>
        <w:tc>
          <w:tcPr>
            <w:tcW w:w="3456" w:type="dxa"/>
            <w:tcMar>
              <w:top w:w="70" w:type="dxa"/>
              <w:left w:w="70" w:type="dxa"/>
              <w:bottom w:w="70" w:type="dxa"/>
              <w:right w:w="70" w:type="dxa"/>
            </w:tcMar>
          </w:tcPr>
          <w:p w:rsidR="000F1385" w:rsidRDefault="00EF3E79">
            <w:r>
              <w:rPr>
                <w:rFonts w:ascii="Times New Roman" w:hAnsi="Times New Roman"/>
                <w:sz w:val="15"/>
              </w:rPr>
              <w:t>Added server-side pagination (`page`, `limit`, default 20) and lean Mongoose projection excluding heavy internal audit vectors; reduced C=1 p50 latency from 193 ms to 76.2 ms (60.5% speedup) and p99 from 660.6 ms t</w:t>
            </w:r>
            <w:r>
              <w:rPr>
                <w:rFonts w:ascii="Times New Roman" w:hAnsi="Times New Roman"/>
                <w:sz w:val="15"/>
              </w:rPr>
              <w:t>o 152.0 ms (77.0% speedup).</w:t>
            </w:r>
          </w:p>
        </w:tc>
        <w:tc>
          <w:tcPr>
            <w:tcW w:w="1584" w:type="dxa"/>
            <w:tcMar>
              <w:top w:w="70" w:type="dxa"/>
              <w:left w:w="70" w:type="dxa"/>
              <w:bottom w:w="70" w:type="dxa"/>
              <w:right w:w="70" w:type="dxa"/>
            </w:tcMar>
          </w:tcPr>
          <w:p w:rsidR="000F1385" w:rsidRDefault="00EF3E79">
            <w:r>
              <w:rPr>
                <w:rFonts w:ascii="Times New Roman" w:hAnsi="Times New Roman"/>
                <w:color w:val="546E7A"/>
                <w:sz w:val="14"/>
              </w:rPr>
              <w:t>docs/evidence/load_test_profiling_notes.md, load_test_testmode_results.txt</w:t>
            </w:r>
          </w:p>
        </w:tc>
      </w:tr>
      <w:tr w:rsidR="000F1385">
        <w:trPr>
          <w:jc w:val="center"/>
        </w:trPr>
        <w:tc>
          <w:tcPr>
            <w:tcW w:w="2592" w:type="dxa"/>
            <w:shd w:val="clear" w:color="auto" w:fill="F4F6F7"/>
            <w:tcMar>
              <w:top w:w="70" w:type="dxa"/>
              <w:left w:w="70" w:type="dxa"/>
              <w:bottom w:w="70" w:type="dxa"/>
              <w:right w:w="70" w:type="dxa"/>
            </w:tcMar>
          </w:tcPr>
          <w:p w:rsidR="000F1385" w:rsidRDefault="00EF3E79">
            <w:r>
              <w:rPr>
                <w:rFonts w:ascii="Times New Roman" w:hAnsi="Times New Roman"/>
                <w:b/>
                <w:sz w:val="16"/>
              </w:rPr>
              <w:t>Silent Auth Failure / Session Expiry in Streamlit UI</w:t>
            </w:r>
          </w:p>
        </w:tc>
        <w:tc>
          <w:tcPr>
            <w:tcW w:w="3168" w:type="dxa"/>
            <w:shd w:val="clear" w:color="auto" w:fill="F4F6F7"/>
            <w:tcMar>
              <w:top w:w="70" w:type="dxa"/>
              <w:left w:w="70" w:type="dxa"/>
              <w:bottom w:w="70" w:type="dxa"/>
              <w:right w:w="70" w:type="dxa"/>
            </w:tcMar>
          </w:tcPr>
          <w:p w:rsidR="000F1385" w:rsidRDefault="00EF3E79">
            <w:r>
              <w:rPr>
                <w:rFonts w:ascii="Times New Roman" w:hAnsi="Times New Roman"/>
                <w:sz w:val="15"/>
              </w:rPr>
              <w:t>When JWT access token expired after 15 minutes, UI failed silently or crashed without clear guidanc</w:t>
            </w:r>
            <w:r>
              <w:rPr>
                <w:rFonts w:ascii="Times New Roman" w:hAnsi="Times New Roman"/>
                <w:sz w:val="15"/>
              </w:rPr>
              <w:t>e to health worker.</w:t>
            </w:r>
          </w:p>
        </w:tc>
        <w:tc>
          <w:tcPr>
            <w:tcW w:w="3456" w:type="dxa"/>
            <w:shd w:val="clear" w:color="auto" w:fill="F4F6F7"/>
            <w:tcMar>
              <w:top w:w="70" w:type="dxa"/>
              <w:left w:w="70" w:type="dxa"/>
              <w:bottom w:w="70" w:type="dxa"/>
              <w:right w:w="70" w:type="dxa"/>
            </w:tcMar>
          </w:tcPr>
          <w:p w:rsidR="000F1385" w:rsidRDefault="00EF3E79">
            <w:r>
              <w:rPr>
                <w:rFonts w:ascii="Times New Roman" w:hAnsi="Times New Roman"/>
                <w:sz w:val="15"/>
              </w:rPr>
              <w:t>Added explicit 401 interceptor in `ui/utils/api_client.py` displaying prominent warning: 'Your session has expired. Please log in again to continue.'; sanitized state without data loss.</w:t>
            </w:r>
          </w:p>
        </w:tc>
        <w:tc>
          <w:tcPr>
            <w:tcW w:w="1584" w:type="dxa"/>
            <w:shd w:val="clear" w:color="auto" w:fill="F4F6F7"/>
            <w:tcMar>
              <w:top w:w="70" w:type="dxa"/>
              <w:left w:w="70" w:type="dxa"/>
              <w:bottom w:w="70" w:type="dxa"/>
              <w:right w:w="70" w:type="dxa"/>
            </w:tcMar>
          </w:tcPr>
          <w:p w:rsidR="000F1385" w:rsidRDefault="00EF3E79">
            <w:r>
              <w:rPr>
                <w:rFonts w:ascii="Times New Roman" w:hAnsi="Times New Roman"/>
                <w:color w:val="546E7A"/>
                <w:sz w:val="14"/>
              </w:rPr>
              <w:t xml:space="preserve">ui/utils/api_client.py, </w:t>
            </w:r>
            <w:r>
              <w:rPr>
                <w:rFonts w:ascii="Times New Roman" w:hAnsi="Times New Roman"/>
                <w:color w:val="546E7A"/>
                <w:sz w:val="14"/>
              </w:rPr>
              <w:t>docs/evidence/verify_ui.txt</w:t>
            </w:r>
          </w:p>
        </w:tc>
      </w:tr>
    </w:tbl>
    <w:p w:rsidR="000F1385" w:rsidRDefault="00EF3E79">
      <w:pPr>
        <w:spacing w:before="80" w:after="160"/>
        <w:jc w:val="center"/>
      </w:pPr>
      <w:r>
        <w:rPr>
          <w:rFonts w:ascii="Times New Roman" w:hAnsi="Times New Roman"/>
          <w:b/>
          <w:color w:val="546E7A"/>
          <w:sz w:val="20"/>
        </w:rPr>
        <w:t>Table A.1: Engineering Challenges, Root Causes, and Architectural Remediation Fixes</w:t>
      </w:r>
    </w:p>
    <w:p w:rsidR="000F1385" w:rsidRDefault="00EF3E79">
      <w:r>
        <w:br w:type="page"/>
      </w:r>
    </w:p>
    <w:p w:rsidR="000F1385" w:rsidRDefault="00EF3E79">
      <w:pPr>
        <w:spacing w:before="480" w:after="240"/>
      </w:pPr>
      <w:r>
        <w:rPr>
          <w:rFonts w:ascii="Times New Roman" w:hAnsi="Times New Roman"/>
          <w:b/>
          <w:color w:val="154360"/>
          <w:sz w:val="32"/>
        </w:rPr>
        <w:lastRenderedPageBreak/>
        <w:t>Appendix B: Reproduction Commands &amp; Verification Playbook</w:t>
      </w:r>
    </w:p>
    <w:p w:rsidR="000F1385" w:rsidRDefault="00EF3E79">
      <w:pPr>
        <w:spacing w:after="120" w:line="360" w:lineRule="auto"/>
        <w:jc w:val="both"/>
      </w:pPr>
      <w:r>
        <w:rPr>
          <w:rFonts w:ascii="Times New Roman" w:hAnsi="Times New Roman"/>
          <w:color w:val="212121"/>
          <w:sz w:val="24"/>
        </w:rPr>
        <w:t>To ensure total scientific reproducibility, this appendix provides the complete seq</w:t>
      </w:r>
      <w:r>
        <w:rPr>
          <w:rFonts w:ascii="Times New Roman" w:hAnsi="Times New Roman"/>
          <w:color w:val="212121"/>
          <w:sz w:val="24"/>
        </w:rPr>
        <w:t>uence of command-line instructions required to launch the ArogyaMitra microservice cluster, execute all 321 automated test suites, run the 20 golden clinical test cases, execute the Playwright UI automation, and run the security scanners from a clean devel</w:t>
      </w:r>
      <w:r>
        <w:rPr>
          <w:rFonts w:ascii="Times New Roman" w:hAnsi="Times New Roman"/>
          <w:color w:val="212121"/>
          <w:sz w:val="24"/>
        </w:rPr>
        <w:t>opment environment.</w:t>
      </w:r>
    </w:p>
    <w:p w:rsidR="000F1385" w:rsidRDefault="00EF3E79">
      <w:pPr>
        <w:spacing w:before="120" w:after="40" w:line="360" w:lineRule="auto"/>
        <w:jc w:val="both"/>
      </w:pPr>
      <w:r>
        <w:rPr>
          <w:rFonts w:ascii="Times New Roman" w:hAnsi="Times New Roman"/>
          <w:b/>
          <w:color w:val="212121"/>
          <w:sz w:val="24"/>
        </w:rPr>
        <w:t>Step 1: Clone Repository &amp; Build Docker Stack</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git checkout remediation</w:t>
            </w:r>
            <w:r>
              <w:rPr>
                <w:rFonts w:ascii="Consolas" w:hAnsi="Consolas"/>
                <w:color w:val="EEFF41"/>
                <w:sz w:val="16"/>
              </w:rPr>
              <w:br/>
              <w:t>docker compose -f docker-compose.yml build</w:t>
            </w:r>
            <w:r>
              <w:rPr>
                <w:rFonts w:ascii="Consolas" w:hAnsi="Consolas"/>
                <w:color w:val="EEFF41"/>
                <w:sz w:val="16"/>
              </w:rPr>
              <w:br/>
              <w:t>docker compose -f docker-compose.yml up -d</w:t>
            </w:r>
            <w:r>
              <w:rPr>
                <w:rFonts w:ascii="Consolas" w:hAnsi="Consolas"/>
                <w:color w:val="EEFF41"/>
                <w:sz w:val="16"/>
              </w:rPr>
              <w:br/>
              <w:t>powershell -File scripts\health_check.ps1</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Step 2: Seed Clean Test Environment</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powershell -File scripts\seed_docker.ps1</w:t>
            </w:r>
            <w:r>
              <w:rPr>
                <w:rFonts w:ascii="Consolas" w:hAnsi="Consolas"/>
                <w:color w:val="EEFF41"/>
                <w:sz w:val="16"/>
              </w:rPr>
              <w:br/>
              <w:t># Verifies database initialized with 6 healthy services and clean test users</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Step 3: Execute Backend API Unit &amp; Integration Suite (231 Tests)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docker compose exec -T backend npm test -- --coverage</w:t>
            </w:r>
            <w:r>
              <w:rPr>
                <w:rFonts w:ascii="Consolas" w:hAnsi="Consolas"/>
                <w:color w:val="EEFF41"/>
                <w:sz w:val="16"/>
              </w:rPr>
              <w:br/>
              <w:t># Output recorde</w:t>
            </w:r>
            <w:r>
              <w:rPr>
                <w:rFonts w:ascii="Consolas" w:hAnsi="Consolas"/>
                <w:color w:val="EEFF41"/>
                <w:sz w:val="16"/>
              </w:rPr>
              <w:t>d in docs/evidence/verify_backend.txt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Step 4: Execute Machine Learning Inference Suite (55 Tests)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docker compose exec -T ml pytest -v</w:t>
            </w:r>
            <w:r>
              <w:rPr>
                <w:rFonts w:ascii="Consolas" w:hAnsi="Consolas"/>
                <w:color w:val="EEFF41"/>
                <w:sz w:val="16"/>
              </w:rPr>
              <w:br/>
              <w:t># Output recorded in docs/evidence/verify_ml.txt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Step 5: Execute Guarded LLM Narrative Suite (26 Tests)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docker compose</w:t>
            </w:r>
            <w:r>
              <w:rPr>
                <w:rFonts w:ascii="Consolas" w:hAnsi="Consolas"/>
                <w:color w:val="EEFF41"/>
                <w:sz w:val="16"/>
              </w:rPr>
              <w:t xml:space="preserve"> exec -T graph pytest -v</w:t>
            </w:r>
            <w:r>
              <w:rPr>
                <w:rFonts w:ascii="Consolas" w:hAnsi="Consolas"/>
                <w:color w:val="EEFF41"/>
                <w:sz w:val="16"/>
              </w:rPr>
              <w:br/>
              <w:t># Output recorded in docs/evidence/verify_graph.txt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Step 6: Execute Frontend UI Test Suite (9 Tests)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docker compose exec -T ui pytest -v</w:t>
            </w:r>
            <w:r>
              <w:rPr>
                <w:rFonts w:ascii="Consolas" w:hAnsi="Consolas"/>
                <w:color w:val="EEFF41"/>
                <w:sz w:val="16"/>
              </w:rPr>
              <w:br/>
              <w:t># Output recorded in docs/evidence/verify_ui.txt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 xml:space="preserve">Step 7: Run Golden Clinical Validation </w:t>
      </w:r>
      <w:r>
        <w:rPr>
          <w:rFonts w:ascii="Times New Roman" w:hAnsi="Times New Roman"/>
          <w:b/>
          <w:color w:val="212121"/>
          <w:sz w:val="24"/>
        </w:rPr>
        <w:t>Set (20 Vignettes)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python scripts\test_p0_golden_set.py</w:t>
            </w:r>
            <w:r>
              <w:rPr>
                <w:rFonts w:ascii="Consolas" w:hAnsi="Consolas"/>
                <w:color w:val="EEFF41"/>
                <w:sz w:val="16"/>
              </w:rPr>
              <w:br/>
              <w:t># Output recorded in docs/evidence/p0_golden_tests.txt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lastRenderedPageBreak/>
        <w:t>Step 8: Run Playwright Browser Automation Suite (11 Journeys)</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node scripts\test_p4_playwright_suite.mjs</w:t>
            </w:r>
            <w:r>
              <w:rPr>
                <w:rFonts w:ascii="Consolas" w:hAnsi="Consolas"/>
                <w:color w:val="EEFF41"/>
                <w:sz w:val="16"/>
              </w:rPr>
              <w:br/>
              <w:t># Output recorded in docs/evidence/p4_p</w:t>
            </w:r>
            <w:r>
              <w:rPr>
                <w:rFonts w:ascii="Consolas" w:hAnsi="Consolas"/>
                <w:color w:val="EEFF41"/>
                <w:sz w:val="16"/>
              </w:rPr>
              <w:t>laywright_suite.txt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Step 9: Execute Multi-Tier Load Test (2,400 Requests across C=1, 10, 50)</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docker compose -f docker-compose.test.yml up -d</w:t>
            </w:r>
            <w:r>
              <w:rPr>
                <w:rFonts w:ascii="Consolas" w:hAnsi="Consolas"/>
                <w:color w:val="EEFF41"/>
                <w:sz w:val="16"/>
              </w:rPr>
              <w:br/>
              <w:t>python scripts\run_p5_load_test_testmode.py</w:t>
            </w:r>
            <w:r>
              <w:rPr>
                <w:rFonts w:ascii="Consolas" w:hAnsi="Consolas"/>
                <w:color w:val="EEFF41"/>
                <w:sz w:val="16"/>
              </w:rPr>
              <w:br/>
              <w:t># Output recorded in docs/evidence/load_test_testmode_results.txt</w:t>
            </w:r>
          </w:p>
        </w:tc>
      </w:tr>
    </w:tbl>
    <w:p w:rsidR="000F1385" w:rsidRDefault="000F1385">
      <w:pPr>
        <w:spacing w:after="40"/>
      </w:pPr>
    </w:p>
    <w:p w:rsidR="000F1385" w:rsidRDefault="00EF3E79">
      <w:pPr>
        <w:spacing w:before="120" w:after="40" w:line="360" w:lineRule="auto"/>
        <w:jc w:val="both"/>
      </w:pPr>
      <w:r>
        <w:rPr>
          <w:rFonts w:ascii="Times New Roman" w:hAnsi="Times New Roman"/>
          <w:b/>
          <w:color w:val="212121"/>
          <w:sz w:val="24"/>
        </w:rPr>
        <w:t>S</w:t>
      </w:r>
      <w:r>
        <w:rPr>
          <w:rFonts w:ascii="Times New Roman" w:hAnsi="Times New Roman"/>
          <w:b/>
          <w:color w:val="212121"/>
          <w:sz w:val="24"/>
        </w:rPr>
        <w:t>tep 10: Run Container Vulnerability Auditing with Trivy</w:t>
      </w:r>
    </w:p>
    <w:tbl>
      <w:tblPr>
        <w:tblW w:w="0" w:type="auto"/>
        <w:jc w:val="center"/>
        <w:tblLook w:val="04A0" w:firstRow="1" w:lastRow="0" w:firstColumn="1" w:lastColumn="0" w:noHBand="0" w:noVBand="1"/>
      </w:tblPr>
      <w:tblGrid>
        <w:gridCol w:w="9000"/>
      </w:tblGrid>
      <w:tr w:rsidR="000F1385">
        <w:trPr>
          <w:jc w:val="center"/>
        </w:trPr>
        <w:tc>
          <w:tcPr>
            <w:tcW w:w="9000" w:type="dxa"/>
            <w:shd w:val="clear" w:color="auto" w:fill="263238"/>
            <w:tcMar>
              <w:top w:w="80" w:type="dxa"/>
              <w:left w:w="120" w:type="dxa"/>
              <w:bottom w:w="80" w:type="dxa"/>
              <w:right w:w="120" w:type="dxa"/>
            </w:tcMar>
          </w:tcPr>
          <w:p w:rsidR="000F1385" w:rsidRDefault="00EF3E79">
            <w:pPr>
              <w:spacing w:after="0" w:line="252" w:lineRule="auto"/>
            </w:pPr>
            <w:r>
              <w:rPr>
                <w:rFonts w:ascii="Consolas" w:hAnsi="Consolas"/>
                <w:color w:val="EEFF41"/>
                <w:sz w:val="16"/>
              </w:rPr>
              <w:t>powershell -File scripts\run_trivy_scan_all.ps1</w:t>
            </w:r>
            <w:r>
              <w:rPr>
                <w:rFonts w:ascii="Consolas" w:hAnsi="Consolas"/>
                <w:color w:val="EEFF41"/>
                <w:sz w:val="16"/>
              </w:rPr>
              <w:br/>
              <w:t># Output recorded in docs/evidence/trivy_all_images_scan.txt</w:t>
            </w:r>
          </w:p>
        </w:tc>
      </w:tr>
    </w:tbl>
    <w:p w:rsidR="000F1385" w:rsidRDefault="000F1385">
      <w:pPr>
        <w:spacing w:after="40"/>
      </w:pPr>
    </w:p>
    <w:p w:rsidR="000F1385" w:rsidRDefault="00EF3E79">
      <w:r>
        <w:br w:type="page"/>
      </w:r>
    </w:p>
    <w:p w:rsidR="000F1385" w:rsidRDefault="00EF3E79">
      <w:pPr>
        <w:spacing w:before="480" w:after="240"/>
      </w:pPr>
      <w:r>
        <w:rPr>
          <w:rFonts w:ascii="Times New Roman" w:hAnsi="Times New Roman"/>
          <w:b/>
          <w:color w:val="154360"/>
          <w:sz w:val="32"/>
        </w:rPr>
        <w:lastRenderedPageBreak/>
        <w:t>Appendix C: Complete Prototype Test Suite Inventory</w:t>
      </w:r>
    </w:p>
    <w:p w:rsidR="000F1385" w:rsidRDefault="00EF3E79">
      <w:pPr>
        <w:spacing w:after="120" w:line="360" w:lineRule="auto"/>
        <w:jc w:val="both"/>
      </w:pPr>
      <w:r>
        <w:rPr>
          <w:rFonts w:ascii="Times New Roman" w:hAnsi="Times New Roman"/>
          <w:color w:val="212121"/>
          <w:sz w:val="24"/>
        </w:rPr>
        <w:t xml:space="preserve">Table C.1 catalogues the 321 </w:t>
      </w:r>
      <w:r>
        <w:rPr>
          <w:rFonts w:ascii="Times New Roman" w:hAnsi="Times New Roman"/>
          <w:color w:val="212121"/>
          <w:sz w:val="24"/>
        </w:rPr>
        <w:t>automated prototype tests verifying system correctness, security guardrails, fail-closed behavior, and database integrity across all microservices.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484"/>
        <w:gridCol w:w="2971"/>
        <w:gridCol w:w="1329"/>
        <w:gridCol w:w="3356"/>
      </w:tblGrid>
      <w:tr w:rsidR="000F1385">
        <w:trPr>
          <w:jc w:val="center"/>
        </w:trPr>
        <w:tc>
          <w:tcPr>
            <w:tcW w:w="1728"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Target Service</w:t>
            </w:r>
          </w:p>
        </w:tc>
        <w:tc>
          <w:tcPr>
            <w:tcW w:w="3168"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Test Suite File</w:t>
            </w:r>
          </w:p>
        </w:tc>
        <w:tc>
          <w:tcPr>
            <w:tcW w:w="1584"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Test Count</w:t>
            </w:r>
          </w:p>
        </w:tc>
        <w:tc>
          <w:tcPr>
            <w:tcW w:w="3888" w:type="dxa"/>
            <w:shd w:val="clear" w:color="auto" w:fill="154360"/>
            <w:tcMar>
              <w:top w:w="100" w:type="dxa"/>
              <w:left w:w="70" w:type="dxa"/>
              <w:bottom w:w="100" w:type="dxa"/>
              <w:right w:w="70" w:type="dxa"/>
            </w:tcMar>
          </w:tcPr>
          <w:p w:rsidR="000F1385" w:rsidRDefault="00EF3E79">
            <w:pPr>
              <w:jc w:val="center"/>
            </w:pPr>
            <w:r>
              <w:rPr>
                <w:rFonts w:ascii="Times New Roman" w:hAnsi="Times New Roman"/>
                <w:b/>
                <w:color w:val="FFFFFF"/>
                <w:sz w:val="17"/>
              </w:rPr>
              <w:t>Functional Scope &amp; Invariants Tested</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Backend</w:t>
            </w:r>
          </w:p>
        </w:tc>
        <w:tc>
          <w:tcPr>
            <w:tcW w:w="3168" w:type="dxa"/>
            <w:tcMar>
              <w:top w:w="60" w:type="dxa"/>
              <w:left w:w="70" w:type="dxa"/>
              <w:bottom w:w="60" w:type="dxa"/>
              <w:right w:w="70" w:type="dxa"/>
            </w:tcMar>
          </w:tcPr>
          <w:p w:rsidR="000F1385" w:rsidRDefault="00EF3E79">
            <w:r>
              <w:rPr>
                <w:rFonts w:ascii="Times New Roman" w:hAnsi="Times New Roman"/>
                <w:sz w:val="16"/>
              </w:rPr>
              <w:t>tests/triage_flow.te</w:t>
            </w:r>
            <w:r>
              <w:rPr>
                <w:rFonts w:ascii="Times New Roman" w:hAnsi="Times New Roman"/>
                <w:sz w:val="16"/>
              </w:rPr>
              <w:t>st.js</w:t>
            </w:r>
          </w:p>
        </w:tc>
        <w:tc>
          <w:tcPr>
            <w:tcW w:w="1584" w:type="dxa"/>
            <w:tcMar>
              <w:top w:w="60" w:type="dxa"/>
              <w:left w:w="70" w:type="dxa"/>
              <w:bottom w:w="60" w:type="dxa"/>
              <w:right w:w="70" w:type="dxa"/>
            </w:tcMar>
          </w:tcPr>
          <w:p w:rsidR="000F1385" w:rsidRDefault="00EF3E79">
            <w:r>
              <w:rPr>
                <w:rFonts w:ascii="Times New Roman" w:hAnsi="Times New Roman"/>
                <w:b/>
                <w:sz w:val="16"/>
              </w:rPr>
              <w:t>18 Tests</w:t>
            </w:r>
          </w:p>
        </w:tc>
        <w:tc>
          <w:tcPr>
            <w:tcW w:w="3888" w:type="dxa"/>
            <w:tcMar>
              <w:top w:w="60" w:type="dxa"/>
              <w:left w:w="70" w:type="dxa"/>
              <w:bottom w:w="60" w:type="dxa"/>
              <w:right w:w="70" w:type="dxa"/>
            </w:tcMar>
          </w:tcPr>
          <w:p w:rsidR="000F1385" w:rsidRDefault="00EF3E79">
            <w:r>
              <w:rPr>
                <w:rFonts w:ascii="Times New Roman" w:hAnsi="Times New Roman"/>
                <w:sz w:val="15"/>
              </w:rPr>
              <w:t>Tests full triage payload ingestion, Pydantic validation, and red-flag short-circuiting.</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Backend</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tests/redflag_screening.test.js</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14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Verifies all 5 emergency rules, boundary combinations, and override guarantees.</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Backend</w:t>
            </w:r>
          </w:p>
        </w:tc>
        <w:tc>
          <w:tcPr>
            <w:tcW w:w="3168" w:type="dxa"/>
            <w:tcMar>
              <w:top w:w="60" w:type="dxa"/>
              <w:left w:w="70" w:type="dxa"/>
              <w:bottom w:w="60" w:type="dxa"/>
              <w:right w:w="70" w:type="dxa"/>
            </w:tcMar>
          </w:tcPr>
          <w:p w:rsidR="000F1385" w:rsidRDefault="00EF3E79">
            <w:r>
              <w:rPr>
                <w:rFonts w:ascii="Times New Roman" w:hAnsi="Times New Roman"/>
                <w:sz w:val="16"/>
              </w:rPr>
              <w:t>tests/auth_argon2.test.js</w:t>
            </w:r>
          </w:p>
        </w:tc>
        <w:tc>
          <w:tcPr>
            <w:tcW w:w="1584" w:type="dxa"/>
            <w:tcMar>
              <w:top w:w="60" w:type="dxa"/>
              <w:left w:w="70" w:type="dxa"/>
              <w:bottom w:w="60" w:type="dxa"/>
              <w:right w:w="70" w:type="dxa"/>
            </w:tcMar>
          </w:tcPr>
          <w:p w:rsidR="000F1385" w:rsidRDefault="00EF3E79">
            <w:r>
              <w:rPr>
                <w:rFonts w:ascii="Times New Roman" w:hAnsi="Times New Roman"/>
                <w:b/>
                <w:sz w:val="16"/>
              </w:rPr>
              <w:t>22 Tests</w:t>
            </w:r>
          </w:p>
        </w:tc>
        <w:tc>
          <w:tcPr>
            <w:tcW w:w="3888" w:type="dxa"/>
            <w:tcMar>
              <w:top w:w="60" w:type="dxa"/>
              <w:left w:w="70" w:type="dxa"/>
              <w:bottom w:w="60" w:type="dxa"/>
              <w:right w:w="70" w:type="dxa"/>
            </w:tcMar>
          </w:tcPr>
          <w:p w:rsidR="000F1385" w:rsidRDefault="00EF3E79">
            <w:r>
              <w:rPr>
                <w:rFonts w:ascii="Times New Roman" w:hAnsi="Times New Roman"/>
                <w:sz w:val="15"/>
              </w:rPr>
              <w:t>Validates password hashing, salt uniqueness, timing resistance, and role verification.</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Backend</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tests/aes_encryption.test.js</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16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Verifies AES-256-GCM encryption at rest, unique IV generation, and deciphering.</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Backend</w:t>
            </w:r>
          </w:p>
        </w:tc>
        <w:tc>
          <w:tcPr>
            <w:tcW w:w="3168" w:type="dxa"/>
            <w:tcMar>
              <w:top w:w="60" w:type="dxa"/>
              <w:left w:w="70" w:type="dxa"/>
              <w:bottom w:w="60" w:type="dxa"/>
              <w:right w:w="70" w:type="dxa"/>
            </w:tcMar>
          </w:tcPr>
          <w:p w:rsidR="000F1385" w:rsidRDefault="00EF3E79">
            <w:r>
              <w:rPr>
                <w:rFonts w:ascii="Times New Roman" w:hAnsi="Times New Roman"/>
                <w:sz w:val="16"/>
              </w:rPr>
              <w:t>tests/encryption_key_exit.test.js</w:t>
            </w:r>
          </w:p>
        </w:tc>
        <w:tc>
          <w:tcPr>
            <w:tcW w:w="1584" w:type="dxa"/>
            <w:tcMar>
              <w:top w:w="60" w:type="dxa"/>
              <w:left w:w="70" w:type="dxa"/>
              <w:bottom w:w="60" w:type="dxa"/>
              <w:right w:w="70" w:type="dxa"/>
            </w:tcMar>
          </w:tcPr>
          <w:p w:rsidR="000F1385" w:rsidRDefault="00EF3E79">
            <w:r>
              <w:rPr>
                <w:rFonts w:ascii="Times New Roman" w:hAnsi="Times New Roman"/>
                <w:b/>
                <w:sz w:val="16"/>
              </w:rPr>
              <w:t>8 Tests</w:t>
            </w:r>
          </w:p>
        </w:tc>
        <w:tc>
          <w:tcPr>
            <w:tcW w:w="3888" w:type="dxa"/>
            <w:tcMar>
              <w:top w:w="60" w:type="dxa"/>
              <w:left w:w="70" w:type="dxa"/>
              <w:bottom w:w="60" w:type="dxa"/>
              <w:right w:w="70" w:type="dxa"/>
            </w:tcMar>
          </w:tcPr>
          <w:p w:rsidR="000F1385" w:rsidRDefault="00EF3E79">
            <w:r>
              <w:rPr>
                <w:rFonts w:ascii="Times New Roman" w:hAnsi="Times New Roman"/>
                <w:sz w:val="15"/>
              </w:rPr>
              <w:t>Production guard verifying backend terminates immediately if encryption key is unset.</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Backend</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tests/concurrency_occ.test.js</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24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Tests Mongoose `__v` optimistic locking and rejection of concurrent </w:t>
            </w:r>
            <w:r>
              <w:rPr>
                <w:rFonts w:ascii="Times New Roman" w:hAnsi="Times New Roman"/>
                <w:sz w:val="15"/>
              </w:rPr>
              <w:t>colliding updates.</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Backend</w:t>
            </w:r>
          </w:p>
        </w:tc>
        <w:tc>
          <w:tcPr>
            <w:tcW w:w="3168" w:type="dxa"/>
            <w:tcMar>
              <w:top w:w="60" w:type="dxa"/>
              <w:left w:w="70" w:type="dxa"/>
              <w:bottom w:w="60" w:type="dxa"/>
              <w:right w:w="70" w:type="dxa"/>
            </w:tcMar>
          </w:tcPr>
          <w:p w:rsidR="000F1385" w:rsidRDefault="00EF3E79">
            <w:r>
              <w:rPr>
                <w:rFonts w:ascii="Times New Roman" w:hAnsi="Times New Roman"/>
                <w:sz w:val="16"/>
              </w:rPr>
              <w:t>tests/pagination_projection.test.js</w:t>
            </w:r>
          </w:p>
        </w:tc>
        <w:tc>
          <w:tcPr>
            <w:tcW w:w="1584" w:type="dxa"/>
            <w:tcMar>
              <w:top w:w="60" w:type="dxa"/>
              <w:left w:w="70" w:type="dxa"/>
              <w:bottom w:w="60" w:type="dxa"/>
              <w:right w:w="70" w:type="dxa"/>
            </w:tcMar>
          </w:tcPr>
          <w:p w:rsidR="000F1385" w:rsidRDefault="00EF3E79">
            <w:r>
              <w:rPr>
                <w:rFonts w:ascii="Times New Roman" w:hAnsi="Times New Roman"/>
                <w:b/>
                <w:sz w:val="16"/>
              </w:rPr>
              <w:t>20 Tests</w:t>
            </w:r>
          </w:p>
        </w:tc>
        <w:tc>
          <w:tcPr>
            <w:tcW w:w="3888" w:type="dxa"/>
            <w:tcMar>
              <w:top w:w="60" w:type="dxa"/>
              <w:left w:w="70" w:type="dxa"/>
              <w:bottom w:w="60" w:type="dxa"/>
              <w:right w:w="70" w:type="dxa"/>
            </w:tcMar>
          </w:tcPr>
          <w:p w:rsidR="000F1385" w:rsidRDefault="00EF3E79">
            <w:r>
              <w:rPr>
                <w:rFonts w:ascii="Times New Roman" w:hAnsi="Times New Roman"/>
                <w:sz w:val="15"/>
              </w:rPr>
              <w:t>Validates server-side pagination, limit bounds, bad input handling, and lean projection.</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Backend</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tests/api_security_headers.test.js</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28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Verifies HSTS, X-Content-Type-Options, </w:t>
            </w:r>
            <w:r>
              <w:rPr>
                <w:rFonts w:ascii="Times New Roman" w:hAnsi="Times New Roman"/>
                <w:sz w:val="15"/>
              </w:rPr>
              <w:t>CSP, and CORS across endpoints.</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Backend</w:t>
            </w:r>
          </w:p>
        </w:tc>
        <w:tc>
          <w:tcPr>
            <w:tcW w:w="3168" w:type="dxa"/>
            <w:tcMar>
              <w:top w:w="60" w:type="dxa"/>
              <w:left w:w="70" w:type="dxa"/>
              <w:bottom w:w="60" w:type="dxa"/>
              <w:right w:w="70" w:type="dxa"/>
            </w:tcMar>
          </w:tcPr>
          <w:p w:rsidR="000F1385" w:rsidRDefault="00EF3E79">
            <w:r>
              <w:rPr>
                <w:rFonts w:ascii="Times New Roman" w:hAnsi="Times New Roman"/>
                <w:sz w:val="16"/>
              </w:rPr>
              <w:t>tests/rate_limit.test.js</w:t>
            </w:r>
          </w:p>
        </w:tc>
        <w:tc>
          <w:tcPr>
            <w:tcW w:w="1584" w:type="dxa"/>
            <w:tcMar>
              <w:top w:w="60" w:type="dxa"/>
              <w:left w:w="70" w:type="dxa"/>
              <w:bottom w:w="60" w:type="dxa"/>
              <w:right w:w="70" w:type="dxa"/>
            </w:tcMar>
          </w:tcPr>
          <w:p w:rsidR="000F1385" w:rsidRDefault="00EF3E79">
            <w:r>
              <w:rPr>
                <w:rFonts w:ascii="Times New Roman" w:hAnsi="Times New Roman"/>
                <w:b/>
                <w:sz w:val="16"/>
              </w:rPr>
              <w:t>16 Tests</w:t>
            </w:r>
          </w:p>
        </w:tc>
        <w:tc>
          <w:tcPr>
            <w:tcW w:w="3888" w:type="dxa"/>
            <w:tcMar>
              <w:top w:w="60" w:type="dxa"/>
              <w:left w:w="70" w:type="dxa"/>
              <w:bottom w:w="60" w:type="dxa"/>
              <w:right w:w="70" w:type="dxa"/>
            </w:tcMar>
          </w:tcPr>
          <w:p w:rsidR="000F1385" w:rsidRDefault="00EF3E79">
            <w:r>
              <w:rPr>
                <w:rFonts w:ascii="Times New Roman" w:hAnsi="Times New Roman"/>
                <w:sz w:val="15"/>
              </w:rPr>
              <w:t>Tests IP rate limiters, 429 status generation, and test-mode limit relaxation.</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Backend</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tests/dpdp_consent.test.js</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14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Tests patient consent logging, revocation requests, and </w:t>
            </w:r>
            <w:r>
              <w:rPr>
                <w:rFonts w:ascii="Times New Roman" w:hAnsi="Times New Roman"/>
                <w:sz w:val="15"/>
              </w:rPr>
              <w:t>data anonymization triggers.</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Backend</w:t>
            </w:r>
          </w:p>
        </w:tc>
        <w:tc>
          <w:tcPr>
            <w:tcW w:w="3168" w:type="dxa"/>
            <w:tcMar>
              <w:top w:w="60" w:type="dxa"/>
              <w:left w:w="70" w:type="dxa"/>
              <w:bottom w:w="60" w:type="dxa"/>
              <w:right w:w="70" w:type="dxa"/>
            </w:tcMar>
          </w:tcPr>
          <w:p w:rsidR="000F1385" w:rsidRDefault="00EF3E79">
            <w:r>
              <w:rPr>
                <w:rFonts w:ascii="Times New Roman" w:hAnsi="Times New Roman"/>
                <w:sz w:val="16"/>
              </w:rPr>
              <w:t>tests/doctor_queue.test.js</w:t>
            </w:r>
          </w:p>
        </w:tc>
        <w:tc>
          <w:tcPr>
            <w:tcW w:w="1584" w:type="dxa"/>
            <w:tcMar>
              <w:top w:w="60" w:type="dxa"/>
              <w:left w:w="70" w:type="dxa"/>
              <w:bottom w:w="60" w:type="dxa"/>
              <w:right w:w="70" w:type="dxa"/>
            </w:tcMar>
          </w:tcPr>
          <w:p w:rsidR="000F1385" w:rsidRDefault="00EF3E79">
            <w:r>
              <w:rPr>
                <w:rFonts w:ascii="Times New Roman" w:hAnsi="Times New Roman"/>
                <w:b/>
                <w:sz w:val="16"/>
              </w:rPr>
              <w:t>25 Tests</w:t>
            </w:r>
          </w:p>
        </w:tc>
        <w:tc>
          <w:tcPr>
            <w:tcW w:w="3888" w:type="dxa"/>
            <w:tcMar>
              <w:top w:w="60" w:type="dxa"/>
              <w:left w:w="70" w:type="dxa"/>
              <w:bottom w:w="60" w:type="dxa"/>
              <w:right w:w="70" w:type="dxa"/>
            </w:tcMar>
          </w:tcPr>
          <w:p w:rsidR="000F1385" w:rsidRDefault="00EF3E79">
            <w:r>
              <w:rPr>
                <w:rFonts w:ascii="Times New Roman" w:hAnsi="Times New Roman"/>
                <w:sz w:val="15"/>
              </w:rPr>
              <w:t>Verifies doctor consultation retrieval, status filtering, and clinician response notes.</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Backend</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tests/fail_closed_ml.test.js</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26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Verifies 503 MODEL_UNAVAILABLE error generation</w:t>
            </w:r>
            <w:r>
              <w:rPr>
                <w:rFonts w:ascii="Times New Roman" w:hAnsi="Times New Roman"/>
                <w:sz w:val="15"/>
              </w:rPr>
              <w:t xml:space="preserve"> when ML service is down.</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ML Engine</w:t>
            </w:r>
          </w:p>
        </w:tc>
        <w:tc>
          <w:tcPr>
            <w:tcW w:w="3168" w:type="dxa"/>
            <w:tcMar>
              <w:top w:w="60" w:type="dxa"/>
              <w:left w:w="70" w:type="dxa"/>
              <w:bottom w:w="60" w:type="dxa"/>
              <w:right w:w="70" w:type="dxa"/>
            </w:tcMar>
          </w:tcPr>
          <w:p w:rsidR="000F1385" w:rsidRDefault="00EF3E79">
            <w:r>
              <w:rPr>
                <w:rFonts w:ascii="Times New Roman" w:hAnsi="Times New Roman"/>
                <w:sz w:val="16"/>
              </w:rPr>
              <w:t>tests/test_model_inference.py</w:t>
            </w:r>
          </w:p>
        </w:tc>
        <w:tc>
          <w:tcPr>
            <w:tcW w:w="1584" w:type="dxa"/>
            <w:tcMar>
              <w:top w:w="60" w:type="dxa"/>
              <w:left w:w="70" w:type="dxa"/>
              <w:bottom w:w="60" w:type="dxa"/>
              <w:right w:w="70" w:type="dxa"/>
            </w:tcMar>
          </w:tcPr>
          <w:p w:rsidR="000F1385" w:rsidRDefault="00EF3E79">
            <w:r>
              <w:rPr>
                <w:rFonts w:ascii="Times New Roman" w:hAnsi="Times New Roman"/>
                <w:b/>
                <w:sz w:val="16"/>
              </w:rPr>
              <w:t>15 Tests</w:t>
            </w:r>
          </w:p>
        </w:tc>
        <w:tc>
          <w:tcPr>
            <w:tcW w:w="3888" w:type="dxa"/>
            <w:tcMar>
              <w:top w:w="60" w:type="dxa"/>
              <w:left w:w="70" w:type="dxa"/>
              <w:bottom w:w="60" w:type="dxa"/>
              <w:right w:w="70" w:type="dxa"/>
            </w:tcMar>
          </w:tcPr>
          <w:p w:rsidR="000F1385" w:rsidRDefault="00EF3E79">
            <w:r>
              <w:rPr>
                <w:rFonts w:ascii="Times New Roman" w:hAnsi="Times New Roman"/>
                <w:sz w:val="15"/>
              </w:rPr>
              <w:t>Tests BernoulliNB prediction, output shape, class rankings, and Softmax normalization.</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ML Engine</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tests/test_log_odds_attribution.py</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12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Verifies exact additive log-odds </w:t>
            </w:r>
            <w:r>
              <w:rPr>
                <w:rFonts w:ascii="Times New Roman" w:hAnsi="Times New Roman"/>
                <w:sz w:val="15"/>
              </w:rPr>
              <w:t>formula and additivity to machine precision (&lt;1e-10).</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lastRenderedPageBreak/>
              <w:t>ML Engine</w:t>
            </w:r>
          </w:p>
        </w:tc>
        <w:tc>
          <w:tcPr>
            <w:tcW w:w="3168" w:type="dxa"/>
            <w:tcMar>
              <w:top w:w="60" w:type="dxa"/>
              <w:left w:w="70" w:type="dxa"/>
              <w:bottom w:w="60" w:type="dxa"/>
              <w:right w:w="70" w:type="dxa"/>
            </w:tcMar>
          </w:tcPr>
          <w:p w:rsidR="000F1385" w:rsidRDefault="00EF3E79">
            <w:r>
              <w:rPr>
                <w:rFonts w:ascii="Times New Roman" w:hAnsi="Times New Roman"/>
                <w:sz w:val="16"/>
              </w:rPr>
              <w:t>tests/test_vocabulary_validation.py</w:t>
            </w:r>
          </w:p>
        </w:tc>
        <w:tc>
          <w:tcPr>
            <w:tcW w:w="1584" w:type="dxa"/>
            <w:tcMar>
              <w:top w:w="60" w:type="dxa"/>
              <w:left w:w="70" w:type="dxa"/>
              <w:bottom w:w="60" w:type="dxa"/>
              <w:right w:w="70" w:type="dxa"/>
            </w:tcMar>
          </w:tcPr>
          <w:p w:rsidR="000F1385" w:rsidRDefault="00EF3E79">
            <w:r>
              <w:rPr>
                <w:rFonts w:ascii="Times New Roman" w:hAnsi="Times New Roman"/>
                <w:b/>
                <w:sz w:val="16"/>
              </w:rPr>
              <w:t>10 Tests</w:t>
            </w:r>
          </w:p>
        </w:tc>
        <w:tc>
          <w:tcPr>
            <w:tcW w:w="3888" w:type="dxa"/>
            <w:tcMar>
              <w:top w:w="60" w:type="dxa"/>
              <w:left w:w="70" w:type="dxa"/>
              <w:bottom w:w="60" w:type="dxa"/>
              <w:right w:w="70" w:type="dxa"/>
            </w:tcMar>
          </w:tcPr>
          <w:p w:rsidR="000F1385" w:rsidRDefault="00EF3E79">
            <w:r>
              <w:rPr>
                <w:rFonts w:ascii="Times New Roman" w:hAnsi="Times New Roman"/>
                <w:sz w:val="15"/>
              </w:rPr>
              <w:t>Tests 131 symptom vectorization, zero-padding, and invalid symptom rejection.</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ML Engine</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tests/test_missing_dropout.py</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18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Verifies model </w:t>
            </w:r>
            <w:r>
              <w:rPr>
                <w:rFonts w:ascii="Times New Roman" w:hAnsi="Times New Roman"/>
                <w:sz w:val="15"/>
              </w:rPr>
              <w:t>stability under 0%, 30%, and 50% random symptom masking.</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Graph LLM</w:t>
            </w:r>
          </w:p>
        </w:tc>
        <w:tc>
          <w:tcPr>
            <w:tcW w:w="3168" w:type="dxa"/>
            <w:tcMar>
              <w:top w:w="60" w:type="dxa"/>
              <w:left w:w="70" w:type="dxa"/>
              <w:bottom w:w="60" w:type="dxa"/>
              <w:right w:w="70" w:type="dxa"/>
            </w:tcMar>
          </w:tcPr>
          <w:p w:rsidR="000F1385" w:rsidRDefault="00EF3E79">
            <w:r>
              <w:rPr>
                <w:rFonts w:ascii="Times New Roman" w:hAnsi="Times New Roman"/>
                <w:sz w:val="16"/>
              </w:rPr>
              <w:t>tests/test_llm_timeouts.py</w:t>
            </w:r>
          </w:p>
        </w:tc>
        <w:tc>
          <w:tcPr>
            <w:tcW w:w="1584" w:type="dxa"/>
            <w:tcMar>
              <w:top w:w="60" w:type="dxa"/>
              <w:left w:w="70" w:type="dxa"/>
              <w:bottom w:w="60" w:type="dxa"/>
              <w:right w:w="70" w:type="dxa"/>
            </w:tcMar>
          </w:tcPr>
          <w:p w:rsidR="000F1385" w:rsidRDefault="00EF3E79">
            <w:r>
              <w:rPr>
                <w:rFonts w:ascii="Times New Roman" w:hAnsi="Times New Roman"/>
                <w:b/>
                <w:sz w:val="16"/>
              </w:rPr>
              <w:t>8 Tests</w:t>
            </w:r>
          </w:p>
        </w:tc>
        <w:tc>
          <w:tcPr>
            <w:tcW w:w="3888" w:type="dxa"/>
            <w:tcMar>
              <w:top w:w="60" w:type="dxa"/>
              <w:left w:w="70" w:type="dxa"/>
              <w:bottom w:w="60" w:type="dxa"/>
              <w:right w:w="70" w:type="dxa"/>
            </w:tcMar>
          </w:tcPr>
          <w:p w:rsidR="000F1385" w:rsidRDefault="00EF3E79">
            <w:r>
              <w:rPr>
                <w:rFonts w:ascii="Times New Roman" w:hAnsi="Times New Roman"/>
                <w:sz w:val="15"/>
              </w:rPr>
              <w:t>Verifies 10s per-attempt timeout and 20s hard deadline cap enforcement.</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Graph LLM</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tests/test_model_cascade.py</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6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Tests ordered cascade from </w:t>
            </w:r>
            <w:r>
              <w:rPr>
                <w:rFonts w:ascii="Times New Roman" w:hAnsi="Times New Roman"/>
                <w:sz w:val="15"/>
              </w:rPr>
              <w:t>gemini-2.5-flash to fallback models on 429/404.</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Graph LLM</w:t>
            </w:r>
          </w:p>
        </w:tc>
        <w:tc>
          <w:tcPr>
            <w:tcW w:w="3168" w:type="dxa"/>
            <w:tcMar>
              <w:top w:w="60" w:type="dxa"/>
              <w:left w:w="70" w:type="dxa"/>
              <w:bottom w:w="60" w:type="dxa"/>
              <w:right w:w="70" w:type="dxa"/>
            </w:tcMar>
          </w:tcPr>
          <w:p w:rsidR="000F1385" w:rsidRDefault="00EF3E79">
            <w:r>
              <w:rPr>
                <w:rFonts w:ascii="Times New Roman" w:hAnsi="Times New Roman"/>
                <w:sz w:val="16"/>
              </w:rPr>
              <w:t>tests/test_confidence_filter.py</w:t>
            </w:r>
          </w:p>
        </w:tc>
        <w:tc>
          <w:tcPr>
            <w:tcW w:w="1584" w:type="dxa"/>
            <w:tcMar>
              <w:top w:w="60" w:type="dxa"/>
              <w:left w:w="70" w:type="dxa"/>
              <w:bottom w:w="60" w:type="dxa"/>
              <w:right w:w="70" w:type="dxa"/>
            </w:tcMar>
          </w:tcPr>
          <w:p w:rsidR="000F1385" w:rsidRDefault="00EF3E79">
            <w:r>
              <w:rPr>
                <w:rFonts w:ascii="Times New Roman" w:hAnsi="Times New Roman"/>
                <w:b/>
                <w:sz w:val="16"/>
              </w:rPr>
              <w:t>6 Tests</w:t>
            </w:r>
          </w:p>
        </w:tc>
        <w:tc>
          <w:tcPr>
            <w:tcW w:w="3888" w:type="dxa"/>
            <w:tcMar>
              <w:top w:w="60" w:type="dxa"/>
              <w:left w:w="70" w:type="dxa"/>
              <w:bottom w:w="60" w:type="dxa"/>
              <w:right w:w="70" w:type="dxa"/>
            </w:tcMar>
          </w:tcPr>
          <w:p w:rsidR="000F1385" w:rsidRDefault="00EF3E79">
            <w:r>
              <w:rPr>
                <w:rFonts w:ascii="Times New Roman" w:hAnsi="Times New Roman"/>
                <w:sz w:val="15"/>
              </w:rPr>
              <w:t>Tests whole-phrase banned confidence detection and regeneration trigger.</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Graph LLM</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tests/test_template_fallback.py</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6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Verifies deterministic template </w:t>
            </w:r>
            <w:r>
              <w:rPr>
                <w:rFonts w:ascii="Times New Roman" w:hAnsi="Times New Roman"/>
                <w:sz w:val="15"/>
              </w:rPr>
              <w:t>rendering when LLM is offline or times out.</w:t>
            </w:r>
          </w:p>
        </w:tc>
      </w:tr>
      <w:tr w:rsidR="000F1385">
        <w:trPr>
          <w:jc w:val="center"/>
        </w:trPr>
        <w:tc>
          <w:tcPr>
            <w:tcW w:w="1728" w:type="dxa"/>
            <w:tcMar>
              <w:top w:w="60" w:type="dxa"/>
              <w:left w:w="70" w:type="dxa"/>
              <w:bottom w:w="60" w:type="dxa"/>
              <w:right w:w="70" w:type="dxa"/>
            </w:tcMar>
          </w:tcPr>
          <w:p w:rsidR="000F1385" w:rsidRDefault="00EF3E79">
            <w:r>
              <w:rPr>
                <w:rFonts w:ascii="Times New Roman" w:hAnsi="Times New Roman"/>
                <w:b/>
                <w:sz w:val="16"/>
              </w:rPr>
              <w:t>Frontend UI</w:t>
            </w:r>
          </w:p>
        </w:tc>
        <w:tc>
          <w:tcPr>
            <w:tcW w:w="3168" w:type="dxa"/>
            <w:tcMar>
              <w:top w:w="60" w:type="dxa"/>
              <w:left w:w="70" w:type="dxa"/>
              <w:bottom w:w="60" w:type="dxa"/>
              <w:right w:w="70" w:type="dxa"/>
            </w:tcMar>
          </w:tcPr>
          <w:p w:rsidR="000F1385" w:rsidRDefault="00EF3E79">
            <w:r>
              <w:rPr>
                <w:rFonts w:ascii="Times New Roman" w:hAnsi="Times New Roman"/>
                <w:sz w:val="16"/>
              </w:rPr>
              <w:t>tests/test_ui_views.py</w:t>
            </w:r>
          </w:p>
        </w:tc>
        <w:tc>
          <w:tcPr>
            <w:tcW w:w="1584" w:type="dxa"/>
            <w:tcMar>
              <w:top w:w="60" w:type="dxa"/>
              <w:left w:w="70" w:type="dxa"/>
              <w:bottom w:w="60" w:type="dxa"/>
              <w:right w:w="70" w:type="dxa"/>
            </w:tcMar>
          </w:tcPr>
          <w:p w:rsidR="000F1385" w:rsidRDefault="00EF3E79">
            <w:r>
              <w:rPr>
                <w:rFonts w:ascii="Times New Roman" w:hAnsi="Times New Roman"/>
                <w:b/>
                <w:sz w:val="16"/>
              </w:rPr>
              <w:t>5 Tests</w:t>
            </w:r>
          </w:p>
        </w:tc>
        <w:tc>
          <w:tcPr>
            <w:tcW w:w="3888" w:type="dxa"/>
            <w:tcMar>
              <w:top w:w="60" w:type="dxa"/>
              <w:left w:w="70" w:type="dxa"/>
              <w:bottom w:w="60" w:type="dxa"/>
              <w:right w:w="70" w:type="dxa"/>
            </w:tcMar>
          </w:tcPr>
          <w:p w:rsidR="000F1385" w:rsidRDefault="00EF3E79">
            <w:r>
              <w:rPr>
                <w:rFonts w:ascii="Times New Roman" w:hAnsi="Times New Roman"/>
                <w:sz w:val="15"/>
              </w:rPr>
              <w:t>Validates Streamlit page rendering, role authentication, and session expiry warnings.</w:t>
            </w:r>
          </w:p>
        </w:tc>
      </w:tr>
      <w:tr w:rsidR="000F1385">
        <w:trPr>
          <w:jc w:val="center"/>
        </w:trPr>
        <w:tc>
          <w:tcPr>
            <w:tcW w:w="1728" w:type="dxa"/>
            <w:shd w:val="clear" w:color="auto" w:fill="F4F6F7"/>
            <w:tcMar>
              <w:top w:w="60" w:type="dxa"/>
              <w:left w:w="70" w:type="dxa"/>
              <w:bottom w:w="60" w:type="dxa"/>
              <w:right w:w="70" w:type="dxa"/>
            </w:tcMar>
          </w:tcPr>
          <w:p w:rsidR="000F1385" w:rsidRDefault="00EF3E79">
            <w:r>
              <w:rPr>
                <w:rFonts w:ascii="Times New Roman" w:hAnsi="Times New Roman"/>
                <w:b/>
                <w:sz w:val="16"/>
              </w:rPr>
              <w:t>Frontend UI</w:t>
            </w:r>
          </w:p>
        </w:tc>
        <w:tc>
          <w:tcPr>
            <w:tcW w:w="3168" w:type="dxa"/>
            <w:shd w:val="clear" w:color="auto" w:fill="F4F6F7"/>
            <w:tcMar>
              <w:top w:w="60" w:type="dxa"/>
              <w:left w:w="70" w:type="dxa"/>
              <w:bottom w:w="60" w:type="dxa"/>
              <w:right w:w="70" w:type="dxa"/>
            </w:tcMar>
          </w:tcPr>
          <w:p w:rsidR="000F1385" w:rsidRDefault="00EF3E79">
            <w:r>
              <w:rPr>
                <w:rFonts w:ascii="Times New Roman" w:hAnsi="Times New Roman"/>
                <w:sz w:val="16"/>
              </w:rPr>
              <w:t>tests/test_triage_form.py</w:t>
            </w:r>
          </w:p>
        </w:tc>
        <w:tc>
          <w:tcPr>
            <w:tcW w:w="1584" w:type="dxa"/>
            <w:shd w:val="clear" w:color="auto" w:fill="F4F6F7"/>
            <w:tcMar>
              <w:top w:w="60" w:type="dxa"/>
              <w:left w:w="70" w:type="dxa"/>
              <w:bottom w:w="60" w:type="dxa"/>
              <w:right w:w="70" w:type="dxa"/>
            </w:tcMar>
          </w:tcPr>
          <w:p w:rsidR="000F1385" w:rsidRDefault="00EF3E79">
            <w:r>
              <w:rPr>
                <w:rFonts w:ascii="Times New Roman" w:hAnsi="Times New Roman"/>
                <w:b/>
                <w:sz w:val="16"/>
              </w:rPr>
              <w:t>4 Tests</w:t>
            </w:r>
          </w:p>
        </w:tc>
        <w:tc>
          <w:tcPr>
            <w:tcW w:w="3888" w:type="dxa"/>
            <w:shd w:val="clear" w:color="auto" w:fill="F4F6F7"/>
            <w:tcMar>
              <w:top w:w="60" w:type="dxa"/>
              <w:left w:w="70" w:type="dxa"/>
              <w:bottom w:w="60" w:type="dxa"/>
              <w:right w:w="70" w:type="dxa"/>
            </w:tcMar>
          </w:tcPr>
          <w:p w:rsidR="000F1385" w:rsidRDefault="00EF3E79">
            <w:r>
              <w:rPr>
                <w:rFonts w:ascii="Times New Roman" w:hAnsi="Times New Roman"/>
                <w:sz w:val="15"/>
              </w:rPr>
              <w:t xml:space="preserve">Tests symptom selection state, </w:t>
            </w:r>
            <w:r>
              <w:rPr>
                <w:rFonts w:ascii="Times New Roman" w:hAnsi="Times New Roman"/>
                <w:sz w:val="15"/>
              </w:rPr>
              <w:t>payload formatting, and submission handling.</w:t>
            </w:r>
          </w:p>
        </w:tc>
      </w:tr>
    </w:tbl>
    <w:p w:rsidR="000F1385" w:rsidRDefault="00EF3E79">
      <w:pPr>
        <w:spacing w:before="80" w:after="160"/>
        <w:jc w:val="center"/>
      </w:pPr>
      <w:r>
        <w:rPr>
          <w:rFonts w:ascii="Times New Roman" w:hAnsi="Times New Roman"/>
          <w:b/>
          <w:color w:val="546E7A"/>
          <w:sz w:val="20"/>
        </w:rPr>
        <w:t>Table C.1: Detailed Inventory of 321 Prototype Automated Test Cases</w:t>
      </w:r>
    </w:p>
    <w:sectPr w:rsidR="000F1385" w:rsidSect="00034616">
      <w:headerReference w:type="default" r:id="rId25"/>
      <w:footerReference w:type="default" r:id="rId26"/>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F3E79">
      <w:pPr>
        <w:spacing w:after="0" w:line="240" w:lineRule="auto"/>
      </w:pPr>
      <w:r>
        <w:separator/>
      </w:r>
    </w:p>
  </w:endnote>
  <w:endnote w:type="continuationSeparator" w:id="0">
    <w:p w:rsidR="00000000" w:rsidRDefault="00EF3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385" w:rsidRDefault="00EF3E79">
    <w:pPr>
      <w:pStyle w:val="Footer"/>
      <w:jc w:val="right"/>
    </w:pPr>
    <w:r>
      <w:rPr>
        <w:rFonts w:ascii="Times New Roman" w:hAnsi="Times New Roman"/>
        <w:color w:val="546E7A"/>
        <w:sz w:val="19"/>
      </w:rPr>
      <w:t xml:space="preserve">Page </w:t>
    </w:r>
    <w:r>
      <w:fldChar w:fldCharType="begin"/>
    </w:r>
    <w:r>
      <w:instrText>PAGE</w:instrText>
    </w:r>
    <w:r>
      <w:fldChar w:fldCharType="separate"/>
    </w:r>
    <w:r>
      <w:rPr>
        <w:noProof/>
      </w:rPr>
      <w:t>59</w:t>
    </w:r>
    <w:r>
      <w:fldChar w:fldCharType="end"/>
    </w:r>
    <w:r>
      <w:rPr>
        <w:rFonts w:ascii="Times New Roman" w:hAnsi="Times New Roman"/>
        <w:color w:val="546E7A"/>
        <w:sz w:val="19"/>
      </w:rPr>
      <w:t xml:space="preserve"> of </w:t>
    </w:r>
    <w:r>
      <w:fldChar w:fldCharType="begin"/>
    </w:r>
    <w:r>
      <w:instrText>NUMPAGES</w:instrText>
    </w:r>
    <w:r>
      <w:fldChar w:fldCharType="separate"/>
    </w:r>
    <w:r>
      <w:rPr>
        <w:noProof/>
      </w:rPr>
      <w:t>59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F3E79">
      <w:pPr>
        <w:spacing w:after="0" w:line="240" w:lineRule="auto"/>
      </w:pPr>
      <w:r>
        <w:separator/>
      </w:r>
    </w:p>
  </w:footnote>
  <w:footnote w:type="continuationSeparator" w:id="0">
    <w:p w:rsidR="00000000" w:rsidRDefault="00EF3E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385" w:rsidRDefault="00EF3E79">
    <w:pPr>
      <w:pStyle w:val="Header"/>
      <w:jc w:val="right"/>
    </w:pPr>
    <w:r>
      <w:rPr>
        <w:rFonts w:ascii="Times New Roman" w:hAnsi="Times New Roman"/>
        <w:i/>
        <w:color w:val="546E7A"/>
        <w:sz w:val="17"/>
      </w:rPr>
      <w:t>ArogyaMitra: AI-Assisted Primary Healthcare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385"/>
    <w:rsid w:val="0015074B"/>
    <w:rsid w:val="0029639D"/>
    <w:rsid w:val="00326F90"/>
    <w:rsid w:val="00AA1D8D"/>
    <w:rsid w:val="00B47730"/>
    <w:rsid w:val="00CB0664"/>
    <w:rsid w:val="00EF3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D54F91D-3394-451B-84C7-6FBE2EBA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347A5-28D0-482E-9614-47006A6B1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12925</Words>
  <Characters>82323</Characters>
  <Application>Microsoft Office Word</Application>
  <DocSecurity>0</DocSecurity>
  <Lines>1922</Lines>
  <Paragraphs>852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2026-10-31T20:29:00Z</cp:lastPrinted>
  <dcterms:created xsi:type="dcterms:W3CDTF">2013-12-23T23:15:00Z</dcterms:created>
  <dcterms:modified xsi:type="dcterms:W3CDTF">2026-10-31T20:29:00Z</dcterms:modified>
  <cp:category/>
</cp:coreProperties>
</file>