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904F" w14:textId="77777777" w:rsidR="00C912E0" w:rsidRDefault="00C912E0" w:rsidP="00C912E0">
      <w:pPr>
        <w:pStyle w:val="Title"/>
      </w:pPr>
      <w:bookmarkStart w:id="0" w:name="_GoBack"/>
      <w:bookmarkEnd w:id="0"/>
      <w:r>
        <w:t>PIXHAWK TOOL KIT</w:t>
      </w:r>
    </w:p>
    <w:p w14:paraId="206CF48D" w14:textId="17C26226" w:rsidR="00C912E0" w:rsidRDefault="00C912E0" w:rsidP="00C912E0"/>
    <w:p w14:paraId="173C1BC2" w14:textId="2D143F3D" w:rsidR="00C912E0" w:rsidRDefault="00C912E0" w:rsidP="00C912E0">
      <w:pPr>
        <w:pStyle w:val="Heading1"/>
      </w:pPr>
      <w:r>
        <w:t>1 Radio Telemetry Kit 915 MHZ</w:t>
      </w:r>
    </w:p>
    <w:p w14:paraId="7CCAC7F8" w14:textId="0A6679DF" w:rsidR="00C912E0" w:rsidRDefault="00C912E0" w:rsidP="00C912E0"/>
    <w:p w14:paraId="185E0E65" w14:textId="4DF0F5BD" w:rsidR="00C912E0" w:rsidRDefault="00C912E0" w:rsidP="00C912E0">
      <w:r>
        <w:br/>
      </w:r>
      <w:r>
        <w:rPr>
          <w:rStyle w:val="Strong"/>
        </w:rPr>
        <w:t>Features:</w:t>
      </w:r>
      <w:r>
        <w:br/>
        <w:t>• Very small size</w:t>
      </w:r>
      <w:r>
        <w:br/>
        <w:t>• Light weight (under 4 grams without antenna)</w:t>
      </w:r>
      <w:r>
        <w:br/>
        <w:t>• 915Mhz frequency band</w:t>
      </w:r>
      <w:r>
        <w:br/>
        <w:t>• Receiver sensitivity to -117 dBm</w:t>
      </w:r>
      <w:r>
        <w:br/>
        <w:t>• Transmit power up to 20dBm (100mW)</w:t>
      </w:r>
      <w:r>
        <w:br/>
        <w:t>• Transparent serial link</w:t>
      </w:r>
      <w:r>
        <w:br/>
        <w:t>• Air data rates up to 250kbps</w:t>
      </w:r>
      <w:r>
        <w:br/>
        <w:t xml:space="preserve">• Range of </w:t>
      </w:r>
      <w:proofErr w:type="spellStart"/>
      <w:r>
        <w:t>approx</w:t>
      </w:r>
      <w:proofErr w:type="spellEnd"/>
      <w:r>
        <w:t xml:space="preserve"> 1 mile with supplied antennas</w:t>
      </w:r>
      <w:r>
        <w:br/>
        <w:t xml:space="preserve">• Demonstrated range of several </w:t>
      </w:r>
      <w:proofErr w:type="spellStart"/>
      <w:r>
        <w:t>kilometers</w:t>
      </w:r>
      <w:proofErr w:type="spellEnd"/>
      <w:r>
        <w:t xml:space="preserve"> with a small omni antenna</w:t>
      </w:r>
      <w:r>
        <w:br/>
        <w:t>• Can be used with a bi-directional amplifier for even more range</w:t>
      </w:r>
      <w:r>
        <w:br/>
        <w:t xml:space="preserve">• </w:t>
      </w:r>
      <w:proofErr w:type="spellStart"/>
      <w:r>
        <w:t>MAVLink</w:t>
      </w:r>
      <w:proofErr w:type="spellEnd"/>
      <w:r>
        <w:t xml:space="preserve"> protocol framing and status reporting</w:t>
      </w:r>
      <w:r>
        <w:br/>
        <w:t>• Frequency hopping spread spectrum (FHSS)</w:t>
      </w:r>
      <w:r>
        <w:br/>
        <w:t>• Adaptive time division multiplexing (TDM)</w:t>
      </w:r>
      <w:r>
        <w:br/>
        <w:t>• Support for LBT and AFA</w:t>
      </w:r>
      <w:r>
        <w:br/>
        <w:t>• Configurable duty cycle</w:t>
      </w:r>
      <w:r>
        <w:br/>
        <w:t>• Built in error correcting code (can correct up to 25% data bit errors)</w:t>
      </w:r>
      <w:r>
        <w:br/>
        <w:t>• Open source firmware</w:t>
      </w:r>
      <w:r>
        <w:br/>
        <w:t>• AT commands for radio configuration</w:t>
      </w:r>
      <w:r>
        <w:br/>
        <w:t>• RT commands for remote radio configuration</w:t>
      </w:r>
      <w:r>
        <w:br/>
        <w:t>• Adaptive flow control when used with APM</w:t>
      </w:r>
      <w:r>
        <w:br/>
        <w:t xml:space="preserve">• Based on the </w:t>
      </w:r>
      <w:proofErr w:type="spellStart"/>
      <w:r>
        <w:t>HopeRF</w:t>
      </w:r>
      <w:proofErr w:type="spellEnd"/>
      <w:r>
        <w:t xml:space="preserve"> HM-TRP radio module, featuring an SiLabs Si1000 RF microcontroller.</w:t>
      </w:r>
      <w:r>
        <w:br/>
        <w:t>• Upgraded to more convince Molex 1.25mm</w:t>
      </w:r>
      <w:r>
        <w:br/>
      </w:r>
      <w:r>
        <w:br/>
      </w:r>
      <w:r>
        <w:br/>
      </w:r>
      <w:r>
        <w:rPr>
          <w:rStyle w:val="Strong"/>
        </w:rPr>
        <w:t>Specs:</w:t>
      </w:r>
      <w:r>
        <w:br/>
        <w:t xml:space="preserve">Band: </w:t>
      </w:r>
      <w:r>
        <w:rPr>
          <w:rStyle w:val="Strong"/>
        </w:rPr>
        <w:t>915MHz</w:t>
      </w:r>
      <w:r>
        <w:br/>
        <w:t xml:space="preserve">Antenna connectors: </w:t>
      </w:r>
      <w:r>
        <w:rPr>
          <w:rStyle w:val="Strong"/>
        </w:rPr>
        <w:t>RP-SMA connector</w:t>
      </w:r>
      <w:r>
        <w:br/>
        <w:t>Output power:</w:t>
      </w:r>
      <w:r>
        <w:rPr>
          <w:rStyle w:val="Strong"/>
        </w:rPr>
        <w:t xml:space="preserve"> 100mW (20dBm), adjustable between 1-20dBm</w:t>
      </w:r>
      <w:r>
        <w:br/>
        <w:t>Sensitivity:</w:t>
      </w:r>
      <w:r>
        <w:rPr>
          <w:rStyle w:val="Strong"/>
        </w:rPr>
        <w:t xml:space="preserve"> -117dBm sensitivity</w:t>
      </w:r>
      <w:r>
        <w:br/>
        <w:t xml:space="preserve">Interface: </w:t>
      </w:r>
      <w:r>
        <w:rPr>
          <w:rStyle w:val="Strong"/>
        </w:rPr>
        <w:t>Standard TTL UART</w:t>
      </w:r>
      <w:r>
        <w:br/>
        <w:t>Connection status:</w:t>
      </w:r>
      <w:r>
        <w:rPr>
          <w:rStyle w:val="Strong"/>
        </w:rPr>
        <w:t xml:space="preserve"> LED indicators</w:t>
      </w:r>
      <w:r>
        <w:br/>
      </w:r>
      <w:r>
        <w:br/>
      </w:r>
      <w:r>
        <w:br/>
      </w:r>
      <w:r w:rsidR="009B47CB" w:rsidRPr="009B47CB">
        <w:rPr>
          <w:b/>
        </w:rPr>
        <w:t>Configuring Telemetry Radio using Mission Planner</w:t>
      </w:r>
      <w:r w:rsidR="009B47CB">
        <w:rPr>
          <w:b/>
        </w:rPr>
        <w:t xml:space="preserve">: </w:t>
      </w:r>
      <w:hyperlink r:id="rId6" w:history="1">
        <w:r w:rsidR="009B47CB" w:rsidRPr="0019185E">
          <w:rPr>
            <w:rStyle w:val="Hyperlink"/>
          </w:rPr>
          <w:t>http://ardupilot.org/copter/docs/common-configuring-a-telemetry-radio-using-mission-planner.html</w:t>
        </w:r>
      </w:hyperlink>
    </w:p>
    <w:p w14:paraId="726DA0D0" w14:textId="05438659" w:rsidR="009B47CB" w:rsidRDefault="000856D1" w:rsidP="009B47CB">
      <w:hyperlink r:id="rId7" w:history="1">
        <w:r w:rsidR="009B47CB" w:rsidRPr="0019185E">
          <w:rPr>
            <w:rStyle w:val="Hyperlink"/>
          </w:rPr>
          <w:t>https://hobbyking.com/en_us/fpv-radio-telemetry-kit-915mhz-1.html?___store=en_us</w:t>
        </w:r>
      </w:hyperlink>
    </w:p>
    <w:p w14:paraId="133090E8" w14:textId="4892BEBB" w:rsidR="009B47CB" w:rsidRDefault="009B47CB" w:rsidP="009B47CB">
      <w:pPr>
        <w:pStyle w:val="Heading1"/>
      </w:pPr>
      <w:r>
        <w:lastRenderedPageBreak/>
        <w:t>2 PPM Encoder</w:t>
      </w:r>
    </w:p>
    <w:p w14:paraId="4933C941" w14:textId="77777777" w:rsidR="009B47CB" w:rsidRDefault="009B47CB" w:rsidP="009B47CB">
      <w:pPr>
        <w:pStyle w:val="NormalWeb"/>
      </w:pPr>
      <w:r>
        <w:t>The PPM encoder allows to encode up to 8 PWM (pulse width modulated) signals into one PPM (pulse position modulation) signal.</w:t>
      </w:r>
    </w:p>
    <w:p w14:paraId="62BCAC8F" w14:textId="79E57A43" w:rsidR="009B47CB" w:rsidRDefault="009B47CB" w:rsidP="009B47CB">
      <w:r>
        <w:rPr>
          <w:noProof/>
          <w:color w:val="0000FF"/>
        </w:rPr>
        <w:drawing>
          <wp:inline distT="0" distB="0" distL="0" distR="0" wp14:anchorId="793F79CC" wp14:editId="7436EB15">
            <wp:extent cx="4762500" cy="3390900"/>
            <wp:effectExtent l="0" t="0" r="0" b="0"/>
            <wp:docPr id="1" name="Picture 1" descr="../_images/jDrones_PPM_Encoder_V21_Above_with_numbers_500px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jDrones_PPM_Encoder_V21_Above_with_numbers_500px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F672" w14:textId="77777777" w:rsidR="009B47CB" w:rsidRDefault="009B47CB" w:rsidP="009B47CB">
      <w:pPr>
        <w:pStyle w:val="NormalWeb"/>
      </w:pPr>
      <w:r>
        <w:t xml:space="preserve">The </w:t>
      </w:r>
      <w:proofErr w:type="spellStart"/>
      <w:r>
        <w:t>jD</w:t>
      </w:r>
      <w:proofErr w:type="spellEnd"/>
      <w:r>
        <w:t xml:space="preserve">-PPM Encoder (v2.1) uses the </w:t>
      </w:r>
      <w:proofErr w:type="spellStart"/>
      <w:r>
        <w:t>ArduPPM</w:t>
      </w:r>
      <w:proofErr w:type="spellEnd"/>
      <w:r>
        <w:t xml:space="preserve"> firmware, replacing the previously used Paparazzi PPM Encoder firmware. The new </w:t>
      </w:r>
      <w:proofErr w:type="spellStart"/>
      <w:r>
        <w:t>ArduPPM</w:t>
      </w:r>
      <w:proofErr w:type="spellEnd"/>
      <w:r>
        <w:t xml:space="preserve"> firmware has been designed from scratch to enhance performance and robustness, and to better accommodate our product needs now and in the future.</w:t>
      </w:r>
    </w:p>
    <w:p w14:paraId="46CA4576" w14:textId="77777777" w:rsidR="009B47CB" w:rsidRDefault="009B47CB" w:rsidP="009B47CB">
      <w:pPr>
        <w:pStyle w:val="Heading2"/>
      </w:pPr>
      <w:r>
        <w:t>Failsafe output values:</w:t>
      </w:r>
    </w:p>
    <w:p w14:paraId="58D795BC" w14:textId="77777777" w:rsidR="009B47CB" w:rsidRDefault="009B47CB" w:rsidP="009B47CB">
      <w:pPr>
        <w:pStyle w:val="first"/>
        <w:numPr>
          <w:ilvl w:val="0"/>
          <w:numId w:val="1"/>
        </w:numPr>
      </w:pPr>
      <w:r>
        <w:t>New interrupt system that handles certain Futaba receivers better (simultaneous changes on groups of R/C channels in fast intervals) (this was already present in v2.3.13)</w:t>
      </w:r>
    </w:p>
    <w:p w14:paraId="61982D47" w14:textId="77777777" w:rsidR="009B47CB" w:rsidRDefault="009B47CB" w:rsidP="009B47CB">
      <w:pPr>
        <w:pStyle w:val="first"/>
        <w:numPr>
          <w:ilvl w:val="0"/>
          <w:numId w:val="1"/>
        </w:numPr>
      </w:pPr>
      <w:r>
        <w:t>Adapted behaviour in case of channel loss: If one channel is lost, it will be set according to the following table. The other channels will continue working.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780"/>
        <w:gridCol w:w="2050"/>
      </w:tblGrid>
      <w:tr w:rsidR="009B47CB" w14:paraId="62B053AE" w14:textId="77777777" w:rsidTr="009B4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DF0C9" w14:textId="77777777" w:rsidR="009B47CB" w:rsidRDefault="009B47CB">
            <w:r>
              <w:t>Channel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B0963" w14:textId="77777777" w:rsidR="009B47CB" w:rsidRDefault="009B47CB">
            <w:r>
              <w:t>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07EA" w14:textId="77777777" w:rsidR="009B47CB" w:rsidRDefault="009B47CB">
            <w:r>
              <w:t xml:space="preserve">Set to </w:t>
            </w:r>
            <w:proofErr w:type="spellStart"/>
            <w:r>
              <w:t>center</w:t>
            </w:r>
            <w:proofErr w:type="spellEnd"/>
            <w:r>
              <w:t xml:space="preserve"> (1500 </w:t>
            </w:r>
            <w:proofErr w:type="spellStart"/>
            <w:r>
              <w:t>μs</w:t>
            </w:r>
            <w:proofErr w:type="spellEnd"/>
            <w:r>
              <w:t>)</w:t>
            </w:r>
          </w:p>
        </w:tc>
      </w:tr>
      <w:tr w:rsidR="009B47CB" w14:paraId="62EF3398" w14:textId="77777777" w:rsidTr="009B4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7127B" w14:textId="77777777" w:rsidR="009B47CB" w:rsidRDefault="009B47CB">
            <w:r>
              <w:t>Channel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CAB1C" w14:textId="77777777" w:rsidR="009B47CB" w:rsidRDefault="009B47CB">
            <w:r>
              <w:t>Pitch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D3461" w14:textId="77777777" w:rsidR="009B47CB" w:rsidRDefault="009B47CB">
            <w:r>
              <w:t xml:space="preserve">Set to </w:t>
            </w:r>
            <w:proofErr w:type="spellStart"/>
            <w:r>
              <w:t>center</w:t>
            </w:r>
            <w:proofErr w:type="spellEnd"/>
            <w:r>
              <w:t xml:space="preserve"> (1500 </w:t>
            </w:r>
            <w:proofErr w:type="spellStart"/>
            <w:r>
              <w:t>μs</w:t>
            </w:r>
            <w:proofErr w:type="spellEnd"/>
            <w:r>
              <w:t>)</w:t>
            </w:r>
          </w:p>
        </w:tc>
      </w:tr>
      <w:tr w:rsidR="009B47CB" w14:paraId="3C6BA616" w14:textId="77777777" w:rsidTr="009B4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B3D91" w14:textId="77777777" w:rsidR="009B47CB" w:rsidRDefault="009B47CB">
            <w:r>
              <w:t>Channel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59402" w14:textId="77777777" w:rsidR="009B47CB" w:rsidRDefault="009B47CB">
            <w:r>
              <w:t>Throttle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CA45" w14:textId="77777777" w:rsidR="009B47CB" w:rsidRDefault="009B47CB">
            <w:r>
              <w:t xml:space="preserve">Set to low (900 </w:t>
            </w:r>
            <w:proofErr w:type="spellStart"/>
            <w:r>
              <w:t>μs</w:t>
            </w:r>
            <w:proofErr w:type="spellEnd"/>
            <w:r>
              <w:t>)</w:t>
            </w:r>
          </w:p>
        </w:tc>
      </w:tr>
      <w:tr w:rsidR="009B47CB" w14:paraId="6E19F491" w14:textId="77777777" w:rsidTr="009B4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7ED9" w14:textId="77777777" w:rsidR="009B47CB" w:rsidRDefault="009B47CB">
            <w:r>
              <w:t>Channel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2110B" w14:textId="77777777" w:rsidR="009B47CB" w:rsidRDefault="009B47CB">
            <w:r>
              <w:t>Yaw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48E0A" w14:textId="77777777" w:rsidR="009B47CB" w:rsidRDefault="009B47CB">
            <w:r>
              <w:t xml:space="preserve">Set to </w:t>
            </w:r>
            <w:proofErr w:type="spellStart"/>
            <w:r>
              <w:t>center</w:t>
            </w:r>
            <w:proofErr w:type="spellEnd"/>
            <w:r>
              <w:t xml:space="preserve"> (1500 </w:t>
            </w:r>
            <w:proofErr w:type="spellStart"/>
            <w:r>
              <w:t>μs</w:t>
            </w:r>
            <w:proofErr w:type="spellEnd"/>
            <w:r>
              <w:t>)</w:t>
            </w:r>
          </w:p>
        </w:tc>
      </w:tr>
      <w:tr w:rsidR="009B47CB" w14:paraId="15C3683B" w14:textId="77777777" w:rsidTr="009B4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3DD5" w14:textId="77777777" w:rsidR="009B47CB" w:rsidRDefault="009B47CB">
            <w:r>
              <w:t>Channel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90898" w14:textId="77777777" w:rsidR="009B47CB" w:rsidRDefault="009B47CB">
            <w: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B7E92" w14:textId="77777777" w:rsidR="009B47CB" w:rsidRDefault="009B47CB">
            <w:r>
              <w:t>Remain at last value</w:t>
            </w:r>
          </w:p>
        </w:tc>
      </w:tr>
      <w:tr w:rsidR="009B47CB" w14:paraId="2DB644FE" w14:textId="77777777" w:rsidTr="009B4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253F6" w14:textId="77777777" w:rsidR="009B47CB" w:rsidRDefault="009B47CB">
            <w:r>
              <w:t>Channel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C482" w14:textId="77777777" w:rsidR="009B47CB" w:rsidRDefault="009B47CB">
            <w: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E754A" w14:textId="77777777" w:rsidR="009B47CB" w:rsidRDefault="009B47CB">
            <w:r>
              <w:t>Remain at last value</w:t>
            </w:r>
          </w:p>
        </w:tc>
      </w:tr>
      <w:tr w:rsidR="009B47CB" w14:paraId="50925671" w14:textId="77777777" w:rsidTr="009B4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18516" w14:textId="77777777" w:rsidR="009B47CB" w:rsidRDefault="009B47CB">
            <w:r>
              <w:lastRenderedPageBreak/>
              <w:t>Channel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B7B67" w14:textId="77777777" w:rsidR="009B47CB" w:rsidRDefault="009B47CB">
            <w: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9F329" w14:textId="77777777" w:rsidR="009B47CB" w:rsidRDefault="009B47CB">
            <w:r>
              <w:t>Remain at last value</w:t>
            </w:r>
          </w:p>
        </w:tc>
      </w:tr>
      <w:tr w:rsidR="009B47CB" w14:paraId="44021CE0" w14:textId="77777777" w:rsidTr="009B4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1248" w14:textId="77777777" w:rsidR="009B47CB" w:rsidRDefault="009B47CB">
            <w:r>
              <w:t>Channel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916D7" w14:textId="77777777" w:rsidR="009B47CB" w:rsidRDefault="009B47CB">
            <w: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E2945" w14:textId="77777777" w:rsidR="009B47CB" w:rsidRDefault="009B47CB">
            <w:r>
              <w:t>Remain at last value</w:t>
            </w:r>
          </w:p>
        </w:tc>
      </w:tr>
    </w:tbl>
    <w:p w14:paraId="201A8AEE" w14:textId="72C44251" w:rsidR="009B47CB" w:rsidRDefault="009B47CB" w:rsidP="009B47CB">
      <w:pPr>
        <w:pStyle w:val="NormalWeb"/>
        <w:numPr>
          <w:ilvl w:val="0"/>
          <w:numId w:val="1"/>
        </w:numPr>
      </w:pPr>
      <w:r>
        <w:t>In Copter and Plane a fail-safe action can be triggered by the throttle low signal.</w:t>
      </w:r>
    </w:p>
    <w:p w14:paraId="6E311B01" w14:textId="7035B48B" w:rsidR="00CF26F3" w:rsidRDefault="00CF26F3" w:rsidP="00CF26F3">
      <w:pPr>
        <w:pStyle w:val="Heading1"/>
      </w:pPr>
      <w:r>
        <w:t>3 Mini OSD</w:t>
      </w:r>
    </w:p>
    <w:p w14:paraId="35312092" w14:textId="77777777" w:rsidR="00CF26F3" w:rsidRDefault="00CF26F3" w:rsidP="00CF26F3">
      <w:pPr>
        <w:pStyle w:val="NormalWeb"/>
      </w:pPr>
      <w:r>
        <w:t xml:space="preserve">This is a Mini OSD System specially designed for use with small electric powered models. Its light weight and compact design </w:t>
      </w:r>
      <w:proofErr w:type="gramStart"/>
      <w:r>
        <w:t>makes</w:t>
      </w:r>
      <w:proofErr w:type="gramEnd"/>
      <w:r>
        <w:t xml:space="preserve"> it ideal for use on micro planes or any other model where saving weight is crucial.</w:t>
      </w:r>
      <w:r>
        <w:br/>
      </w:r>
      <w:r>
        <w:br/>
        <w:t>This GPS OSD system enables you to view vital data real-time while flying your FPV model. Things such as battery voltage, flight time, ground speed and GPS coordinates are all within view while using this system. This is a must have for you FPV model!</w:t>
      </w:r>
    </w:p>
    <w:p w14:paraId="38BB5C4D" w14:textId="77777777" w:rsidR="00CF26F3" w:rsidRDefault="00CF26F3" w:rsidP="00CF26F3">
      <w:pPr>
        <w:pStyle w:val="NormalWeb"/>
      </w:pPr>
      <w:r>
        <w:rPr>
          <w:rStyle w:val="Strong"/>
          <w:rFonts w:eastAsiaTheme="majorEastAsia"/>
        </w:rPr>
        <w:t>Features:</w:t>
      </w:r>
      <w:r>
        <w:br/>
        <w:t>- GPS Coordinate Display</w:t>
      </w:r>
      <w:r>
        <w:br/>
        <w:t>- Time Display </w:t>
      </w:r>
      <w:r>
        <w:br/>
        <w:t>- Ground Speed Display</w:t>
      </w:r>
      <w:r>
        <w:br/>
        <w:t>- Voltmeter</w:t>
      </w:r>
      <w:r>
        <w:br/>
        <w:t>- Stopwatch</w:t>
      </w:r>
      <w:r>
        <w:br/>
        <w:t>- RSSI Receiver Signal Strength Detection</w:t>
      </w:r>
      <w:r>
        <w:br/>
        <w:t>- Programmable Display Content</w:t>
      </w:r>
      <w:r>
        <w:br/>
        <w:t>- Supports NTSC and PAL TV Signal</w:t>
      </w:r>
      <w:r>
        <w:br/>
        <w:t>- Supports Anti-Glare Shade Control Signal</w:t>
      </w:r>
      <w:r>
        <w:br/>
        <w:t>- Supports Manual Calibration</w:t>
      </w:r>
    </w:p>
    <w:p w14:paraId="06D0D8F5" w14:textId="15651229" w:rsidR="00CF26F3" w:rsidRDefault="00CF26F3" w:rsidP="00CF26F3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Specs.</w:t>
      </w:r>
      <w:r>
        <w:br/>
        <w:t xml:space="preserve">Weight: </w:t>
      </w:r>
      <w:r>
        <w:rPr>
          <w:rStyle w:val="Strong"/>
          <w:rFonts w:eastAsiaTheme="majorEastAsia"/>
        </w:rPr>
        <w:t>Main Board - 4.6g / GPS Module - 25g</w:t>
      </w:r>
      <w:r>
        <w:br/>
        <w:t xml:space="preserve">Dimensions: </w:t>
      </w:r>
      <w:r>
        <w:rPr>
          <w:rStyle w:val="Strong"/>
          <w:rFonts w:eastAsiaTheme="majorEastAsia"/>
        </w:rPr>
        <w:t>Main Board - 34x4x20mm / GPS Module - 45x10x42mm</w:t>
      </w:r>
      <w:r>
        <w:br/>
        <w:t xml:space="preserve">Working Voltage: </w:t>
      </w:r>
      <w:r>
        <w:rPr>
          <w:rStyle w:val="Strong"/>
          <w:rFonts w:eastAsiaTheme="majorEastAsia"/>
        </w:rPr>
        <w:t>Main Board - 7.4~12V / GPS Module - 5V</w:t>
      </w:r>
      <w:r>
        <w:br/>
        <w:t xml:space="preserve">Voltage #1: </w:t>
      </w:r>
      <w:r>
        <w:rPr>
          <w:rStyle w:val="Strong"/>
          <w:rFonts w:eastAsiaTheme="majorEastAsia"/>
        </w:rPr>
        <w:t>2-6S 22.2V</w:t>
      </w:r>
      <w:r>
        <w:br/>
        <w:t xml:space="preserve">Voltage #Aux: </w:t>
      </w:r>
      <w:r>
        <w:rPr>
          <w:rStyle w:val="Strong"/>
          <w:rFonts w:eastAsiaTheme="majorEastAsia"/>
        </w:rPr>
        <w:t>7-28V</w:t>
      </w:r>
    </w:p>
    <w:p w14:paraId="61765EB2" w14:textId="184095AC" w:rsidR="00693F10" w:rsidRDefault="000856D1" w:rsidP="00CF26F3">
      <w:pPr>
        <w:pStyle w:val="NormalWeb"/>
      </w:pPr>
      <w:hyperlink r:id="rId10" w:history="1">
        <w:r w:rsidR="003120B1" w:rsidRPr="0019185E">
          <w:rPr>
            <w:rStyle w:val="Hyperlink"/>
          </w:rPr>
          <w:t>http://ardupilot.org/copter/docs/common-minim-osd-quick-installation-guide.html</w:t>
        </w:r>
      </w:hyperlink>
    </w:p>
    <w:p w14:paraId="00BA945F" w14:textId="12C71459" w:rsidR="00D72F6D" w:rsidRDefault="00D72F6D" w:rsidP="00D72F6D">
      <w:pPr>
        <w:pStyle w:val="Heading1"/>
      </w:pPr>
      <w:r>
        <w:t>4 I2C</w:t>
      </w:r>
    </w:p>
    <w:p w14:paraId="7A64511A" w14:textId="1BB5B60D" w:rsidR="00D72F6D" w:rsidRDefault="00D72F6D" w:rsidP="00D72F6D">
      <w:r>
        <w:t xml:space="preserve">I2C splitter used to connect </w:t>
      </w:r>
      <w:proofErr w:type="spellStart"/>
      <w:r>
        <w:t>upto</w:t>
      </w:r>
      <w:proofErr w:type="spellEnd"/>
      <w:r>
        <w:t xml:space="preserve"> 4 peripherals to I2C port in </w:t>
      </w:r>
      <w:proofErr w:type="spellStart"/>
      <w:r>
        <w:t>pixhawk</w:t>
      </w:r>
      <w:proofErr w:type="spellEnd"/>
    </w:p>
    <w:p w14:paraId="2515E252" w14:textId="466B5AAA" w:rsidR="00D72F6D" w:rsidRDefault="00D72F6D" w:rsidP="00D72F6D">
      <w:pPr>
        <w:pStyle w:val="Heading1"/>
      </w:pPr>
      <w:r>
        <w:t>Bar02- Sensor R1</w:t>
      </w:r>
    </w:p>
    <w:p w14:paraId="1F820CDE" w14:textId="27ED740A" w:rsidR="009D2A51" w:rsidRPr="009D2A51" w:rsidRDefault="009D2A51" w:rsidP="009D2A51">
      <w:r>
        <w:t xml:space="preserve">The </w:t>
      </w:r>
      <w:proofErr w:type="spellStart"/>
      <w:r>
        <w:rPr>
          <w:rStyle w:val="Strong"/>
        </w:rPr>
        <w:t>BlueRobotics</w:t>
      </w:r>
      <w:proofErr w:type="spellEnd"/>
      <w:r>
        <w:rPr>
          <w:rStyle w:val="Strong"/>
        </w:rPr>
        <w:t xml:space="preserve"> Bar02 High-Resolution 10m Depth/Pressure Sensor</w:t>
      </w:r>
      <w:r>
        <w:t xml:space="preserve"> is a low-pressure, high resolution, high accuracy version of the Bar30 sensor. Using the MS5837-02BA sensor from Measurement Specialties, this device can measure up to 10-meter depth (2-bar absolute pressure) with a water depth resolution of just 0.16mm! It can also measure altitude in air using air pressure with a resolution of 13cm. </w:t>
      </w:r>
      <w:r>
        <w:lastRenderedPageBreak/>
        <w:t>It’s housed in the same penetrator form factor as the Bar30 and can handle up to 10-bar absolute pressure (90-meter water depth).</w:t>
      </w:r>
    </w:p>
    <w:p w14:paraId="31BD2F40" w14:textId="77777777" w:rsidR="00D72F6D" w:rsidRPr="00D72F6D" w:rsidRDefault="00D72F6D" w:rsidP="00D72F6D"/>
    <w:p w14:paraId="52CA3A0F" w14:textId="77777777" w:rsidR="00444425" w:rsidRDefault="00444425" w:rsidP="00444425">
      <w:pPr>
        <w:pStyle w:val="Heading2"/>
      </w:pPr>
      <w:r>
        <w:t>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2868"/>
        <w:gridCol w:w="3107"/>
      </w:tblGrid>
      <w:tr w:rsidR="00444425" w14:paraId="131A29C3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393A" w14:textId="77777777" w:rsidR="00444425" w:rsidRDefault="00444425">
            <w:r>
              <w:rPr>
                <w:rStyle w:val="Strong"/>
              </w:rPr>
              <w:t>Electrical</w:t>
            </w:r>
          </w:p>
        </w:tc>
        <w:tc>
          <w:tcPr>
            <w:tcW w:w="0" w:type="auto"/>
            <w:vAlign w:val="center"/>
            <w:hideMark/>
          </w:tcPr>
          <w:p w14:paraId="42FA2F80" w14:textId="77777777" w:rsidR="00444425" w:rsidRDefault="00444425"/>
        </w:tc>
        <w:tc>
          <w:tcPr>
            <w:tcW w:w="0" w:type="auto"/>
            <w:vAlign w:val="center"/>
            <w:hideMark/>
          </w:tcPr>
          <w:p w14:paraId="12FD1BA4" w14:textId="77777777" w:rsidR="00444425" w:rsidRDefault="00444425">
            <w:pPr>
              <w:rPr>
                <w:sz w:val="20"/>
                <w:szCs w:val="20"/>
              </w:rPr>
            </w:pPr>
          </w:p>
        </w:tc>
      </w:tr>
      <w:tr w:rsidR="00444425" w14:paraId="1F7D342D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E6BE" w14:textId="77777777" w:rsidR="00444425" w:rsidRDefault="0044442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C60FD1D" w14:textId="77777777" w:rsidR="00444425" w:rsidRDefault="00444425">
            <w:r>
              <w:rPr>
                <w:rStyle w:val="Strong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FDAFF33" w14:textId="77777777" w:rsidR="00444425" w:rsidRDefault="00444425">
            <w:r>
              <w:rPr>
                <w:rStyle w:val="Strong"/>
              </w:rPr>
              <w:t>Value</w:t>
            </w:r>
          </w:p>
        </w:tc>
      </w:tr>
      <w:tr w:rsidR="00444425" w14:paraId="585C880F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645D" w14:textId="77777777" w:rsidR="00444425" w:rsidRDefault="00444425">
            <w:r>
              <w:t>Supply Voltage</w:t>
            </w:r>
          </w:p>
        </w:tc>
        <w:tc>
          <w:tcPr>
            <w:tcW w:w="0" w:type="auto"/>
            <w:vAlign w:val="center"/>
            <w:hideMark/>
          </w:tcPr>
          <w:p w14:paraId="4AE1F83C" w14:textId="77777777" w:rsidR="00444425" w:rsidRDefault="00444425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59FCF554" w14:textId="77777777" w:rsidR="00444425" w:rsidRDefault="00444425">
            <w:r>
              <w:t>2.5-5.5 volts</w:t>
            </w:r>
          </w:p>
        </w:tc>
      </w:tr>
      <w:tr w:rsidR="00444425" w14:paraId="2EA75FCC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7A8B" w14:textId="77777777" w:rsidR="00444425" w:rsidRDefault="00444425">
            <w:r>
              <w:t>I 2 C Logic Voltage (SDA and SCL)</w:t>
            </w:r>
          </w:p>
        </w:tc>
        <w:tc>
          <w:tcPr>
            <w:tcW w:w="0" w:type="auto"/>
            <w:vAlign w:val="center"/>
            <w:hideMark/>
          </w:tcPr>
          <w:p w14:paraId="55561131" w14:textId="77777777" w:rsidR="00444425" w:rsidRDefault="00444425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61DE77D0" w14:textId="77777777" w:rsidR="00444425" w:rsidRDefault="00444425">
            <w:r>
              <w:t>2.5 - 3.6 volts</w:t>
            </w:r>
          </w:p>
        </w:tc>
      </w:tr>
      <w:tr w:rsidR="00444425" w14:paraId="4369D379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EAE6" w14:textId="77777777" w:rsidR="00444425" w:rsidRDefault="00444425">
            <w:r>
              <w:t>Peak Current</w:t>
            </w:r>
          </w:p>
        </w:tc>
        <w:tc>
          <w:tcPr>
            <w:tcW w:w="0" w:type="auto"/>
            <w:vAlign w:val="center"/>
            <w:hideMark/>
          </w:tcPr>
          <w:p w14:paraId="7ECA78EE" w14:textId="77777777" w:rsidR="00444425" w:rsidRDefault="00444425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388E3A92" w14:textId="77777777" w:rsidR="00444425" w:rsidRDefault="00444425">
            <w:r>
              <w:t>1.25 mA</w:t>
            </w:r>
          </w:p>
        </w:tc>
      </w:tr>
      <w:tr w:rsidR="00444425" w14:paraId="270D21DD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9A07" w14:textId="77777777" w:rsidR="00444425" w:rsidRDefault="00444425">
            <w:r>
              <w:rPr>
                <w:rStyle w:val="Strong"/>
              </w:rPr>
              <w:t>Pressure</w:t>
            </w:r>
          </w:p>
        </w:tc>
        <w:tc>
          <w:tcPr>
            <w:tcW w:w="0" w:type="auto"/>
            <w:vAlign w:val="center"/>
            <w:hideMark/>
          </w:tcPr>
          <w:p w14:paraId="093BECEA" w14:textId="77777777" w:rsidR="00444425" w:rsidRDefault="00444425"/>
        </w:tc>
        <w:tc>
          <w:tcPr>
            <w:tcW w:w="0" w:type="auto"/>
            <w:vAlign w:val="center"/>
            <w:hideMark/>
          </w:tcPr>
          <w:p w14:paraId="5AFC95D6" w14:textId="77777777" w:rsidR="00444425" w:rsidRDefault="00444425">
            <w:pPr>
              <w:rPr>
                <w:sz w:val="20"/>
                <w:szCs w:val="20"/>
              </w:rPr>
            </w:pPr>
          </w:p>
        </w:tc>
      </w:tr>
      <w:tr w:rsidR="00444425" w14:paraId="719A7422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DD13" w14:textId="77777777" w:rsidR="00444425" w:rsidRDefault="0044442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3A5E7CF" w14:textId="77777777" w:rsidR="00444425" w:rsidRDefault="00444425">
            <w:r>
              <w:rPr>
                <w:rStyle w:val="Strong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EBADC18" w14:textId="77777777" w:rsidR="00444425" w:rsidRDefault="00444425">
            <w:r>
              <w:rPr>
                <w:rStyle w:val="Strong"/>
              </w:rPr>
              <w:t>Value</w:t>
            </w:r>
          </w:p>
        </w:tc>
      </w:tr>
      <w:tr w:rsidR="00444425" w14:paraId="4E46287F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4060" w14:textId="77777777" w:rsidR="00444425" w:rsidRDefault="00444425">
            <w:r>
              <w:t>Maximum Mechanical Pressure</w:t>
            </w:r>
          </w:p>
        </w:tc>
        <w:tc>
          <w:tcPr>
            <w:tcW w:w="0" w:type="auto"/>
            <w:vAlign w:val="center"/>
            <w:hideMark/>
          </w:tcPr>
          <w:p w14:paraId="66C07ECF" w14:textId="77777777" w:rsidR="00444425" w:rsidRDefault="00444425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01CDC689" w14:textId="77777777" w:rsidR="00444425" w:rsidRDefault="00444425">
            <w:r>
              <w:t xml:space="preserve">10 </w:t>
            </w:r>
            <w:proofErr w:type="gramStart"/>
            <w:r>
              <w:t>bar</w:t>
            </w:r>
            <w:proofErr w:type="gramEnd"/>
          </w:p>
        </w:tc>
      </w:tr>
      <w:tr w:rsidR="00444425" w14:paraId="6DC2A69D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68DA" w14:textId="77777777" w:rsidR="00444425" w:rsidRDefault="00444425">
            <w:r>
              <w:t>Standard Operating Pressure</w:t>
            </w:r>
          </w:p>
        </w:tc>
        <w:tc>
          <w:tcPr>
            <w:tcW w:w="0" w:type="auto"/>
            <w:vAlign w:val="center"/>
            <w:hideMark/>
          </w:tcPr>
          <w:p w14:paraId="499F666F" w14:textId="77777777" w:rsidR="00444425" w:rsidRDefault="00444425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03299841" w14:textId="77777777" w:rsidR="00444425" w:rsidRDefault="00444425">
            <w:r>
              <w:t>0.3-1.2 bar</w:t>
            </w:r>
          </w:p>
        </w:tc>
      </w:tr>
      <w:tr w:rsidR="00444425" w14:paraId="485DD4BB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CD4C" w14:textId="77777777" w:rsidR="00444425" w:rsidRDefault="00444425">
            <w:r>
              <w:t>Extended Operating Pressure</w:t>
            </w:r>
          </w:p>
        </w:tc>
        <w:tc>
          <w:tcPr>
            <w:tcW w:w="0" w:type="auto"/>
            <w:vAlign w:val="center"/>
            <w:hideMark/>
          </w:tcPr>
          <w:p w14:paraId="1E96BB8C" w14:textId="77777777" w:rsidR="00444425" w:rsidRDefault="00444425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17A5A2A8" w14:textId="77777777" w:rsidR="00444425" w:rsidRDefault="00444425">
            <w:r>
              <w:t>0-2 bar [up to 33 ft (10 m) in water]</w:t>
            </w:r>
          </w:p>
        </w:tc>
      </w:tr>
      <w:tr w:rsidR="00444425" w14:paraId="3C0A53FB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6F1A2" w14:textId="77777777" w:rsidR="00444425" w:rsidRDefault="00444425">
            <w:r>
              <w:t>Absolute Accuracy</w:t>
            </w:r>
          </w:p>
        </w:tc>
        <w:tc>
          <w:tcPr>
            <w:tcW w:w="0" w:type="auto"/>
            <w:vAlign w:val="center"/>
            <w:hideMark/>
          </w:tcPr>
          <w:p w14:paraId="4F60BCAD" w14:textId="77777777" w:rsidR="00444425" w:rsidRDefault="00444425">
            <w:r>
              <w:t>From 600-1000 mbar (20°C)</w:t>
            </w:r>
          </w:p>
        </w:tc>
        <w:tc>
          <w:tcPr>
            <w:tcW w:w="0" w:type="auto"/>
            <w:vAlign w:val="center"/>
            <w:hideMark/>
          </w:tcPr>
          <w:p w14:paraId="4D33171B" w14:textId="77777777" w:rsidR="00444425" w:rsidRDefault="00444425">
            <w:r>
              <w:t>+/- 0.5 mbar</w:t>
            </w:r>
          </w:p>
        </w:tc>
      </w:tr>
      <w:tr w:rsidR="00444425" w14:paraId="6A91CD4A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909C" w14:textId="77777777" w:rsidR="00444425" w:rsidRDefault="00444425"/>
        </w:tc>
        <w:tc>
          <w:tcPr>
            <w:tcW w:w="0" w:type="auto"/>
            <w:vAlign w:val="center"/>
            <w:hideMark/>
          </w:tcPr>
          <w:p w14:paraId="286C9501" w14:textId="77777777" w:rsidR="00444425" w:rsidRDefault="00444425">
            <w:pPr>
              <w:rPr>
                <w:sz w:val="24"/>
                <w:szCs w:val="24"/>
              </w:rPr>
            </w:pPr>
            <w:r>
              <w:t>From 300-1100 mbar (0-60°C)</w:t>
            </w:r>
          </w:p>
        </w:tc>
        <w:tc>
          <w:tcPr>
            <w:tcW w:w="0" w:type="auto"/>
            <w:vAlign w:val="center"/>
            <w:hideMark/>
          </w:tcPr>
          <w:p w14:paraId="689D033B" w14:textId="77777777" w:rsidR="00444425" w:rsidRDefault="00444425">
            <w:r>
              <w:t>+/- 2 mbar (2 cm in freshwater)</w:t>
            </w:r>
          </w:p>
        </w:tc>
      </w:tr>
      <w:tr w:rsidR="00444425" w14:paraId="40C55792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D8E6F" w14:textId="77777777" w:rsidR="00444425" w:rsidRDefault="00444425"/>
        </w:tc>
        <w:tc>
          <w:tcPr>
            <w:tcW w:w="0" w:type="auto"/>
            <w:vAlign w:val="center"/>
            <w:hideMark/>
          </w:tcPr>
          <w:p w14:paraId="49CE3082" w14:textId="77777777" w:rsidR="00444425" w:rsidRDefault="00444425">
            <w:pPr>
              <w:rPr>
                <w:sz w:val="24"/>
                <w:szCs w:val="24"/>
              </w:rPr>
            </w:pPr>
            <w:r>
              <w:t>From 300-1000 mbar (-20-85°C</w:t>
            </w:r>
          </w:p>
        </w:tc>
        <w:tc>
          <w:tcPr>
            <w:tcW w:w="0" w:type="auto"/>
            <w:vAlign w:val="center"/>
            <w:hideMark/>
          </w:tcPr>
          <w:p w14:paraId="0627D28E" w14:textId="77777777" w:rsidR="00444425" w:rsidRDefault="00444425">
            <w:r>
              <w:t>+/- 4 mbar (4 cm in freshwater)</w:t>
            </w:r>
          </w:p>
        </w:tc>
      </w:tr>
      <w:tr w:rsidR="00444425" w14:paraId="6F5AECE6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D488A" w14:textId="77777777" w:rsidR="00444425" w:rsidRDefault="00444425">
            <w:r>
              <w:rPr>
                <w:rStyle w:val="Strong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194C16F" w14:textId="77777777" w:rsidR="00444425" w:rsidRDefault="00444425"/>
        </w:tc>
        <w:tc>
          <w:tcPr>
            <w:tcW w:w="0" w:type="auto"/>
            <w:vAlign w:val="center"/>
            <w:hideMark/>
          </w:tcPr>
          <w:p w14:paraId="12CD7700" w14:textId="77777777" w:rsidR="00444425" w:rsidRDefault="00444425">
            <w:pPr>
              <w:rPr>
                <w:sz w:val="20"/>
                <w:szCs w:val="20"/>
              </w:rPr>
            </w:pPr>
          </w:p>
        </w:tc>
      </w:tr>
      <w:tr w:rsidR="00444425" w14:paraId="7ED8D570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32B6" w14:textId="77777777" w:rsidR="00444425" w:rsidRDefault="0044442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892D09" w14:textId="77777777" w:rsidR="00444425" w:rsidRDefault="00444425">
            <w:r>
              <w:rPr>
                <w:rStyle w:val="Strong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E917F99" w14:textId="77777777" w:rsidR="00444425" w:rsidRDefault="00444425">
            <w:r>
              <w:rPr>
                <w:rStyle w:val="Strong"/>
              </w:rPr>
              <w:t>Value</w:t>
            </w:r>
          </w:p>
        </w:tc>
      </w:tr>
      <w:tr w:rsidR="00444425" w14:paraId="35DE697C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271E" w14:textId="77777777" w:rsidR="00444425" w:rsidRDefault="00444425">
            <w:r>
              <w:t>Operating Temperature</w:t>
            </w:r>
          </w:p>
        </w:tc>
        <w:tc>
          <w:tcPr>
            <w:tcW w:w="0" w:type="auto"/>
            <w:vAlign w:val="center"/>
            <w:hideMark/>
          </w:tcPr>
          <w:p w14:paraId="78C6866F" w14:textId="77777777" w:rsidR="00444425" w:rsidRDefault="00444425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732036AC" w14:textId="77777777" w:rsidR="00444425" w:rsidRDefault="00444425">
            <w:r>
              <w:t>-20 to +85°C</w:t>
            </w:r>
          </w:p>
        </w:tc>
      </w:tr>
      <w:tr w:rsidR="00444425" w14:paraId="2EE97A48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7D69" w14:textId="77777777" w:rsidR="00444425" w:rsidRDefault="00444425">
            <w:r>
              <w:t>Storage Temperature</w:t>
            </w:r>
          </w:p>
        </w:tc>
        <w:tc>
          <w:tcPr>
            <w:tcW w:w="0" w:type="auto"/>
            <w:vAlign w:val="center"/>
            <w:hideMark/>
          </w:tcPr>
          <w:p w14:paraId="72B4E3EF" w14:textId="77777777" w:rsidR="00444425" w:rsidRDefault="00444425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209929E8" w14:textId="77777777" w:rsidR="00444425" w:rsidRDefault="00444425">
            <w:r>
              <w:t>-40 to +85°C</w:t>
            </w:r>
          </w:p>
        </w:tc>
      </w:tr>
      <w:tr w:rsidR="00444425" w14:paraId="2DF68E77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DD32" w14:textId="77777777" w:rsidR="00444425" w:rsidRDefault="00444425">
            <w:r>
              <w:t>Absolute Accuracy</w:t>
            </w:r>
          </w:p>
        </w:tc>
        <w:tc>
          <w:tcPr>
            <w:tcW w:w="0" w:type="auto"/>
            <w:vAlign w:val="center"/>
            <w:hideMark/>
          </w:tcPr>
          <w:p w14:paraId="2BA6941E" w14:textId="77777777" w:rsidR="00444425" w:rsidRDefault="00444425">
            <w:r>
              <w:t>From 300-1100 mbar at -20-85°C</w:t>
            </w:r>
          </w:p>
        </w:tc>
        <w:tc>
          <w:tcPr>
            <w:tcW w:w="0" w:type="auto"/>
            <w:vAlign w:val="center"/>
            <w:hideMark/>
          </w:tcPr>
          <w:p w14:paraId="308D0B48" w14:textId="77777777" w:rsidR="00444425" w:rsidRDefault="00444425">
            <w:r>
              <w:t>+/- 2°C</w:t>
            </w:r>
          </w:p>
        </w:tc>
      </w:tr>
      <w:tr w:rsidR="00444425" w14:paraId="117D76C8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45BE" w14:textId="77777777" w:rsidR="00444425" w:rsidRDefault="00444425">
            <w:r>
              <w:rPr>
                <w:rStyle w:val="Strong"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12B4740D" w14:textId="77777777" w:rsidR="00444425" w:rsidRDefault="00444425"/>
        </w:tc>
        <w:tc>
          <w:tcPr>
            <w:tcW w:w="0" w:type="auto"/>
            <w:vAlign w:val="center"/>
            <w:hideMark/>
          </w:tcPr>
          <w:p w14:paraId="2FD4CB06" w14:textId="77777777" w:rsidR="00444425" w:rsidRDefault="00444425">
            <w:pPr>
              <w:rPr>
                <w:sz w:val="20"/>
                <w:szCs w:val="20"/>
              </w:rPr>
            </w:pPr>
          </w:p>
        </w:tc>
      </w:tr>
      <w:tr w:rsidR="00444425" w14:paraId="67E77A30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82B8" w14:textId="77777777" w:rsidR="00444425" w:rsidRDefault="00444425">
            <w:pPr>
              <w:rPr>
                <w:sz w:val="24"/>
                <w:szCs w:val="24"/>
              </w:rPr>
            </w:pPr>
            <w:r>
              <w:t xml:space="preserve">Wire </w:t>
            </w:r>
            <w:proofErr w:type="spellStart"/>
            <w:r>
              <w:t>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D78D4" w14:textId="77777777" w:rsidR="00444425" w:rsidRDefault="00444425">
            <w:r>
              <w:t>Green - I 2 C Clock (SCL, 3.3V)</w:t>
            </w:r>
          </w:p>
        </w:tc>
        <w:tc>
          <w:tcPr>
            <w:tcW w:w="0" w:type="auto"/>
            <w:vAlign w:val="center"/>
            <w:hideMark/>
          </w:tcPr>
          <w:p w14:paraId="3B312865" w14:textId="77777777" w:rsidR="00444425" w:rsidRDefault="00444425"/>
        </w:tc>
      </w:tr>
      <w:tr w:rsidR="00444425" w14:paraId="1CF620F6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78ED" w14:textId="77777777" w:rsidR="00444425" w:rsidRDefault="0044442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6EEBE" w14:textId="77777777" w:rsidR="00444425" w:rsidRDefault="00444425">
            <w:pPr>
              <w:rPr>
                <w:sz w:val="24"/>
                <w:szCs w:val="24"/>
              </w:rPr>
            </w:pPr>
            <w:r>
              <w:t>White - I 2 C Data (SDA, 3.3V)</w:t>
            </w:r>
          </w:p>
        </w:tc>
        <w:tc>
          <w:tcPr>
            <w:tcW w:w="0" w:type="auto"/>
            <w:vAlign w:val="center"/>
            <w:hideMark/>
          </w:tcPr>
          <w:p w14:paraId="1231D647" w14:textId="77777777" w:rsidR="00444425" w:rsidRDefault="00444425"/>
        </w:tc>
      </w:tr>
      <w:tr w:rsidR="00444425" w14:paraId="14EDAC99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B3591" w14:textId="77777777" w:rsidR="00444425" w:rsidRDefault="0044442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2B7FF" w14:textId="77777777" w:rsidR="00444425" w:rsidRDefault="00444425">
            <w:pPr>
              <w:rPr>
                <w:sz w:val="24"/>
                <w:szCs w:val="24"/>
              </w:rPr>
            </w:pPr>
            <w:r>
              <w:t>Red - Positive (2.5-5.5V)</w:t>
            </w:r>
          </w:p>
        </w:tc>
        <w:tc>
          <w:tcPr>
            <w:tcW w:w="0" w:type="auto"/>
            <w:vAlign w:val="center"/>
            <w:hideMark/>
          </w:tcPr>
          <w:p w14:paraId="6DF96D94" w14:textId="77777777" w:rsidR="00444425" w:rsidRDefault="00444425"/>
        </w:tc>
      </w:tr>
      <w:tr w:rsidR="00444425" w14:paraId="62AB754C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175C" w14:textId="77777777" w:rsidR="00444425" w:rsidRDefault="0044442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423F2" w14:textId="77777777" w:rsidR="00444425" w:rsidRDefault="00444425">
            <w:pPr>
              <w:rPr>
                <w:sz w:val="24"/>
                <w:szCs w:val="24"/>
              </w:rPr>
            </w:pPr>
            <w:r>
              <w:t>Black - Ground</w:t>
            </w:r>
          </w:p>
        </w:tc>
        <w:tc>
          <w:tcPr>
            <w:tcW w:w="0" w:type="auto"/>
            <w:vAlign w:val="center"/>
            <w:hideMark/>
          </w:tcPr>
          <w:p w14:paraId="0604011D" w14:textId="77777777" w:rsidR="00444425" w:rsidRDefault="00444425"/>
        </w:tc>
      </w:tr>
      <w:tr w:rsidR="00444425" w14:paraId="4E6F37A9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D48D" w14:textId="77777777" w:rsidR="00444425" w:rsidRDefault="00444425">
            <w:pPr>
              <w:rPr>
                <w:sz w:val="24"/>
                <w:szCs w:val="24"/>
              </w:rPr>
            </w:pPr>
            <w:r>
              <w:t>Overall Length</w:t>
            </w:r>
          </w:p>
        </w:tc>
        <w:tc>
          <w:tcPr>
            <w:tcW w:w="0" w:type="auto"/>
            <w:vAlign w:val="center"/>
            <w:hideMark/>
          </w:tcPr>
          <w:p w14:paraId="684A0D4C" w14:textId="77777777" w:rsidR="00444425" w:rsidRDefault="00444425">
            <w:r>
              <w:t>37 mm</w:t>
            </w:r>
          </w:p>
        </w:tc>
        <w:tc>
          <w:tcPr>
            <w:tcW w:w="0" w:type="auto"/>
            <w:vAlign w:val="center"/>
            <w:hideMark/>
          </w:tcPr>
          <w:p w14:paraId="7BED01E9" w14:textId="77777777" w:rsidR="00444425" w:rsidRDefault="00444425"/>
        </w:tc>
      </w:tr>
      <w:tr w:rsidR="00444425" w14:paraId="1A4CDE5C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73D84" w14:textId="77777777" w:rsidR="00444425" w:rsidRDefault="00444425">
            <w:pPr>
              <w:rPr>
                <w:sz w:val="24"/>
                <w:szCs w:val="24"/>
              </w:rPr>
            </w:pPr>
            <w:r>
              <w:t>Thread Size</w:t>
            </w:r>
          </w:p>
        </w:tc>
        <w:tc>
          <w:tcPr>
            <w:tcW w:w="0" w:type="auto"/>
            <w:vAlign w:val="center"/>
            <w:hideMark/>
          </w:tcPr>
          <w:p w14:paraId="5FBFB2BD" w14:textId="77777777" w:rsidR="00444425" w:rsidRDefault="00444425">
            <w:r>
              <w:t>M10x1.5 20 mm threaded</w:t>
            </w:r>
          </w:p>
        </w:tc>
        <w:tc>
          <w:tcPr>
            <w:tcW w:w="0" w:type="auto"/>
            <w:vAlign w:val="center"/>
            <w:hideMark/>
          </w:tcPr>
          <w:p w14:paraId="5838E8EE" w14:textId="77777777" w:rsidR="00444425" w:rsidRDefault="00444425"/>
        </w:tc>
      </w:tr>
      <w:tr w:rsidR="00444425" w14:paraId="24C4D491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387B" w14:textId="77777777" w:rsidR="00444425" w:rsidRDefault="00444425">
            <w:pPr>
              <w:rPr>
                <w:sz w:val="24"/>
                <w:szCs w:val="24"/>
              </w:rPr>
            </w:pPr>
            <w:r>
              <w:t>Recommended Through Hole Size</w:t>
            </w:r>
          </w:p>
        </w:tc>
        <w:tc>
          <w:tcPr>
            <w:tcW w:w="0" w:type="auto"/>
            <w:vAlign w:val="center"/>
            <w:hideMark/>
          </w:tcPr>
          <w:p w14:paraId="6DB27DFA" w14:textId="77777777" w:rsidR="00444425" w:rsidRDefault="00444425">
            <w:r>
              <w:t>10-11 mm</w:t>
            </w:r>
          </w:p>
        </w:tc>
        <w:tc>
          <w:tcPr>
            <w:tcW w:w="0" w:type="auto"/>
            <w:vAlign w:val="center"/>
            <w:hideMark/>
          </w:tcPr>
          <w:p w14:paraId="7397E1F8" w14:textId="77777777" w:rsidR="00444425" w:rsidRDefault="00444425"/>
        </w:tc>
      </w:tr>
      <w:tr w:rsidR="00444425" w14:paraId="17DEB5C7" w14:textId="77777777" w:rsidTr="00444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80B0" w14:textId="77777777" w:rsidR="00444425" w:rsidRDefault="00444425">
            <w:pPr>
              <w:rPr>
                <w:sz w:val="24"/>
                <w:szCs w:val="24"/>
              </w:rPr>
            </w:pPr>
            <w:r>
              <w:lastRenderedPageBreak/>
              <w:t>Wrench Flats</w:t>
            </w:r>
          </w:p>
        </w:tc>
        <w:tc>
          <w:tcPr>
            <w:tcW w:w="0" w:type="auto"/>
            <w:vAlign w:val="center"/>
            <w:hideMark/>
          </w:tcPr>
          <w:p w14:paraId="7024BABF" w14:textId="77777777" w:rsidR="00444425" w:rsidRDefault="00444425">
            <w:r>
              <w:t>16 mm</w:t>
            </w:r>
          </w:p>
        </w:tc>
        <w:tc>
          <w:tcPr>
            <w:tcW w:w="0" w:type="auto"/>
            <w:vAlign w:val="center"/>
            <w:hideMark/>
          </w:tcPr>
          <w:p w14:paraId="4C1D3748" w14:textId="77777777" w:rsidR="00444425" w:rsidRDefault="00444425"/>
        </w:tc>
      </w:tr>
    </w:tbl>
    <w:p w14:paraId="575C19D4" w14:textId="3791269D" w:rsidR="00CF26F3" w:rsidRDefault="009D2A51" w:rsidP="009D2A51">
      <w:pPr>
        <w:pStyle w:val="NormalWeb"/>
      </w:pPr>
      <w:r>
        <w:rPr>
          <w:b/>
        </w:rPr>
        <w:t>Data Sheet</w:t>
      </w:r>
      <w:r w:rsidR="00AC7D4C">
        <w:rPr>
          <w:b/>
        </w:rPr>
        <w:t>(MS5837 02BA)</w:t>
      </w:r>
      <w:r>
        <w:rPr>
          <w:b/>
        </w:rPr>
        <w:t xml:space="preserve">: </w:t>
      </w:r>
      <w:hyperlink r:id="rId11" w:history="1">
        <w:r w:rsidRPr="002B675C">
          <w:rPr>
            <w:rStyle w:val="Hyperlink"/>
          </w:rPr>
          <w:t>http://www.te.com/commerce/DocumentDelivery/DDEController?Action=srchrtrv&amp;DocNm=MS5837-02BA01&amp;DocType=Data+Sheet&amp;DocLang=English&amp;DocFormat=pdf&amp;PartCntxt=CAT-BLPS0059</w:t>
        </w:r>
      </w:hyperlink>
    </w:p>
    <w:p w14:paraId="478E25C3" w14:textId="5E956589" w:rsidR="009D2A51" w:rsidRDefault="009D2A51" w:rsidP="009D2A51">
      <w:pPr>
        <w:pStyle w:val="NormalWeb"/>
        <w:rPr>
          <w:b/>
        </w:rPr>
      </w:pPr>
      <w:r w:rsidRPr="006A1257">
        <w:rPr>
          <w:b/>
        </w:rPr>
        <w:t xml:space="preserve">Example code is available for Arduino and Raspberry </w:t>
      </w:r>
      <w:proofErr w:type="gramStart"/>
      <w:r w:rsidRPr="006A1257">
        <w:rPr>
          <w:b/>
        </w:rPr>
        <w:t>Pi(</w:t>
      </w:r>
      <w:proofErr w:type="gramEnd"/>
      <w:r w:rsidRPr="006A1257">
        <w:rPr>
          <w:b/>
        </w:rPr>
        <w:t>Python)</w:t>
      </w:r>
    </w:p>
    <w:p w14:paraId="246518D4" w14:textId="5CADD36E" w:rsidR="006A1257" w:rsidRDefault="000856D1" w:rsidP="009D2A51">
      <w:pPr>
        <w:pStyle w:val="NormalWeb"/>
      </w:pPr>
      <w:hyperlink r:id="rId12" w:history="1">
        <w:r w:rsidR="006A1257" w:rsidRPr="00D72ECE">
          <w:rPr>
            <w:rStyle w:val="Hyperlink"/>
          </w:rPr>
          <w:t>https://github.com/bluerobotics/BlueRobotics_MS5837_Library</w:t>
        </w:r>
      </w:hyperlink>
    </w:p>
    <w:p w14:paraId="13950E56" w14:textId="298BADCB" w:rsidR="006E366E" w:rsidRDefault="000856D1" w:rsidP="009D2A51">
      <w:pPr>
        <w:pStyle w:val="NormalWeb"/>
      </w:pPr>
      <w:hyperlink r:id="rId13" w:anchor="arduino" w:history="1">
        <w:r w:rsidR="006E366E" w:rsidRPr="00D72ECE">
          <w:rPr>
            <w:rStyle w:val="Hyperlink"/>
          </w:rPr>
          <w:t>http://docs.bluerobotics.com/bar02/#arduino</w:t>
        </w:r>
      </w:hyperlink>
    </w:p>
    <w:p w14:paraId="75BFB2E5" w14:textId="4758C523" w:rsidR="006E366E" w:rsidRDefault="000856D1" w:rsidP="009D2A51">
      <w:pPr>
        <w:pStyle w:val="NormalWeb"/>
      </w:pPr>
      <w:hyperlink r:id="rId14" w:history="1">
        <w:r w:rsidR="006E366E" w:rsidRPr="00D72ECE">
          <w:rPr>
            <w:rStyle w:val="Hyperlink"/>
          </w:rPr>
          <w:t>https://github.com/bluerobotics/ms5837-python</w:t>
        </w:r>
      </w:hyperlink>
    </w:p>
    <w:p w14:paraId="0C48B9FE" w14:textId="3C14880B" w:rsidR="006E366E" w:rsidRDefault="000856D1" w:rsidP="009D2A51">
      <w:pPr>
        <w:pStyle w:val="NormalWeb"/>
        <w:rPr>
          <w:rStyle w:val="Hyperlink"/>
        </w:rPr>
      </w:pPr>
      <w:hyperlink r:id="rId15" w:anchor="python" w:history="1">
        <w:r w:rsidR="006E366E" w:rsidRPr="00D72ECE">
          <w:rPr>
            <w:rStyle w:val="Hyperlink"/>
          </w:rPr>
          <w:t>http://docs.bluerobotics.com/bar02/#python</w:t>
        </w:r>
      </w:hyperlink>
    </w:p>
    <w:p w14:paraId="7AB3DCAB" w14:textId="0E02AB82" w:rsidR="005405D6" w:rsidRDefault="000808D3" w:rsidP="005405D6">
      <w:pPr>
        <w:pStyle w:val="Heading1"/>
      </w:pPr>
      <w:r>
        <w:t>6</w:t>
      </w:r>
      <w:r w:rsidR="005405D6">
        <w:t xml:space="preserve"> Power Module with XT60 connectors</w:t>
      </w:r>
    </w:p>
    <w:p w14:paraId="55C3616F" w14:textId="77777777" w:rsidR="005405D6" w:rsidRDefault="005405D6" w:rsidP="005405D6">
      <w:r>
        <w:t>The APM Power Module is a simple way of providing your APM with clean power from a LiPo battery as well as current consumption and battery voltage measurements, all through a 6-pos cable. The on-board switching regulator outputs 5.3V and a maximum of 2.25A from up to a 4S LiPo battery. The Power Module comes completely assembled with XT60 connectors, and wrapped in shrink tubing for protection.</w:t>
      </w:r>
    </w:p>
    <w:p w14:paraId="437DBC76" w14:textId="77777777" w:rsidR="005405D6" w:rsidRDefault="005405D6" w:rsidP="005405D6"/>
    <w:p w14:paraId="49B3CC3D" w14:textId="77777777" w:rsidR="005405D6" w:rsidRDefault="005405D6" w:rsidP="005405D6">
      <w:r>
        <w:t>Specifications:</w:t>
      </w:r>
    </w:p>
    <w:p w14:paraId="11AF240B" w14:textId="77777777" w:rsidR="005405D6" w:rsidRDefault="005405D6" w:rsidP="005405D6"/>
    <w:p w14:paraId="07067259" w14:textId="77777777" w:rsidR="005405D6" w:rsidRDefault="005405D6" w:rsidP="005405D6">
      <w:r>
        <w:t xml:space="preserve">    Max input voltage: 18V</w:t>
      </w:r>
    </w:p>
    <w:p w14:paraId="1D5D643A" w14:textId="77777777" w:rsidR="005405D6" w:rsidRDefault="005405D6" w:rsidP="005405D6">
      <w:r>
        <w:t xml:space="preserve">    Max current sensing: 90A</w:t>
      </w:r>
    </w:p>
    <w:p w14:paraId="22DAB8C6" w14:textId="77777777" w:rsidR="005405D6" w:rsidRDefault="005405D6" w:rsidP="005405D6">
      <w:r>
        <w:t xml:space="preserve">    Voltage and current measurement configured for 5V ADC</w:t>
      </w:r>
    </w:p>
    <w:p w14:paraId="3BEF4425" w14:textId="77777777" w:rsidR="005405D6" w:rsidRDefault="005405D6" w:rsidP="005405D6">
      <w:r>
        <w:t xml:space="preserve">    Switching regulator outputs 5.3V and 2.25A max</w:t>
      </w:r>
    </w:p>
    <w:p w14:paraId="61930E6A" w14:textId="19E926F2" w:rsidR="005405D6" w:rsidRDefault="005405D6" w:rsidP="005405D6">
      <w:r>
        <w:t xml:space="preserve">    6-pos DF13 cable plugs directly to APM 2.5's 'PM' connector</w:t>
      </w:r>
    </w:p>
    <w:p w14:paraId="2087D31B" w14:textId="4CBB64C4" w:rsidR="005405D6" w:rsidRDefault="000808D3" w:rsidP="005405D6">
      <w:pPr>
        <w:pStyle w:val="Heading1"/>
      </w:pPr>
      <w:r>
        <w:t>7</w:t>
      </w:r>
      <w:r w:rsidR="005405D6">
        <w:t xml:space="preserve"> USB RGB</w:t>
      </w:r>
    </w:p>
    <w:p w14:paraId="62342C0E" w14:textId="5ADA6578" w:rsidR="005405D6" w:rsidRDefault="005405D6" w:rsidP="005405D6"/>
    <w:p w14:paraId="257B8884" w14:textId="77777777" w:rsidR="000808D3" w:rsidRPr="000808D3" w:rsidRDefault="000808D3" w:rsidP="000808D3">
      <w:pPr>
        <w:rPr>
          <w:b/>
          <w:bCs/>
        </w:rPr>
      </w:pPr>
      <w:r w:rsidRPr="000808D3">
        <w:rPr>
          <w:b/>
          <w:bCs/>
        </w:rPr>
        <w:t>Product Description</w:t>
      </w:r>
    </w:p>
    <w:p w14:paraId="0F30F710" w14:textId="77777777" w:rsidR="000808D3" w:rsidRPr="000808D3" w:rsidRDefault="000808D3" w:rsidP="000808D3">
      <w:r w:rsidRPr="000808D3">
        <w:t xml:space="preserve">USB extension with RGB LED for </w:t>
      </w:r>
      <w:proofErr w:type="spellStart"/>
      <w:r w:rsidRPr="000808D3">
        <w:t>Pixhawk</w:t>
      </w:r>
      <w:proofErr w:type="spellEnd"/>
      <w:r w:rsidRPr="000808D3">
        <w:t xml:space="preserve"> flight controllers.</w:t>
      </w:r>
    </w:p>
    <w:p w14:paraId="6482E2BF" w14:textId="77777777" w:rsidR="000808D3" w:rsidRPr="000808D3" w:rsidRDefault="000808D3" w:rsidP="000808D3">
      <w:r w:rsidRPr="000808D3">
        <w:t xml:space="preserve">This unit provides easily access to a USB when your </w:t>
      </w:r>
      <w:proofErr w:type="spellStart"/>
      <w:r w:rsidRPr="000808D3">
        <w:t>Pixhawk</w:t>
      </w:r>
      <w:proofErr w:type="spellEnd"/>
      <w:r w:rsidRPr="000808D3">
        <w:t xml:space="preserve"> is less accessible, the LED gives the same status updates as shown on the </w:t>
      </w:r>
      <w:proofErr w:type="spellStart"/>
      <w:r w:rsidRPr="000808D3">
        <w:t>Pixhawk</w:t>
      </w:r>
      <w:proofErr w:type="spellEnd"/>
      <w:r w:rsidRPr="000808D3">
        <w:t xml:space="preserve"> unit.</w:t>
      </w:r>
    </w:p>
    <w:p w14:paraId="0C41B399" w14:textId="77777777" w:rsidR="000808D3" w:rsidRPr="000808D3" w:rsidRDefault="000808D3" w:rsidP="000808D3">
      <w:r w:rsidRPr="000808D3">
        <w:t xml:space="preserve">Cable included, for the LED the 4p DF13 </w:t>
      </w:r>
      <w:proofErr w:type="spellStart"/>
      <w:r w:rsidRPr="000808D3">
        <w:t>conects</w:t>
      </w:r>
      <w:proofErr w:type="spellEnd"/>
      <w:r w:rsidRPr="000808D3">
        <w:t xml:space="preserve"> to the I2C port, for the USB the 4p DF13 connect to USB port.</w:t>
      </w:r>
    </w:p>
    <w:p w14:paraId="07738876" w14:textId="77777777" w:rsidR="005405D6" w:rsidRPr="005405D6" w:rsidRDefault="005405D6" w:rsidP="005405D6"/>
    <w:p w14:paraId="58E5F192" w14:textId="77777777" w:rsidR="006E366E" w:rsidRDefault="006E366E" w:rsidP="009D2A51">
      <w:pPr>
        <w:pStyle w:val="NormalWeb"/>
      </w:pPr>
    </w:p>
    <w:p w14:paraId="68FB17AF" w14:textId="77777777" w:rsidR="006A1257" w:rsidRPr="006A1257" w:rsidRDefault="006A1257" w:rsidP="009D2A51">
      <w:pPr>
        <w:pStyle w:val="NormalWeb"/>
      </w:pPr>
    </w:p>
    <w:p w14:paraId="2F6F84C6" w14:textId="77777777" w:rsidR="009D2A51" w:rsidRPr="009D2A51" w:rsidRDefault="009D2A51" w:rsidP="009D2A51">
      <w:pPr>
        <w:pStyle w:val="NormalWeb"/>
      </w:pPr>
    </w:p>
    <w:p w14:paraId="3A4EF738" w14:textId="77777777" w:rsidR="009B47CB" w:rsidRPr="009B47CB" w:rsidRDefault="009B47CB" w:rsidP="009B47CB"/>
    <w:sectPr w:rsidR="009B47CB" w:rsidRPr="009B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62F20"/>
    <w:multiLevelType w:val="multilevel"/>
    <w:tmpl w:val="555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E0"/>
    <w:rsid w:val="000808D3"/>
    <w:rsid w:val="000856D1"/>
    <w:rsid w:val="00233007"/>
    <w:rsid w:val="003120B1"/>
    <w:rsid w:val="00345184"/>
    <w:rsid w:val="00444425"/>
    <w:rsid w:val="004B661C"/>
    <w:rsid w:val="005405D6"/>
    <w:rsid w:val="00693F10"/>
    <w:rsid w:val="006A1257"/>
    <w:rsid w:val="006E366E"/>
    <w:rsid w:val="009B47CB"/>
    <w:rsid w:val="009D2A51"/>
    <w:rsid w:val="00A002E2"/>
    <w:rsid w:val="00A9332D"/>
    <w:rsid w:val="00AC7D4C"/>
    <w:rsid w:val="00C912E0"/>
    <w:rsid w:val="00CF26F3"/>
    <w:rsid w:val="00D72F6D"/>
    <w:rsid w:val="00EA35F9"/>
    <w:rsid w:val="00F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FBCF"/>
  <w15:chartTrackingRefBased/>
  <w15:docId w15:val="{56E1C830-5DD5-44E5-8851-20BF42AC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2E0"/>
  </w:style>
  <w:style w:type="paragraph" w:styleId="Heading1">
    <w:name w:val="heading 1"/>
    <w:basedOn w:val="Normal"/>
    <w:next w:val="Normal"/>
    <w:link w:val="Heading1Char"/>
    <w:uiPriority w:val="9"/>
    <w:qFormat/>
    <w:rsid w:val="00C912E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2E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2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2E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2E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2E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2E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2E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2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912E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C912E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12E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E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2E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2E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2E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2E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2E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2E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2E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2E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912E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912E0"/>
    <w:rPr>
      <w:b/>
      <w:bCs/>
    </w:rPr>
  </w:style>
  <w:style w:type="character" w:styleId="Emphasis">
    <w:name w:val="Emphasis"/>
    <w:basedOn w:val="DefaultParagraphFont"/>
    <w:uiPriority w:val="20"/>
    <w:qFormat/>
    <w:rsid w:val="00C912E0"/>
    <w:rPr>
      <w:i/>
      <w:iCs/>
    </w:rPr>
  </w:style>
  <w:style w:type="paragraph" w:styleId="NoSpacing">
    <w:name w:val="No Spacing"/>
    <w:uiPriority w:val="1"/>
    <w:qFormat/>
    <w:rsid w:val="00C912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2E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12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2E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2E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12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12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12E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912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912E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2E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4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7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1">
    <w:name w:val="Caption1"/>
    <w:basedOn w:val="Normal"/>
    <w:rsid w:val="009B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aption-text">
    <w:name w:val="caption-text"/>
    <w:basedOn w:val="DefaultParagraphFont"/>
    <w:rsid w:val="009B47CB"/>
  </w:style>
  <w:style w:type="paragraph" w:customStyle="1" w:styleId="first">
    <w:name w:val="first"/>
    <w:basedOn w:val="Normal"/>
    <w:rsid w:val="009B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pilot.org/copter/_images/jDrones_PPM_Encoder_V21_Above_with_numbers_500px.jpg" TargetMode="External"/><Relationship Id="rId13" Type="http://schemas.openxmlformats.org/officeDocument/2006/relationships/hyperlink" Target="http://docs.bluerobotics.com/bar02/" TargetMode="External"/><Relationship Id="rId3" Type="http://schemas.openxmlformats.org/officeDocument/2006/relationships/styles" Target="styles.xml"/><Relationship Id="rId7" Type="http://schemas.openxmlformats.org/officeDocument/2006/relationships/hyperlink" Target="https://hobbyking.com/en_us/fpv-radio-telemetry-kit-915mhz-1.html?___store=en_us" TargetMode="External"/><Relationship Id="rId12" Type="http://schemas.openxmlformats.org/officeDocument/2006/relationships/hyperlink" Target="https://github.com/bluerobotics/BlueRobotics_MS5837_Libra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ardupilot.org/copter/docs/common-configuring-a-telemetry-radio-using-mission-planner.html" TargetMode="External"/><Relationship Id="rId11" Type="http://schemas.openxmlformats.org/officeDocument/2006/relationships/hyperlink" Target="http://www.te.com/commerce/DocumentDelivery/DDEController?Action=srchrtrv&amp;DocNm=MS5837-02BA01&amp;DocType=Data+Sheet&amp;DocLang=English&amp;DocFormat=pdf&amp;PartCntxt=CAT-BLPS00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bluerobotics.com/bar02/" TargetMode="External"/><Relationship Id="rId10" Type="http://schemas.openxmlformats.org/officeDocument/2006/relationships/hyperlink" Target="http://ardupilot.org/copter/docs/common-minim-osd-quick-installation-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bluerobotics/ms5837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9401-A1AA-4F11-AC32-36901C98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Ambast</dc:creator>
  <cp:keywords/>
  <dc:description/>
  <cp:lastModifiedBy>Satyam Ambast</cp:lastModifiedBy>
  <cp:revision>5</cp:revision>
  <dcterms:created xsi:type="dcterms:W3CDTF">2018-10-07T10:30:00Z</dcterms:created>
  <dcterms:modified xsi:type="dcterms:W3CDTF">2018-12-21T11:32:00Z</dcterms:modified>
</cp:coreProperties>
</file>