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shd w:val="clear" w:fill="0A1B2E"/>
      </w:pPr>
      <w:r>
        <w:rPr>
          <w:rFonts w:ascii="Calibri" w:hAnsi="Calibri"/>
          <w:b w:val="0"/>
          <w:i w:val="0"/>
          <w:color w:val="0A1B2E"/>
          <w:sz w:val="12"/>
        </w:rPr>
        <w:t xml:space="preserve">  </w:t>
      </w:r>
    </w:p>
    <w:p>
      <w:pPr>
        <w:spacing w:after="80" w:before="2000"/>
        <w:jc w:val="center"/>
      </w:pPr>
      <w:r>
        <w:rPr>
          <w:rFonts w:ascii="Calibri" w:hAnsi="Calibri"/>
          <w:b/>
          <w:i w:val="0"/>
          <w:color w:val="00B4D8"/>
          <w:sz w:val="20"/>
        </w:rPr>
        <w:t>CONFIDENTIAL  ·  STRATEGIC PARTNERSHIP PROPOSAL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0A1B2E"/>
          <w:sz w:val="80"/>
        </w:rPr>
        <w:t>NeuralQuant + StockEdge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3A4A5E"/>
          <w:sz w:val="36"/>
        </w:rPr>
        <w:t>AI Research Pilot + Call Option</w:t>
      </w:r>
    </w:p>
    <w:p>
      <w:pPr>
        <w:spacing w:after="280" w:before="160"/>
        <w:jc w:val="center"/>
        <w:pBdr>
          <w:bottom w:val="single" w:sz="18" w:space="1" w:color="C9A227"/>
        </w:pBdr>
      </w:pPr>
      <w:r>
        <w:rPr>
          <w:rFonts w:ascii="Calibri" w:hAnsi="Calibri"/>
          <w:b w:val="0"/>
          <w:i w:val="0"/>
          <w:color w:val="FFFFFF"/>
          <w:sz w:val="4"/>
        </w:rPr>
        <w:t xml:space="preserve">    </w:t>
      </w:r>
    </w:p>
    <w:p>
      <w:pPr>
        <w:spacing w:after="2400" w:before="0"/>
        <w:jc w:val="center"/>
      </w:pPr>
      <w:r>
        <w:rPr>
          <w:rFonts w:ascii="Calibri" w:hAnsi="Calibri"/>
          <w:b w:val="0"/>
          <w:i w:val="0"/>
          <w:color w:val="3A4A5E"/>
          <w:sz w:val="22"/>
        </w:rPr>
        <w:t>A 12-month exclusive licensing pilot to embed PARA-DEBATE™ + IRS% inside StockEdge</w:t>
      </w:r>
    </w:p>
    <w:p>
      <w:pPr>
        <w:spacing w:before="120" w:after="120"/>
        <w:jc w:val="center"/>
        <w:shd w:val="clear" w:color="auto" w:fill="0A1B2E"/>
        <w:pBdr>
          <w:top w:val="single" w:sz="10" w:space="6" w:color="C9A227"/>
          <w:left w:val="single" w:sz="10" w:space="6" w:color="C9A227"/>
          <w:bottom w:val="single" w:sz="10" w:space="6" w:color="C9A227"/>
          <w:right w:val="single" w:sz="10" w:space="6" w:color="C9A227"/>
        </w:pBdr>
      </w:pPr>
      <w:r>
        <w:rPr>
          <w:rFonts w:ascii="Calibri" w:hAnsi="Calibri"/>
          <w:b/>
          <w:i w:val="0"/>
          <w:color w:val="C9A227"/>
          <w:sz w:val="30"/>
        </w:rPr>
        <w:t>Lead offer: ₹50 lakh upfront + 15% revenue share + ₹2.5 Cr call option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0B4D8"/>
                <w:sz w:val="18"/>
              </w:rPr>
              <w:t>PREPARED</w:t>
            </w:r>
          </w:p>
        </w:tc>
        <w:tc>
          <w:tcPr>
            <w:tcW w:type="dxa" w:w="604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121A24"/>
                <w:sz w:val="21"/>
              </w:rPr>
              <w:t>June 2026</w:t>
            </w:r>
          </w:p>
        </w:tc>
      </w:tr>
      <w:tr>
        <w:tc>
          <w:tcPr>
            <w:tcW w:type="dxa" w:w="201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0B4D8"/>
                <w:sz w:val="18"/>
              </w:rPr>
              <w:t>FROM</w:t>
            </w:r>
          </w:p>
        </w:tc>
        <w:tc>
          <w:tcPr>
            <w:tcW w:type="dxa" w:w="604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121A24"/>
                <w:sz w:val="21"/>
              </w:rPr>
              <w:t>Satyam Das  —  satyamdas03@gmail.com</w:t>
            </w:r>
          </w:p>
        </w:tc>
      </w:tr>
      <w:tr>
        <w:tc>
          <w:tcPr>
            <w:tcW w:type="dxa" w:w="201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0B4D8"/>
                <w:sz w:val="18"/>
              </w:rPr>
              <w:t>TO</w:t>
            </w:r>
          </w:p>
        </w:tc>
        <w:tc>
          <w:tcPr>
            <w:tcW w:type="dxa" w:w="604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121A24"/>
                <w:sz w:val="21"/>
              </w:rPr>
              <w:t>StockEdge Fintech Pvt Ltd</w:t>
            </w:r>
          </w:p>
        </w:tc>
      </w:tr>
      <w:tr>
        <w:tc>
          <w:tcPr>
            <w:tcW w:type="dxa" w:w="201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0B4D8"/>
                <w:sz w:val="18"/>
              </w:rPr>
              <w:t>AUDIENCE</w:t>
            </w:r>
          </w:p>
        </w:tc>
        <w:tc>
          <w:tcPr>
            <w:tcW w:type="dxa" w:w="604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121A24"/>
                <w:sz w:val="21"/>
              </w:rPr>
              <w:t>Vineet Patawari, CEO  ·  Vivek Bajaj, MD</w:t>
            </w:r>
          </w:p>
        </w:tc>
      </w:tr>
      <w:tr>
        <w:tc>
          <w:tcPr>
            <w:tcW w:type="dxa" w:w="201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0B4D8"/>
                <w:sz w:val="18"/>
              </w:rPr>
              <w:t>STATUS</w:t>
            </w:r>
          </w:p>
        </w:tc>
        <w:tc>
          <w:tcPr>
            <w:tcW w:type="dxa" w:w="604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121A24"/>
                <w:sz w:val="21"/>
              </w:rPr>
              <w:t>Live platform  ·  v4.1.3  ·  15/15 smoke tests passing</w:t>
            </w:r>
          </w:p>
        </w:tc>
      </w:tr>
    </w:tbl>
    <w:p>
      <w:pPr>
        <w:spacing w:after="0" w:before="2400"/>
        <w:jc w:val="center"/>
      </w:pPr>
      <w:r>
        <w:rPr>
          <w:rFonts w:ascii="Calibri" w:hAnsi="Calibri"/>
          <w:b w:val="0"/>
          <w:i/>
          <w:color w:val="3A4A5E"/>
          <w:sz w:val="18"/>
        </w:rPr>
        <w:t>Strictly confidential — transmit only under signed mutual NDA.</w:t>
      </w:r>
    </w:p>
    <w:p>
      <w:r>
        <w:br w:type="page"/>
      </w:r>
    </w:p>
    <w:p>
      <w:pPr>
        <w:keepNext/>
        <w:spacing w:before="360" w:after="160"/>
        <w:pBdr>
          <w:bottom w:val="single" w:sz="12" w:space="4" w:color="00B4D8"/>
        </w:pBdr>
      </w:pPr>
      <w:r>
        <w:rPr>
          <w:rFonts w:ascii="Calibri" w:hAnsi="Calibri"/>
          <w:b/>
          <w:i w:val="0"/>
          <w:color w:val="0A1B2E"/>
          <w:sz w:val="32"/>
        </w:rPr>
        <w:t>1.  Executive Summary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21A24"/>
          <w:sz w:val="22"/>
        </w:rPr>
        <w:t>NeuralQuant is a production-grade, multi-agent AI stock-research platform covering the US and India equity markets (~949 stocks). It is live and operational today at neuralquant.co — not a prototype, not a slide deck.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21A24"/>
          <w:sz w:val="22"/>
        </w:rPr>
        <w:t>StockEdge has built India's largest retail research distribution engine: 4M+ registered users, SEBI-registered Research Analyst and Investment Adviser licenses, and a publicly stated ambition to create a 'Bloomberg-for-Bharat' ecosystem. NeuralQuant has built the reasoning layer that turns data into defended, risk-aware investment conclusions.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21A24"/>
          <w:sz w:val="22"/>
        </w:rPr>
        <w:t>This proposal is not a request for a ₹3 Crore cash acquisition on Day 1. It is a low-risk, gated partnership: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12-month exclusive pilot: embed NeuralQuant's PARA-DEBATE™ + IRS% engine inside StockEdge Pro / Club / Investment Cases.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Small upfront license fee to cover integration and exclusivity.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Revenue-share kicker tied only to the incremental subscribers the AI tier converts.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Call option: StockEdge can acquire the IP, codebase, and domain once the pilot proves conversion.</w:t>
      </w:r>
    </w:p>
    <w:p>
      <w:pPr>
        <w:spacing w:after="16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you get</w:t>
            </w:r>
          </w:p>
        </w:tc>
        <w:tc>
          <w:tcPr>
            <w:tcW w:type="dxa" w:w="7056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A live, patent-pending AI research engine that fills four visible product gaps in StockEdge today.</w:t>
            </w:r>
          </w:p>
        </w:tc>
      </w:tr>
      <w:tr>
        <w:tc>
          <w:tcPr>
            <w:tcW w:type="dxa" w:w="2448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we get</w:t>
            </w:r>
          </w:p>
        </w:tc>
        <w:tc>
          <w:tcPr>
            <w:tcW w:type="dxa" w:w="7056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A low-risk pilot fee + a revenue share on the AI tier we help create + a path to full acquisition.</w:t>
            </w:r>
          </w:p>
        </w:tc>
      </w:tr>
      <w:tr>
        <w:tc>
          <w:tcPr>
            <w:tcW w:type="dxa" w:w="2448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StockEdge users get</w:t>
            </w:r>
          </w:p>
        </w:tc>
        <w:tc>
          <w:tcPr>
            <w:tcW w:type="dxa" w:w="7056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Interactive 'why this stock?' answers, adversarial risk sections, regime-aware IRS% scores, and US+IN dual-market coverage.</w:t>
            </w:r>
          </w:p>
        </w:tc>
      </w:tr>
      <w:tr>
        <w:tc>
          <w:tcPr>
            <w:tcW w:type="dxa" w:w="2448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regulators see</w:t>
            </w:r>
          </w:p>
        </w:tc>
        <w:tc>
          <w:tcPr>
            <w:tcW w:type="dxa" w:w="7056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Research analysis produced under StockEdge's existing SEBI RA/IA licenses — no new registration required.</w:t>
            </w:r>
          </w:p>
        </w:tc>
      </w:tr>
    </w:tbl>
    <w:p>
      <w:pPr>
        <w:keepNext/>
        <w:spacing w:before="360" w:after="160"/>
        <w:pBdr>
          <w:bottom w:val="single" w:sz="12" w:space="4" w:color="00B4D8"/>
        </w:pBdr>
      </w:pPr>
      <w:r>
        <w:rPr>
          <w:rFonts w:ascii="Calibri" w:hAnsi="Calibri"/>
          <w:b/>
          <w:i w:val="0"/>
          <w:color w:val="0A1B2E"/>
          <w:sz w:val="32"/>
        </w:rPr>
        <w:t>2.  Why NeuralQuant + StockEdge Makes Strategic Sense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3A4A5E"/>
          <w:sz w:val="25"/>
        </w:rPr>
        <w:t>2.1 StockEdge's ambition is NeuralQuant's exact output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21A24"/>
          <w:sz w:val="22"/>
        </w:rPr>
        <w:t>Vivek Bajaj has repeatedly said his life goal is to build a Bloomberg-like ecosystem for Indian retail investors. Bloomberg provides data; NeuralQuant provides the reasoning and risk discipline on top of data — bull case, adversarial bear case, regime-aware scoring, and position-sizing guidance. The combination gives StockEdge a genuine 'full stack from data to decision.'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3A4A5E"/>
          <w:sz w:val="25"/>
        </w:rPr>
        <w:t>2.2 Four gaps in StockEdge today that NeuralQuant fills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StockEdge gap today</w:t>
            </w:r>
          </w:p>
        </w:tc>
        <w:tc>
          <w:tcPr>
            <w:tcW w:type="dxa" w:w="3024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NeuralQuant capability</w:t>
            </w:r>
          </w:p>
        </w:tc>
        <w:tc>
          <w:tcPr>
            <w:tcW w:type="dxa" w:w="4032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Why it matters</w:t>
            </w:r>
          </w:p>
        </w:tc>
      </w:tr>
      <w:tr>
        <w:tc>
          <w:tcPr>
            <w:tcW w:type="dxa" w:w="2448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No LLM 'Ask AI' research assistant</w:t>
            </w:r>
          </w:p>
        </w:tc>
        <w:tc>
          <w:tcPr>
            <w:tcW w:type="dxa" w:w="3024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Ask Morgan + PARA-DEBATE agents</w:t>
            </w:r>
          </w:p>
        </w:tc>
        <w:tc>
          <w:tcPr>
            <w:tcW w:type="dxa" w:w="403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Turns static scans into interactive 'why this stock?' answers</w:t>
            </w:r>
          </w:p>
        </w:tc>
      </w:tr>
      <w:tr>
        <w:tc>
          <w:tcPr>
            <w:tcW w:type="dxa" w:w="2448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No adversarial risk section</w:t>
            </w:r>
          </w:p>
        </w:tc>
        <w:tc>
          <w:tcPr>
            <w:tcW w:type="dxa" w:w="3024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PARA-DEBATE™ 6+1 agent committee with mandated BEAR</w:t>
            </w:r>
          </w:p>
        </w:tc>
        <w:tc>
          <w:tcPr>
            <w:tcW w:type="dxa" w:w="403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Produces the counter-argument section StockEdge lacks</w:t>
            </w:r>
          </w:p>
        </w:tc>
      </w:tr>
      <w:tr>
        <w:tc>
          <w:tcPr>
            <w:tcW w:type="dxa" w:w="2448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No regime-aware position-sizing metric</w:t>
            </w:r>
          </w:p>
        </w:tc>
        <w:tc>
          <w:tcPr>
            <w:tcW w:type="dxa" w:w="3024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IRS% (Investment-Ready Score)</w:t>
            </w:r>
          </w:p>
        </w:tc>
        <w:tc>
          <w:tcPr>
            <w:tcW w:type="dxa" w:w="403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Complements RS55/RSI with macro-adaptive conviction</w:t>
            </w:r>
          </w:p>
        </w:tc>
      </w:tr>
      <w:tr>
        <w:tc>
          <w:tcPr>
            <w:tcW w:type="dxa" w:w="2448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No US equity coverage</w:t>
            </w:r>
          </w:p>
        </w:tc>
        <w:tc>
          <w:tcPr>
            <w:tcW w:type="dxa" w:w="3024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US + India dual-market pipeline</w:t>
            </w:r>
          </w:p>
        </w:tc>
        <w:tc>
          <w:tcPr>
            <w:tcW w:type="dxa" w:w="403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Niche differentiator for HNIs and Club subscribers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i w:val="0"/>
          <w:color w:val="3A4A5E"/>
          <w:sz w:val="25"/>
        </w:rPr>
        <w:t>2.3 Revenue synergy paths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StockEdge revenue line</w:t>
            </w:r>
          </w:p>
        </w:tc>
        <w:tc>
          <w:tcPr>
            <w:tcW w:type="dxa" w:w="6192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How NeuralQuant strengthens it</w:t>
            </w:r>
          </w:p>
        </w:tc>
      </w:tr>
      <w:tr>
        <w:tc>
          <w:tcPr>
            <w:tcW w:type="dxa" w:w="331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StockEdge Pro / Premium (~₹11,989/yr)</w:t>
            </w:r>
          </w:p>
        </w:tc>
        <w:tc>
          <w:tcPr>
            <w:tcW w:type="dxa" w:w="619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Bundle PARA-DEBATE reports for NSE 200 as a higher-tier 'Pro AI' upsell</w:t>
            </w:r>
          </w:p>
        </w:tc>
      </w:tr>
      <w:tr>
        <w:tc>
          <w:tcPr>
            <w:tcW w:type="dxa" w:w="331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Investment Cases / smallcase (₹3,000–12,000/yr)</w:t>
            </w:r>
          </w:p>
        </w:tc>
        <w:tc>
          <w:tcPr>
            <w:tcW w:type="dxa" w:w="619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Use IRS% + regime output to justify rebalancing in model portfolios</w:t>
            </w:r>
          </w:p>
        </w:tc>
      </w:tr>
      <w:tr>
        <w:tc>
          <w:tcPr>
            <w:tcW w:type="dxa" w:w="331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StockEdge Club (₹23,989/yr)</w:t>
            </w:r>
          </w:p>
        </w:tc>
        <w:tc>
          <w:tcPr>
            <w:tcW w:type="dxa" w:w="619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Live 'Ask the AI Analyst' sessions on audience-requested stocks</w:t>
            </w:r>
          </w:p>
        </w:tc>
      </w:tr>
      <w:tr>
        <w:tc>
          <w:tcPr>
            <w:tcW w:type="dxa" w:w="331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Kotak Neo / B2B distribution</w:t>
            </w:r>
          </w:p>
        </w:tc>
        <w:tc>
          <w:tcPr>
            <w:tcW w:type="dxa" w:w="619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Resell the engine to broker partners, mirroring the 2021 Kotak partnership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i w:val="0"/>
          <w:color w:val="3A4A5E"/>
          <w:sz w:val="25"/>
        </w:rPr>
        <w:t>2.4 Regulatory complementarity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121A24"/>
          <w:sz w:val="22"/>
        </w:rPr>
        <w:t>StockEdge holds both SEBI registrations that NeuralQuant lacks: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Research Analyst (RA): INH300007493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Investment Adviser (IA): INA000017781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A4A5E"/>
          <w:sz w:val="21"/>
        </w:rPr>
        <w:t>By embedding NeuralQuant as a research-analysis tool under StockEdge's existing licenses, the output is immediately SEBI-compliant — with StockEdge's compliance officer sign-off, disclaimers, and no guaranteed-return language. NeuralQuant does not need its own RA/IA registration.</w:t>
      </w:r>
    </w:p>
    <w:p>
      <w:pPr>
        <w:keepNext/>
        <w:spacing w:before="360" w:after="160"/>
        <w:pBdr>
          <w:bottom w:val="single" w:sz="12" w:space="4" w:color="00B4D8"/>
        </w:pBdr>
      </w:pPr>
      <w:r>
        <w:rPr>
          <w:rFonts w:ascii="Calibri" w:hAnsi="Calibri"/>
          <w:b/>
          <w:i w:val="0"/>
          <w:color w:val="0A1B2E"/>
          <w:sz w:val="32"/>
        </w:rPr>
        <w:t>3.  What NeuralQuant Is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3A4A5E"/>
          <w:sz w:val="25"/>
        </w:rPr>
        <w:t>3.1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Dimension</w:t>
            </w:r>
          </w:p>
        </w:tc>
        <w:tc>
          <w:tcPr>
            <w:tcW w:type="dxa" w:w="6624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Scale</w:t>
            </w:r>
          </w:p>
        </w:tc>
      </w:tr>
      <w:tr>
        <w:tc>
          <w:tcPr>
            <w:tcW w:type="dxa" w:w="2880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Live site</w:t>
            </w:r>
          </w:p>
        </w:tc>
        <w:tc>
          <w:tcPr>
            <w:tcW w:type="dxa" w:w="6624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neuralquant.co (Vercel, auto-deployed)</w:t>
            </w:r>
          </w:p>
        </w:tc>
      </w:tr>
      <w:tr>
        <w:tc>
          <w:tcPr>
            <w:tcW w:type="dxa" w:w="2880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API</w:t>
            </w:r>
          </w:p>
        </w:tc>
        <w:tc>
          <w:tcPr>
            <w:tcW w:type="dxa" w:w="6624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neuralquant.onrender.com (FastAPI, v4.1.3)</w:t>
            </w:r>
          </w:p>
        </w:tc>
      </w:tr>
      <w:tr>
        <w:tc>
          <w:tcPr>
            <w:tcW w:type="dxa" w:w="2880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Backend routers</w:t>
            </w:r>
          </w:p>
        </w:tc>
        <w:tc>
          <w:tcPr>
            <w:tcW w:type="dxa" w:w="6624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33</w:t>
            </w:r>
          </w:p>
        </w:tc>
      </w:tr>
      <w:tr>
        <w:tc>
          <w:tcPr>
            <w:tcW w:type="dxa" w:w="2880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Web pages</w:t>
            </w:r>
          </w:p>
        </w:tc>
        <w:tc>
          <w:tcPr>
            <w:tcW w:type="dxa" w:w="6624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38</w:t>
            </w:r>
          </w:p>
        </w:tc>
      </w:tr>
      <w:tr>
        <w:tc>
          <w:tcPr>
            <w:tcW w:type="dxa" w:w="2880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Running services</w:t>
            </w:r>
          </w:p>
        </w:tc>
        <w:tc>
          <w:tcPr>
            <w:tcW w:type="dxa" w:w="6624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7 (4 Render, 1 Vercel, 1 GCP, 1 Supabase)</w:t>
            </w:r>
          </w:p>
        </w:tc>
      </w:tr>
      <w:tr>
        <w:tc>
          <w:tcPr>
            <w:tcW w:type="dxa" w:w="2880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Markets</w:t>
            </w:r>
          </w:p>
        </w:tc>
        <w:tc>
          <w:tcPr>
            <w:tcW w:type="dxa" w:w="6624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US + India</w:t>
            </w:r>
          </w:p>
        </w:tc>
      </w:tr>
      <w:tr>
        <w:tc>
          <w:tcPr>
            <w:tcW w:type="dxa" w:w="2880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Stock universe</w:t>
            </w:r>
          </w:p>
        </w:tc>
        <w:tc>
          <w:tcPr>
            <w:tcW w:type="dxa" w:w="6624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~949 stocks (502 India + 447 US)</w:t>
            </w:r>
          </w:p>
        </w:tc>
      </w:tr>
      <w:tr>
        <w:tc>
          <w:tcPr>
            <w:tcW w:type="dxa" w:w="2880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AI agents</w:t>
            </w:r>
          </w:p>
        </w:tc>
        <w:tc>
          <w:tcPr>
            <w:tcW w:type="dxa" w:w="6624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8 distinct agents</w:t>
            </w:r>
          </w:p>
        </w:tc>
      </w:tr>
      <w:tr>
        <w:tc>
          <w:tcPr>
            <w:tcW w:type="dxa" w:w="2880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Live voice interfaces</w:t>
            </w:r>
          </w:p>
        </w:tc>
        <w:tc>
          <w:tcPr>
            <w:tcW w:type="dxa" w:w="6624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2 (voice PM + ambient companion)</w:t>
            </w:r>
          </w:p>
        </w:tc>
      </w:tr>
      <w:tr>
        <w:tc>
          <w:tcPr>
            <w:tcW w:type="dxa" w:w="2880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Production tests</w:t>
            </w:r>
          </w:p>
        </w:tc>
        <w:tc>
          <w:tcPr>
            <w:tcW w:type="dxa" w:w="6624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186 backend tests passing, 15/15 live smoke suite</w:t>
            </w:r>
          </w:p>
        </w:tc>
      </w:tr>
      <w:tr>
        <w:tc>
          <w:tcPr>
            <w:tcW w:type="dxa" w:w="2880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Patent status</w:t>
            </w:r>
          </w:p>
        </w:tc>
        <w:tc>
          <w:tcPr>
            <w:tcW w:type="dxa" w:w="6624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Provisional application filed (India), PCT contemplated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i w:val="0"/>
          <w:color w:val="3A4A5E"/>
          <w:sz w:val="25"/>
        </w:rPr>
        <w:t>3.2 Flagship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024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Capability</w:t>
            </w:r>
          </w:p>
        </w:tc>
        <w:tc>
          <w:tcPr>
            <w:tcW w:type="dxa" w:w="6480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What it does</w:t>
            </w:r>
          </w:p>
        </w:tc>
      </w:tr>
      <w:tr>
        <w:tc>
          <w:tcPr>
            <w:tcW w:type="dxa" w:w="3024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PARA-DEBATE™ adversarial committee ★</w:t>
            </w:r>
          </w:p>
        </w:tc>
        <w:tc>
          <w:tcPr>
            <w:tcW w:type="dxa" w:w="6480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6 specialist agents + mandated BEAR + Head Analyst synthesis. Every conclusion stress-tested by a steelmanned bear case. Prevents consensus herding and hallucination.</w:t>
            </w:r>
          </w:p>
        </w:tc>
      </w:tr>
      <w:tr>
        <w:tc>
          <w:tcPr>
            <w:tcW w:type="dxa" w:w="3024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IRS% scoring engine ★</w:t>
            </w:r>
          </w:p>
        </w:tc>
        <w:tc>
          <w:tcPr>
            <w:tcW w:type="dxa" w:w="6480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Five-factor composite (quality, momentum, value, low-vol, regime) + NSE Bhavcopy delivery_pct for India — unique market-microstructure signal.</w:t>
            </w:r>
          </w:p>
        </w:tc>
      </w:tr>
      <w:tr>
        <w:tc>
          <w:tcPr>
            <w:tcW w:type="dxa" w:w="3024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HMM regime detection ★</w:t>
            </w:r>
          </w:p>
        </w:tc>
        <w:tc>
          <w:tcPr>
            <w:tcW w:type="dxa" w:w="6480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4-state Hidden Markov Model dynamically reweighting factor exposure by market regime.</w:t>
            </w:r>
          </w:p>
        </w:tc>
      </w:tr>
      <w:tr>
        <w:tc>
          <w:tcPr>
            <w:tcW w:type="dxa" w:w="3024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Ask Morgan</w:t>
            </w:r>
          </w:p>
        </w:tc>
        <w:tc>
          <w:tcPr>
            <w:tcW w:type="dxa" w:w="6480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Written AI analyst with live price injection, clarification questions, and numeric reconciliation against a [VERIFIED] data layer.</w:t>
            </w:r>
          </w:p>
        </w:tc>
      </w:tr>
      <w:tr>
        <w:tc>
          <w:tcPr>
            <w:tcW w:type="dxa" w:w="3024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Veronica + QuantAstra</w:t>
            </w:r>
          </w:p>
        </w:tc>
        <w:tc>
          <w:tcPr>
            <w:tcW w:type="dxa" w:w="6480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Two live voice agents via LiveKit, Deepgram STT, LiveKit Inference TTS, and Anthropic/Bedrock LLMs.</w:t>
            </w:r>
          </w:p>
        </w:tc>
      </w:tr>
      <w:tr>
        <w:tc>
          <w:tcPr>
            <w:tcW w:type="dxa" w:w="3024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Hermes live trading dashboard</w:t>
            </w:r>
          </w:p>
        </w:tc>
        <w:tc>
          <w:tcPr>
            <w:tcW w:type="dxa" w:w="6480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Real-time paper-trading matrix with equity curve, trade tape, and strategy-reflection SSE stream.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i w:val="0"/>
          <w:color w:val="3A4A5E"/>
          <w:sz w:val="25"/>
        </w:rPr>
        <w:t>3.3 Validation &amp; track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Metric</w:t>
            </w:r>
          </w:p>
        </w:tc>
        <w:tc>
          <w:tcPr>
            <w:tcW w:type="dxa" w:w="6048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Result</w:t>
            </w:r>
          </w:p>
        </w:tc>
      </w:tr>
      <w:tr>
        <w:tc>
          <w:tcPr>
            <w:tcW w:type="dxa" w:w="3456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Backtest performance</w:t>
            </w:r>
          </w:p>
        </w:tc>
        <w:tc>
          <w:tcPr>
            <w:tcW w:type="dxa" w:w="6048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Not claimed (no audited or reproducible result)</w:t>
            </w:r>
          </w:p>
        </w:tc>
      </w:tr>
      <w:tr>
        <w:tc>
          <w:tcPr>
            <w:tcW w:type="dxa" w:w="3456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Live smoke suite</w:t>
            </w:r>
          </w:p>
        </w:tc>
        <w:tc>
          <w:tcPr>
            <w:tcW w:type="dxa" w:w="6048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15/15 passing</w:t>
            </w:r>
          </w:p>
        </w:tc>
      </w:tr>
      <w:tr>
        <w:tc>
          <w:tcPr>
            <w:tcW w:type="dxa" w:w="3456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Backtest reproducibility</w:t>
            </w:r>
          </w:p>
        </w:tc>
        <w:tc>
          <w:tcPr>
            <w:tcW w:type="dxa" w:w="6048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Baseline stored in Supabase</w:t>
            </w:r>
          </w:p>
        </w:tc>
      </w:tr>
    </w:tbl>
    <w:p>
      <w:pPr>
        <w:keepNext/>
        <w:spacing w:before="360" w:after="160"/>
        <w:pBdr>
          <w:bottom w:val="single" w:sz="12" w:space="4" w:color="00B4D8"/>
        </w:pBdr>
      </w:pPr>
      <w:r>
        <w:rPr>
          <w:rFonts w:ascii="Calibri" w:hAnsi="Calibri"/>
          <w:b/>
          <w:i w:val="0"/>
          <w:color w:val="0A1B2E"/>
          <w:sz w:val="32"/>
        </w:rPr>
        <w:t>4.  The Proposed Deal Structure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3A4A5E"/>
          <w:sz w:val="25"/>
        </w:rPr>
        <w:t>4.1 Primary recommendation: 12-month licensing pilot + call option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Component</w:t>
            </w:r>
          </w:p>
        </w:tc>
        <w:tc>
          <w:tcPr>
            <w:tcW w:type="dxa" w:w="6048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Term</w:t>
            </w:r>
          </w:p>
        </w:tc>
      </w:tr>
      <w:tr>
        <w:tc>
          <w:tcPr>
            <w:tcW w:type="dxa" w:w="3456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Upfront license fee</w:t>
            </w:r>
          </w:p>
        </w:tc>
        <w:tc>
          <w:tcPr>
            <w:tcW w:type="dxa" w:w="6048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₹50 lakh for exclusive India-market integration rights to PARA-DEBATE™ + IRS%</w:t>
            </w:r>
          </w:p>
        </w:tc>
      </w:tr>
      <w:tr>
        <w:tc>
          <w:tcPr>
            <w:tcW w:type="dxa" w:w="3456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Universe covered</w:t>
            </w:r>
          </w:p>
        </w:tc>
        <w:tc>
          <w:tcPr>
            <w:tcW w:type="dxa" w:w="6048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NSE 200 + BSE 500 (expandable by mutual agreement)</w:t>
            </w:r>
          </w:p>
        </w:tc>
      </w:tr>
      <w:tr>
        <w:tc>
          <w:tcPr>
            <w:tcW w:type="dxa" w:w="3456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Revenue share</w:t>
            </w:r>
          </w:p>
        </w:tc>
        <w:tc>
          <w:tcPr>
            <w:tcW w:type="dxa" w:w="6048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15% of incremental ARR from any new AI tier launched using the engine</w:t>
            </w:r>
          </w:p>
        </w:tc>
      </w:tr>
      <w:tr>
        <w:tc>
          <w:tcPr>
            <w:tcW w:type="dxa" w:w="3456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Revenue-share cap</w:t>
            </w:r>
          </w:p>
        </w:tc>
        <w:tc>
          <w:tcPr>
            <w:tcW w:type="dxa" w:w="6048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₹2 Crore over 24 months</w:t>
            </w:r>
          </w:p>
        </w:tc>
      </w:tr>
      <w:tr>
        <w:tc>
          <w:tcPr>
            <w:tcW w:type="dxa" w:w="3456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Pilot gates</w:t>
            </w:r>
          </w:p>
        </w:tc>
        <w:tc>
          <w:tcPr>
            <w:tcW w:type="dxa" w:w="6048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10,000 MAU; 1,000 paid upgrades; avg report latency &lt; 30s</w:t>
            </w:r>
          </w:p>
        </w:tc>
      </w:tr>
      <w:tr>
        <w:tc>
          <w:tcPr>
            <w:tcW w:type="dxa" w:w="3456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Call option</w:t>
            </w:r>
          </w:p>
        </w:tc>
        <w:tc>
          <w:tcPr>
            <w:tcW w:type="dxa" w:w="6048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Acquire NeuralQuant IP, codebase, and neuralquant.co for ₹2.5 Crore within 24 months</w:t>
            </w:r>
          </w:p>
        </w:tc>
      </w:tr>
      <w:tr>
        <w:tc>
          <w:tcPr>
            <w:tcW w:type="dxa" w:w="3456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License fee credit</w:t>
            </w:r>
          </w:p>
        </w:tc>
        <w:tc>
          <w:tcPr>
            <w:tcW w:type="dxa" w:w="6048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₹50 lakh upfront credited against call-option purchase price</w:t>
            </w:r>
          </w:p>
        </w:tc>
      </w:tr>
      <w:tr>
        <w:tc>
          <w:tcPr>
            <w:tcW w:type="dxa" w:w="3456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SEBI wrapper</w:t>
            </w:r>
          </w:p>
        </w:tc>
        <w:tc>
          <w:tcPr>
            <w:tcW w:type="dxa" w:w="6048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All outputs labeled under StockEdge RA INH300007493 with required disclaimers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i w:val="0"/>
          <w:color w:val="3A4A5E"/>
          <w:sz w:val="25"/>
        </w:rPr>
        <w:t>4.2 Why this structure fits StockEdge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Low upfront cash: ₹50 lakh is less than two senior engineers for a year — minimal balance-sheet impact.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Aligned incentives: most of NeuralQuant's compensation is a revenue share on the new AI tier.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Risk reversal: StockEdge only exercises the call option if pilot data justifies it.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Regulatory safety: engine sits under StockEdge's existing RA/IA licenses.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Exclusivity: prevents NeuralQuant from licensing the same engine to a competing Indian platform during the pilot.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3A4A5E"/>
          <w:sz w:val="25"/>
        </w:rPr>
        <w:t>4.3 Fallback structures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Structure</w:t>
            </w:r>
          </w:p>
        </w:tc>
        <w:tc>
          <w:tcPr>
            <w:tcW w:type="dxa" w:w="4032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Mechanics</w:t>
            </w:r>
          </w:p>
        </w:tc>
        <w:tc>
          <w:tcPr>
            <w:tcW w:type="dxa" w:w="2880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When it suits StockEdge</w:t>
            </w:r>
          </w:p>
        </w:tc>
      </w:tr>
      <w:tr>
        <w:tc>
          <w:tcPr>
            <w:tcW w:type="dxa" w:w="259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Strategic investment + distribution</w:t>
            </w:r>
          </w:p>
        </w:tc>
        <w:tc>
          <w:tcPr>
            <w:tcW w:type="dxa" w:w="403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₹5–8 Cr for 15–20% stake; exclusive integration; board observer</w:t>
            </w:r>
          </w:p>
        </w:tc>
        <w:tc>
          <w:tcPr>
            <w:tcW w:type="dxa" w:w="2880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Deeper alignment without full acquisition risk</w:t>
            </w:r>
          </w:p>
        </w:tc>
      </w:tr>
      <w:tr>
        <w:tc>
          <w:tcPr>
            <w:tcW w:type="dxa" w:w="259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Acqui-hire / IP buyout</w:t>
            </w:r>
          </w:p>
        </w:tc>
        <w:tc>
          <w:tcPr>
            <w:tcW w:type="dxa" w:w="403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₹1.5–2 Cr cash for team + codebase; founder stays 6–12 months</w:t>
            </w:r>
          </w:p>
        </w:tc>
        <w:tc>
          <w:tcPr>
            <w:tcW w:type="dxa" w:w="2880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Absorb team and fold IP in-house quickly</w:t>
            </w:r>
          </w:p>
        </w:tc>
      </w:tr>
      <w:tr>
        <w:tc>
          <w:tcPr>
            <w:tcW w:type="dxa" w:w="259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Full acquisition with earnout</w:t>
            </w:r>
          </w:p>
        </w:tc>
        <w:tc>
          <w:tcPr>
            <w:tcW w:type="dxa" w:w="403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₹1 Cr upfront + ₹2 Cr tied to AI-tier conversions over 18 months</w:t>
            </w:r>
          </w:p>
        </w:tc>
        <w:tc>
          <w:tcPr>
            <w:tcW w:type="dxa" w:w="2880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Confident in immediate product-market fit</w:t>
            </w:r>
          </w:p>
        </w:tc>
      </w:tr>
      <w:tr>
        <w:tc>
          <w:tcPr>
            <w:tcW w:type="dxa" w:w="259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Stock swap</w:t>
            </w:r>
          </w:p>
        </w:tc>
        <w:tc>
          <w:tcPr>
            <w:tcW w:type="dxa" w:w="403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NeuralQuant equity swapped into KIPL shares</w:t>
            </w:r>
          </w:p>
        </w:tc>
        <w:tc>
          <w:tcPr>
            <w:tcW w:type="dxa" w:w="2880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Only if near-term IPO path is credible</w:t>
            </w:r>
          </w:p>
        </w:tc>
      </w:tr>
    </w:tbl>
    <w:p>
      <w:pPr>
        <w:keepNext/>
        <w:spacing w:before="360" w:after="160"/>
        <w:pBdr>
          <w:bottom w:val="single" w:sz="12" w:space="4" w:color="00B4D8"/>
        </w:pBdr>
      </w:pPr>
      <w:r>
        <w:rPr>
          <w:rFonts w:ascii="Calibri" w:hAnsi="Calibri"/>
          <w:b/>
          <w:i w:val="0"/>
          <w:color w:val="0A1B2E"/>
          <w:sz w:val="32"/>
        </w:rPr>
        <w:t>5.  SEBI-Compliant Integration Specification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3A4A5E"/>
          <w:sz w:val="25"/>
        </w:rPr>
        <w:t>5.1 Regulatory premise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21A24"/>
          <w:sz w:val="22"/>
        </w:rPr>
        <w:t>StockEdge is the licensed entity. NeuralQuant is the technology provider. The AI engine produces research analysis, not personalized investment advice. Final labeling, disclaimers, and any 'buy/sell/hold' language are controlled by StockEdge under its RA/IA registrations.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3A4A5E"/>
          <w:sz w:val="25"/>
        </w:rPr>
        <w:t>5.2 Output labeling (every user-facing report)</w:t>
      </w:r>
    </w:p>
    <w:p>
      <w:pPr>
        <w:spacing w:after="120"/>
        <w:ind w:left="288"/>
        <w:shd w:val="clear" w:color="auto" w:fill="EEF3F7"/>
        <w:pBdr>
          <w:top w:val="single" w:sz="4" w:space="6" w:color="00B4D8"/>
          <w:left w:val="single" w:sz="4" w:space="6" w:color="00B4D8"/>
          <w:bottom w:val="single" w:sz="4" w:space="6" w:color="00B4D8"/>
          <w:right w:val="single" w:sz="4" w:space="6" w:color="00B4D8"/>
        </w:pBdr>
      </w:pPr>
      <w:r>
        <w:rPr>
          <w:rFonts w:ascii="Consolas" w:hAnsi="Consolas"/>
          <w:b w:val="0"/>
          <w:i w:val="0"/>
          <w:color w:val="3A4A5E"/>
          <w:sz w:val="18"/>
        </w:rPr>
        <w:t>Research analysis powered by NeuralQuant.</w:t>
        <w:br/>
        <w:t>Reviewed under StockEdge Research Analyst registration INH300007493.</w:t>
        <w:br/>
        <w:t>This is not investment advice. Past performance does not guarantee future results.</w:t>
        <w:br/>
        <w:t>Consult a SEBI-registered investment adviser before acting.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3A4A5E"/>
          <w:sz w:val="25"/>
        </w:rPr>
        <w:t>5.3 Compliance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Control</w:t>
            </w:r>
          </w:p>
        </w:tc>
        <w:tc>
          <w:tcPr>
            <w:tcW w:type="dxa" w:w="6336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Implementation</w:t>
            </w:r>
          </w:p>
        </w:tc>
      </w:tr>
      <w:tr>
        <w:tc>
          <w:tcPr>
            <w:tcW w:type="dxa" w:w="3168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No guaranteed-return claims</w:t>
            </w:r>
          </w:p>
        </w:tc>
        <w:tc>
          <w:tcPr>
            <w:tcW w:type="dxa" w:w="6336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Hard-coded disclaimer on every AI-generated output</w:t>
            </w:r>
          </w:p>
        </w:tc>
      </w:tr>
      <w:tr>
        <w:tc>
          <w:tcPr>
            <w:tcW w:type="dxa" w:w="3168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Principal-officer sign-off</w:t>
            </w:r>
          </w:p>
        </w:tc>
        <w:tc>
          <w:tcPr>
            <w:tcW w:type="dxa" w:w="6336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StockEdge compliance officer approves AI-tier output template before launch</w:t>
            </w:r>
          </w:p>
        </w:tc>
      </w:tr>
      <w:tr>
        <w:tc>
          <w:tcPr>
            <w:tcW w:type="dxa" w:w="3168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Record-keeping</w:t>
            </w:r>
          </w:p>
        </w:tc>
        <w:tc>
          <w:tcPr>
            <w:tcW w:type="dxa" w:w="6336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All AI reports logged with timestamp, ticker, input signals, and version hash</w:t>
            </w:r>
          </w:p>
        </w:tc>
      </w:tr>
      <w:tr>
        <w:tc>
          <w:tcPr>
            <w:tcW w:type="dxa" w:w="3168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Research vs advisory segregation</w:t>
            </w:r>
          </w:p>
        </w:tc>
        <w:tc>
          <w:tcPr>
            <w:tcW w:type="dxa" w:w="6336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AI tier labeled 'Research' only; personalized advisory remains with StockEdge IA team</w:t>
            </w:r>
          </w:p>
        </w:tc>
      </w:tr>
      <w:tr>
        <w:tc>
          <w:tcPr>
            <w:tcW w:type="dxa" w:w="3168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MITC disclosures</w:t>
            </w:r>
          </w:p>
        </w:tc>
        <w:tc>
          <w:tcPr>
            <w:tcW w:type="dxa" w:w="6336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Included in AI-tier subscription terms</w:t>
            </w:r>
          </w:p>
        </w:tc>
      </w:tr>
    </w:tbl>
    <w:p>
      <w:pPr>
        <w:keepNext/>
        <w:spacing w:before="360" w:after="160"/>
        <w:pBdr>
          <w:bottom w:val="single" w:sz="12" w:space="4" w:color="00B4D8"/>
        </w:pBdr>
      </w:pPr>
      <w:r>
        <w:rPr>
          <w:rFonts w:ascii="Calibri" w:hAnsi="Calibri"/>
          <w:b/>
          <w:i w:val="0"/>
          <w:color w:val="0A1B2E"/>
          <w:sz w:val="32"/>
        </w:rPr>
        <w:t>6.  12-Month Integration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Phase</w:t>
            </w:r>
          </w:p>
        </w:tc>
        <w:tc>
          <w:tcPr>
            <w:tcW w:type="dxa" w:w="1872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Timeline</w:t>
            </w:r>
          </w:p>
        </w:tc>
        <w:tc>
          <w:tcPr>
            <w:tcW w:type="dxa" w:w="5328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Activities</w:t>
            </w:r>
          </w:p>
        </w:tc>
      </w:tr>
      <w:tr>
        <w:tc>
          <w:tcPr>
            <w:tcW w:type="dxa" w:w="2304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Phase 1: Embed</w:t>
            </w:r>
          </w:p>
        </w:tc>
        <w:tc>
          <w:tcPr>
            <w:tcW w:type="dxa" w:w="187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Months 1–2</w:t>
            </w:r>
          </w:p>
        </w:tc>
        <w:tc>
          <w:tcPr>
            <w:tcW w:type="dxa" w:w="5328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Sandbox integration; private /partners/stockedge endpoint; compliance review; internal soft launch</w:t>
            </w:r>
          </w:p>
        </w:tc>
      </w:tr>
      <w:tr>
        <w:tc>
          <w:tcPr>
            <w:tcW w:type="dxa" w:w="2304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Phase 2: Pilot Tier Launch</w:t>
            </w:r>
          </w:p>
        </w:tc>
        <w:tc>
          <w:tcPr>
            <w:tcW w:type="dxa" w:w="187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Months 3–6</w:t>
            </w:r>
          </w:p>
        </w:tc>
        <w:tc>
          <w:tcPr>
            <w:tcW w:type="dxa" w:w="5328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Launch 'StockEdge Pro AI' or 'Investment Cases AI Rationale'; top 50 NSE stocks → NSE 200; track MAU, upgrades, latency</w:t>
            </w:r>
          </w:p>
        </w:tc>
      </w:tr>
      <w:tr>
        <w:tc>
          <w:tcPr>
            <w:tcW w:type="dxa" w:w="2304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Phase 3: Scale Decision</w:t>
            </w:r>
          </w:p>
        </w:tc>
        <w:tc>
          <w:tcPr>
            <w:tcW w:type="dxa" w:w="187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Months 7–12</w:t>
            </w:r>
          </w:p>
        </w:tc>
        <w:tc>
          <w:tcPr>
            <w:tcW w:type="dxa" w:w="5328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Expand to BSE 500 / Club live sessions / US-stock HNI tier; StockEdge decides on call option</w:t>
            </w:r>
          </w:p>
        </w:tc>
      </w:tr>
      <w:tr>
        <w:tc>
          <w:tcPr>
            <w:tcW w:type="dxa" w:w="2304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Handover</w:t>
            </w:r>
          </w:p>
        </w:tc>
        <w:tc>
          <w:tcPr>
            <w:tcW w:type="dxa" w:w="187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Post-LOI</w:t>
            </w:r>
          </w:p>
        </w:tc>
        <w:tc>
          <w:tcPr>
            <w:tcW w:type="dxa" w:w="5328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2–4 weeks knowledge transfer; architecture, operations, and security documentation</w:t>
            </w:r>
          </w:p>
        </w:tc>
      </w:tr>
    </w:tbl>
    <w:p>
      <w:pPr>
        <w:keepNext/>
        <w:spacing w:before="360" w:after="160"/>
        <w:pBdr>
          <w:bottom w:val="single" w:sz="12" w:space="4" w:color="00B4D8"/>
        </w:pBdr>
      </w:pPr>
      <w:r>
        <w:rPr>
          <w:rFonts w:ascii="Calibri" w:hAnsi="Calibri"/>
          <w:b/>
          <w:i w:val="0"/>
          <w:color w:val="0A1B2E"/>
          <w:sz w:val="32"/>
        </w:rPr>
        <w:t>7.  Outbound Materials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3A4A5E"/>
          <w:sz w:val="25"/>
        </w:rPr>
        <w:t>7.1 LinkedIn message to Vineet Patawari (CEO)</w:t>
      </w:r>
    </w:p>
    <w:p>
      <w:pPr>
        <w:spacing w:after="120"/>
        <w:ind w:left="288"/>
        <w:shd w:val="clear" w:color="auto" w:fill="EEF3F7"/>
        <w:pBdr>
          <w:top w:val="single" w:sz="4" w:space="6" w:color="00B4D8"/>
          <w:left w:val="single" w:sz="4" w:space="6" w:color="00B4D8"/>
          <w:bottom w:val="single" w:sz="4" w:space="6" w:color="00B4D8"/>
          <w:right w:val="single" w:sz="4" w:space="6" w:color="00B4D8"/>
        </w:pBdr>
      </w:pPr>
      <w:r>
        <w:rPr>
          <w:rFonts w:ascii="Consolas" w:hAnsi="Consolas"/>
          <w:b w:val="0"/>
          <w:i w:val="0"/>
          <w:color w:val="3A4A5E"/>
          <w:sz w:val="18"/>
        </w:rPr>
        <w:t>Hi Vineet — long-time admirer of what you and Vivek have built at StockEdge.</w:t>
        <w:br/>
        <w:br/>
        <w:t>We have built an adversarial AI research committee (PARA-DEBATE) that forces a bull-vs-bear debate before any stock conclusion — exactly the 'noise removal' StockEdge stands for. It is live with dual-market US+IN coverage, an India-specific IRS% score.</w:t>
        <w:br/>
        <w:br/>
        <w:t>I am not looking for a cash-heavy acquisition day one. I would love to explore a 12-month pilot inside StockEdge Pro that converts your 4M users into AI-tier subscribers, with an option to buy the IP later.</w:t>
        <w:br/>
        <w:br/>
        <w:t>Worth a 15-minute call?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3A4A5E"/>
          <w:sz w:val="25"/>
        </w:rPr>
        <w:t>7.2 LinkedIn message to Vivek Bajaj (MD)</w:t>
      </w:r>
    </w:p>
    <w:p>
      <w:pPr>
        <w:spacing w:after="120"/>
        <w:ind w:left="288"/>
        <w:shd w:val="clear" w:color="auto" w:fill="EEF3F7"/>
        <w:pBdr>
          <w:top w:val="single" w:sz="4" w:space="6" w:color="00B4D8"/>
          <w:left w:val="single" w:sz="4" w:space="6" w:color="00B4D8"/>
          <w:bottom w:val="single" w:sz="4" w:space="6" w:color="00B4D8"/>
          <w:right w:val="single" w:sz="4" w:space="6" w:color="00B4D8"/>
        </w:pBdr>
      </w:pPr>
      <w:r>
        <w:rPr>
          <w:rFonts w:ascii="Consolas" w:hAnsi="Consolas"/>
          <w:b w:val="0"/>
          <w:i w:val="0"/>
          <w:color w:val="3A4A5E"/>
          <w:sz w:val="18"/>
        </w:rPr>
        <w:t>Hi Vivek — your Bloomberg-for-Bharat vision is why I started NeuralQuant.</w:t>
        <w:br/>
        <w:br/>
        <w:t>We built the reasoning layer that turns market data into defended conclusions: a quantified adversarial committee, regime-adaptive scoring, and an India-specific IRS% metric. Live at neuralquant.co, 949 tickers, 15/15 smoke tests passing.</w:t>
        <w:br/>
        <w:br/>
        <w:t>I would welcome the chance to show you how it could sit inside StockEdge's existing SEBI RA/IA framework as a 12-month pilot — low risk, aligned incentives, and only an acquisition if your users actually pay for it.</w:t>
        <w:br/>
        <w:br/>
        <w:t>May I send a one-page memo?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3A4A5E"/>
          <w:sz w:val="25"/>
        </w:rPr>
        <w:t>7.3 Email subject lines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12-month AI research pilot for StockEdge Pro — low upfront, aligned upside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NeuralQuant + StockEdge: a Bloomberg-for-Bharat reasoning layer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Adversarial AI research engine — pilot proposal</w:t>
      </w:r>
    </w:p>
    <w:p>
      <w:pPr>
        <w:keepNext/>
        <w:spacing w:before="360" w:after="160"/>
        <w:pBdr>
          <w:bottom w:val="single" w:sz="12" w:space="4" w:color="00B4D8"/>
        </w:pBdr>
      </w:pPr>
      <w:r>
        <w:rPr>
          <w:rFonts w:ascii="Calibri" w:hAnsi="Calibri"/>
          <w:b/>
          <w:i w:val="0"/>
          <w:color w:val="0A1B2E"/>
          <w:sz w:val="32"/>
        </w:rPr>
        <w:t>8.  10-Minute Demo Agenda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728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7776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What to show</w:t>
            </w:r>
          </w:p>
        </w:tc>
      </w:tr>
      <w:tr>
        <w:tc>
          <w:tcPr>
            <w:tcW w:type="dxa" w:w="1728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0:00–0:30</w:t>
            </w:r>
          </w:p>
        </w:tc>
        <w:tc>
          <w:tcPr>
            <w:tcW w:type="dxa" w:w="7776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Live site, 949 tickers, 15/15 smoke tests, v4.1.3</w:t>
            </w:r>
          </w:p>
        </w:tc>
      </w:tr>
      <w:tr>
        <w:tc>
          <w:tcPr>
            <w:tcW w:type="dxa" w:w="1728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0:30–2:30</w:t>
            </w:r>
          </w:p>
        </w:tc>
        <w:tc>
          <w:tcPr>
            <w:tcW w:type="dxa" w:w="7776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Ask Morgan: natural-language question on RELIANCE / TCS / HDFCBANK</w:t>
            </w:r>
          </w:p>
        </w:tc>
      </w:tr>
      <w:tr>
        <w:tc>
          <w:tcPr>
            <w:tcW w:type="dxa" w:w="1728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2:30–5:30</w:t>
            </w:r>
          </w:p>
        </w:tc>
        <w:tc>
          <w:tcPr>
            <w:tcW w:type="dxa" w:w="7776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PARA-DEBATE on the same stock — 6 agents, mandated bear, consensus, risk section</w:t>
            </w:r>
          </w:p>
        </w:tc>
      </w:tr>
      <w:tr>
        <w:tc>
          <w:tcPr>
            <w:tcW w:type="dxa" w:w="1728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5:30–7:00</w:t>
            </w:r>
          </w:p>
        </w:tc>
        <w:tc>
          <w:tcPr>
            <w:tcW w:type="dxa" w:w="7776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IRS% / screener — rank NSE 200, show regime detection shifting factor weights</w:t>
            </w:r>
          </w:p>
        </w:tc>
      </w:tr>
      <w:tr>
        <w:tc>
          <w:tcPr>
            <w:tcW w:type="dxa" w:w="1728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7:00–8:30</w:t>
            </w:r>
          </w:p>
        </w:tc>
        <w:tc>
          <w:tcPr>
            <w:tcW w:type="dxa" w:w="7776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Methodology walkthrough and known limitations</w:t>
            </w:r>
          </w:p>
        </w:tc>
      </w:tr>
      <w:tr>
        <w:tc>
          <w:tcPr>
            <w:tcW w:type="dxa" w:w="1728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8:30–10:00</w:t>
            </w:r>
          </w:p>
        </w:tc>
        <w:tc>
          <w:tcPr>
            <w:tcW w:type="dxa" w:w="7776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Proposed pilot: integration, SEBI umbrella, ₹50L + 15% + call option</w:t>
            </w:r>
          </w:p>
        </w:tc>
      </w:tr>
    </w:tbl>
    <w:p>
      <w:pPr>
        <w:keepNext/>
        <w:spacing w:before="360" w:after="160"/>
        <w:pBdr>
          <w:bottom w:val="single" w:sz="12" w:space="4" w:color="00B4D8"/>
        </w:pBdr>
      </w:pPr>
      <w:r>
        <w:rPr>
          <w:rFonts w:ascii="Calibri" w:hAnsi="Calibri"/>
          <w:b/>
          <w:i w:val="0"/>
          <w:color w:val="0A1B2E"/>
          <w:sz w:val="32"/>
        </w:rPr>
        <w:t>9.  Negotiation Talking Points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3A4A5E"/>
          <w:sz w:val="25"/>
        </w:rPr>
        <w:t>9.1 Five sentences that will resonate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You have built the largest retail research distribution engine in India; we have built the reasoning layer that turns your scans into 'why' — together you own the full stack from data to decision.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PARA-DEBATE is not a chatbot; it is a quantified adversarial committee that forces the bear case before any buy idea reaches your user — that protects your brand from bad calls.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Your RS55 and RSI already teach discipline; IRS% adds regime-adaptive position sizing so your users know when the macro wind is against them.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You do not need to spend 24–37 senior engineer-months and ₹1.1 Cr+ in labor to recreate this; it is live today and can be embedded under your existing SEBI licenses.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We are not asking you to bet the company on a ₹3 Cr acquisition — we are asking for a 12-month pilot, and you only buy the IP if your users actually pay for it.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3A4A5E"/>
          <w:sz w:val="25"/>
        </w:rPr>
        <w:t>9.2 Objections and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Objection</w:t>
            </w:r>
          </w:p>
        </w:tc>
        <w:tc>
          <w:tcPr>
            <w:tcW w:type="dxa" w:w="6192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c>
          <w:tcPr>
            <w:tcW w:type="dxa" w:w="331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Why can't we build this ourselves?</w:t>
            </w:r>
          </w:p>
        </w:tc>
        <w:tc>
          <w:tcPr>
            <w:tcW w:type="dxa" w:w="619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A reliable adversarial multi-agent system with hallucination guards, numeric reconciliation, and a live dual-market data pipeline has taken 80+ iterations and 126 documented bug cycles. Rebuild cost: 24–37 senior eng-months plus integration scars. License first, validate, then decide.</w:t>
            </w:r>
          </w:p>
        </w:tc>
      </w:tr>
      <w:tr>
        <w:tc>
          <w:tcPr>
            <w:tcW w:type="dxa" w:w="331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Is this SEBI-compliant?</w:t>
            </w:r>
          </w:p>
        </w:tc>
        <w:tc>
          <w:tcPr>
            <w:tcW w:type="dxa" w:w="619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NeuralQuant does not hold RA/IA licenses; StockEdge does. We embed the engine as a research-analysis tool under your existing registrations, with your compliance officer's sign-off and required disclaimers.</w:t>
            </w:r>
          </w:p>
        </w:tc>
      </w:tr>
      <w:tr>
        <w:tc>
          <w:tcPr>
            <w:tcW w:type="dxa" w:w="331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You have no revenue. Why pay anything?</w:t>
            </w:r>
          </w:p>
        </w:tc>
        <w:tc>
          <w:tcPr>
            <w:tcW w:type="dxa" w:w="619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You are paying for time-to-market and IP protection. ₹50 lakh is less than two senior engineers for a year; most compensation is a 15% revenue share on the new AI tier.</w:t>
            </w:r>
          </w:p>
        </w:tc>
      </w:tr>
      <w:tr>
        <w:tc>
          <w:tcPr>
            <w:tcW w:type="dxa" w:w="331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Will this dilute my brand as the expert?</w:t>
            </w:r>
          </w:p>
        </w:tc>
        <w:tc>
          <w:tcPr>
            <w:tcW w:type="dxa" w:w="619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The AI augments your momentum/RS framework, not replaces it. PARA-DEBATE produces the counter-argument and risk sections your analysts already believe in — faster and at scale.</w:t>
            </w:r>
          </w:p>
        </w:tc>
      </w:tr>
      <w:tr>
        <w:tc>
          <w:tcPr>
            <w:tcW w:type="dxa" w:w="331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What if the pilot doesn't convert?</w:t>
            </w:r>
          </w:p>
        </w:tc>
        <w:tc>
          <w:tcPr>
            <w:tcW w:type="dxa" w:w="619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Your downside is capped at ₹50 lakh plus integration cost. You keep the learnings. If gates are not met, exclusivity terminates and you walk away with no acquisition obligation.</w:t>
            </w:r>
          </w:p>
        </w:tc>
      </w:tr>
    </w:tbl>
    <w:p>
      <w:pPr>
        <w:keepNext/>
        <w:spacing w:before="360" w:after="160"/>
        <w:pBdr>
          <w:bottom w:val="single" w:sz="12" w:space="4" w:color="00B4D8"/>
        </w:pBdr>
      </w:pPr>
      <w:r>
        <w:rPr>
          <w:rFonts w:ascii="Calibri" w:hAnsi="Calibri"/>
          <w:b/>
          <w:i w:val="0"/>
          <w:color w:val="0A1B2E"/>
          <w:sz w:val="32"/>
        </w:rPr>
        <w:t>10.  Engineering Investment Reference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21A24"/>
          <w:sz w:val="22"/>
        </w:rPr>
        <w:t>The ₹50 lakh pilot fee is a fraction of the cost to recreate even one subsystem.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912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Subsystem</w:t>
            </w:r>
          </w:p>
        </w:tc>
        <w:tc>
          <w:tcPr>
            <w:tcW w:type="dxa" w:w="2592"/>
            <w:shd w:val="clear" w:color="auto" w:fill="0A1B2E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Senior eng-months</w:t>
            </w:r>
          </w:p>
        </w:tc>
      </w:tr>
      <w:tr>
        <w:tc>
          <w:tcPr>
            <w:tcW w:type="dxa" w:w="691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Backend API (33 routers, auth, quotas, sessions)</w:t>
            </w:r>
          </w:p>
        </w:tc>
        <w:tc>
          <w:tcPr>
            <w:tcW w:type="dxa" w:w="259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4–6</w:t>
            </w:r>
          </w:p>
        </w:tc>
      </w:tr>
      <w:tr>
        <w:tc>
          <w:tcPr>
            <w:tcW w:type="dxa" w:w="691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PARA-DEBATE multi-agent engine</w:t>
            </w:r>
          </w:p>
        </w:tc>
        <w:tc>
          <w:tcPr>
            <w:tcW w:type="dxa" w:w="259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3–4</w:t>
            </w:r>
          </w:p>
        </w:tc>
      </w:tr>
      <w:tr>
        <w:tc>
          <w:tcPr>
            <w:tcW w:type="dxa" w:w="691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Ask Morgan written analyst</w:t>
            </w:r>
          </w:p>
        </w:tc>
        <w:tc>
          <w:tcPr>
            <w:tcW w:type="dxa" w:w="259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2–3</w:t>
            </w:r>
          </w:p>
        </w:tc>
      </w:tr>
      <w:tr>
        <w:tc>
          <w:tcPr>
            <w:tcW w:type="dxa" w:w="691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Quant scoring + IRS% + HMM regime</w:t>
            </w:r>
          </w:p>
        </w:tc>
        <w:tc>
          <w:tcPr>
            <w:tcW w:type="dxa" w:w="259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2–3</w:t>
            </w:r>
          </w:p>
        </w:tc>
      </w:tr>
      <w:tr>
        <w:tc>
          <w:tcPr>
            <w:tcW w:type="dxa" w:w="691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Data pipeline (6 sources, US+IN parity)</w:t>
            </w:r>
          </w:p>
        </w:tc>
        <w:tc>
          <w:tcPr>
            <w:tcW w:type="dxa" w:w="259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3–4</w:t>
            </w:r>
          </w:p>
        </w:tc>
      </w:tr>
      <w:tr>
        <w:tc>
          <w:tcPr>
            <w:tcW w:type="dxa" w:w="691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Voice PM + ambient companion</w:t>
            </w:r>
          </w:p>
        </w:tc>
        <w:tc>
          <w:tcPr>
            <w:tcW w:type="dxa" w:w="259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3–5</w:t>
            </w:r>
          </w:p>
        </w:tc>
      </w:tr>
      <w:tr>
        <w:tc>
          <w:tcPr>
            <w:tcW w:type="dxa" w:w="691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Next.js web app (38 pages, PWA)</w:t>
            </w:r>
          </w:p>
        </w:tc>
        <w:tc>
          <w:tcPr>
            <w:tcW w:type="dxa" w:w="259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3–4</w:t>
            </w:r>
          </w:p>
        </w:tc>
      </w:tr>
      <w:tr>
        <w:tc>
          <w:tcPr>
            <w:tcW w:type="dxa" w:w="691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Live trading dashboard</w:t>
            </w:r>
          </w:p>
        </w:tc>
        <w:tc>
          <w:tcPr>
            <w:tcW w:type="dxa" w:w="259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1–2</w:t>
            </w:r>
          </w:p>
        </w:tc>
      </w:tr>
      <w:tr>
        <w:tc>
          <w:tcPr>
            <w:tcW w:type="dxa" w:w="691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DevOps, security, testing</w:t>
            </w:r>
          </w:p>
        </w:tc>
        <w:tc>
          <w:tcPr>
            <w:tcW w:type="dxa" w:w="2592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3–5</w:t>
            </w:r>
          </w:p>
        </w:tc>
      </w:tr>
      <w:tr>
        <w:tc>
          <w:tcPr>
            <w:tcW w:type="dxa" w:w="691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TOTAL</w:t>
            </w:r>
          </w:p>
        </w:tc>
        <w:tc>
          <w:tcPr>
            <w:tcW w:type="dxa" w:w="2592"/>
            <w:shd w:val="clear" w:color="auto" w:fill="EEF3F7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21A24"/>
                <w:sz w:val="20"/>
              </w:rPr>
              <w:t>24–37</w:t>
            </w:r>
          </w:p>
        </w:tc>
      </w:tr>
    </w:tbl>
    <w:p>
      <w:pPr>
        <w:spacing w:after="120" w:before="0"/>
      </w:pPr>
      <w:r>
        <w:rPr>
          <w:rFonts w:ascii="Calibri" w:hAnsi="Calibri"/>
          <w:b w:val="0"/>
          <w:i w:val="0"/>
          <w:color w:val="3A4A5E"/>
          <w:sz w:val="21"/>
        </w:rPr>
        <w:t>India senior rates (₹2–3L/mo): ₹48L–1.1Cr. US senior rates ($12–18k/mo): $290k–$665k (₹2.4–5.6Cr). Excludes calendar time, integration scars, data-source failures, voice-stack stabilization, and security hardening.</w:t>
      </w:r>
    </w:p>
    <w:p>
      <w:pPr>
        <w:keepNext/>
        <w:spacing w:before="360" w:after="160"/>
        <w:pBdr>
          <w:bottom w:val="single" w:sz="12" w:space="4" w:color="00B4D8"/>
        </w:pBdr>
      </w:pPr>
      <w:r>
        <w:rPr>
          <w:rFonts w:ascii="Calibri" w:hAnsi="Calibri"/>
          <w:b/>
          <w:i w:val="0"/>
          <w:color w:val="0A1B2E"/>
          <w:sz w:val="32"/>
        </w:rPr>
        <w:t>11.  What Transfers / Exclusions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3A4A5E"/>
          <w:sz w:val="25"/>
        </w:rPr>
        <w:t>11.1 Transfers (on exercise of call option or IP buyout)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Domain (neuralquant.co) and brand assets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Full source code (monorepo) under NDA / LOI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Infrastructure accounts — credentials transferred securely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Data pipeline configurations and cached market data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Patent application — assignment to StockEdge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Methodology and backtest baselines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Operations and security documentation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Knowledge-transfer period (2–4 weeks)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3A4A5E"/>
          <w:sz w:val="25"/>
        </w:rPr>
        <w:t>11.2 Exclusions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Third-party API keys (StockEdge provisions its own accounts)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Customer/user data (platform is pre-revenue)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Revenue or traffic representations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Proprietary algorithm internals disclosed only under NDA during due diligence</w:t>
      </w:r>
    </w:p>
    <w:p>
      <w:pPr>
        <w:keepNext/>
        <w:spacing w:before="360" w:after="160"/>
        <w:pBdr>
          <w:bottom w:val="single" w:sz="12" w:space="4" w:color="00B4D8"/>
        </w:pBdr>
      </w:pPr>
      <w:r>
        <w:rPr>
          <w:rFonts w:ascii="Calibri" w:hAnsi="Calibri"/>
          <w:b/>
          <w:i w:val="0"/>
          <w:color w:val="0A1B2E"/>
          <w:sz w:val="32"/>
        </w:rPr>
        <w:t>12.  Due-Diligence Readiness Checklist</w:t>
      </w:r>
    </w:p>
    <w:p>
      <w:pPr>
        <w:spacing w:after="60"/>
        <w:ind w:left="432"/>
      </w:pPr>
      <w:r>
        <w:rPr>
          <w:rFonts w:ascii="Calibri" w:hAnsi="Calibri"/>
          <w:b w:val="0"/>
          <w:i w:val="0"/>
          <w:color w:val="00B4D8"/>
          <w:sz w:val="22"/>
        </w:rPr>
        <w:t xml:space="preserve">☐  </w:t>
      </w:r>
      <w:r>
        <w:rPr>
          <w:rFonts w:ascii="Calibri" w:hAnsi="Calibri"/>
          <w:b w:val="0"/>
          <w:i w:val="0"/>
          <w:color w:val="121A24"/>
          <w:sz w:val="21"/>
        </w:rPr>
        <w:t>Live product demonstration ready (neuralquant.co)</w:t>
      </w:r>
    </w:p>
    <w:p>
      <w:pPr>
        <w:spacing w:after="60"/>
        <w:ind w:left="432"/>
      </w:pPr>
      <w:r>
        <w:rPr>
          <w:rFonts w:ascii="Calibri" w:hAnsi="Calibri"/>
          <w:b w:val="0"/>
          <w:i w:val="0"/>
          <w:color w:val="00B4D8"/>
          <w:sz w:val="22"/>
        </w:rPr>
        <w:t xml:space="preserve">☐  </w:t>
      </w:r>
      <w:r>
        <w:rPr>
          <w:rFonts w:ascii="Calibri" w:hAnsi="Calibri"/>
          <w:b w:val="0"/>
          <w:i w:val="0"/>
          <w:color w:val="121A24"/>
          <w:sz w:val="21"/>
        </w:rPr>
        <w:t>15/15 smoke suite passing</w:t>
      </w:r>
    </w:p>
    <w:p>
      <w:pPr>
        <w:spacing w:after="60"/>
        <w:ind w:left="432"/>
      </w:pPr>
      <w:r>
        <w:rPr>
          <w:rFonts w:ascii="Calibri" w:hAnsi="Calibri"/>
          <w:b w:val="0"/>
          <w:i w:val="0"/>
          <w:color w:val="00B4D8"/>
          <w:sz w:val="22"/>
        </w:rPr>
        <w:t xml:space="preserve">☐  </w:t>
      </w:r>
      <w:r>
        <w:rPr>
          <w:rFonts w:ascii="Calibri" w:hAnsi="Calibri"/>
          <w:b w:val="0"/>
          <w:i w:val="0"/>
          <w:color w:val="121A24"/>
          <w:sz w:val="21"/>
        </w:rPr>
        <w:t>Backtest baseline stored in Supabase (Q1FY27)</w:t>
      </w:r>
    </w:p>
    <w:p>
      <w:pPr>
        <w:spacing w:after="60"/>
        <w:ind w:left="432"/>
      </w:pPr>
      <w:r>
        <w:rPr>
          <w:rFonts w:ascii="Calibri" w:hAnsi="Calibri"/>
          <w:b w:val="0"/>
          <w:i w:val="0"/>
          <w:color w:val="00B4D8"/>
          <w:sz w:val="22"/>
        </w:rPr>
        <w:t xml:space="preserve">☐  </w:t>
      </w:r>
      <w:r>
        <w:rPr>
          <w:rFonts w:ascii="Calibri" w:hAnsi="Calibri"/>
          <w:b w:val="0"/>
          <w:i w:val="0"/>
          <w:color w:val="121A24"/>
          <w:sz w:val="21"/>
        </w:rPr>
        <w:t>Signed mutual NDA template</w:t>
      </w:r>
    </w:p>
    <w:p>
      <w:pPr>
        <w:spacing w:after="60"/>
        <w:ind w:left="432"/>
      </w:pPr>
      <w:r>
        <w:rPr>
          <w:rFonts w:ascii="Calibri" w:hAnsi="Calibri"/>
          <w:b w:val="0"/>
          <w:i w:val="0"/>
          <w:color w:val="00B4D8"/>
          <w:sz w:val="22"/>
        </w:rPr>
        <w:t xml:space="preserve">☐  </w:t>
      </w:r>
      <w:r>
        <w:rPr>
          <w:rFonts w:ascii="Calibri" w:hAnsi="Calibri"/>
          <w:b w:val="0"/>
          <w:i w:val="0"/>
          <w:color w:val="121A24"/>
          <w:sz w:val="21"/>
        </w:rPr>
        <w:t>Patent filing receipt + Form 31 grace-period filing status</w:t>
      </w:r>
    </w:p>
    <w:p>
      <w:pPr>
        <w:spacing w:after="60"/>
        <w:ind w:left="432"/>
      </w:pPr>
      <w:r>
        <w:rPr>
          <w:rFonts w:ascii="Calibri" w:hAnsi="Calibri"/>
          <w:b w:val="0"/>
          <w:i w:val="0"/>
          <w:color w:val="00B4D8"/>
          <w:sz w:val="22"/>
        </w:rPr>
        <w:t xml:space="preserve">☐  </w:t>
      </w:r>
      <w:r>
        <w:rPr>
          <w:rFonts w:ascii="Calibri" w:hAnsi="Calibri"/>
          <w:b w:val="0"/>
          <w:i w:val="0"/>
          <w:color w:val="121A24"/>
          <w:sz w:val="21"/>
        </w:rPr>
        <w:t>PARA-DEBATE™ trademark status confirmation</w:t>
      </w:r>
    </w:p>
    <w:p>
      <w:pPr>
        <w:spacing w:after="60"/>
        <w:ind w:left="432"/>
      </w:pPr>
      <w:r>
        <w:rPr>
          <w:rFonts w:ascii="Calibri" w:hAnsi="Calibri"/>
          <w:b w:val="0"/>
          <w:i w:val="0"/>
          <w:color w:val="00B4D8"/>
          <w:sz w:val="22"/>
        </w:rPr>
        <w:t xml:space="preserve">☐  </w:t>
      </w:r>
      <w:r>
        <w:rPr>
          <w:rFonts w:ascii="Calibri" w:hAnsi="Calibri"/>
          <w:b w:val="0"/>
          <w:i w:val="0"/>
          <w:color w:val="121A24"/>
          <w:sz w:val="21"/>
        </w:rPr>
        <w:t>One-page 'StockEdge + NeuralQuant' strategic memo</w:t>
      </w:r>
    </w:p>
    <w:p>
      <w:pPr>
        <w:spacing w:after="60"/>
        <w:ind w:left="432"/>
      </w:pPr>
      <w:r>
        <w:rPr>
          <w:rFonts w:ascii="Calibri" w:hAnsi="Calibri"/>
          <w:b w:val="0"/>
          <w:i w:val="0"/>
          <w:color w:val="00B4D8"/>
          <w:sz w:val="22"/>
        </w:rPr>
        <w:t xml:space="preserve">☐  </w:t>
      </w:r>
      <w:r>
        <w:rPr>
          <w:rFonts w:ascii="Calibri" w:hAnsi="Calibri"/>
          <w:b w:val="0"/>
          <w:i w:val="0"/>
          <w:color w:val="121A24"/>
          <w:sz w:val="21"/>
        </w:rPr>
        <w:t>12-month pilot term sheet draft</w:t>
      </w:r>
    </w:p>
    <w:p>
      <w:pPr>
        <w:spacing w:after="60"/>
        <w:ind w:left="432"/>
      </w:pPr>
      <w:r>
        <w:rPr>
          <w:rFonts w:ascii="Calibri" w:hAnsi="Calibri"/>
          <w:b w:val="0"/>
          <w:i w:val="0"/>
          <w:color w:val="00B4D8"/>
          <w:sz w:val="22"/>
        </w:rPr>
        <w:t xml:space="preserve">☐  </w:t>
      </w:r>
      <w:r>
        <w:rPr>
          <w:rFonts w:ascii="Calibri" w:hAnsi="Calibri"/>
          <w:b w:val="0"/>
          <w:i w:val="0"/>
          <w:color w:val="121A24"/>
          <w:sz w:val="21"/>
        </w:rPr>
        <w:t>SEBI-compliant output-labeling spec</w:t>
      </w:r>
    </w:p>
    <w:p>
      <w:pPr>
        <w:spacing w:after="60"/>
        <w:ind w:left="432"/>
      </w:pPr>
      <w:r>
        <w:rPr>
          <w:rFonts w:ascii="Calibri" w:hAnsi="Calibri"/>
          <w:b w:val="0"/>
          <w:i w:val="0"/>
          <w:color w:val="00B4D8"/>
          <w:sz w:val="22"/>
        </w:rPr>
        <w:t xml:space="preserve">☐  </w:t>
      </w:r>
      <w:r>
        <w:rPr>
          <w:rFonts w:ascii="Calibri" w:hAnsi="Calibri"/>
          <w:b w:val="0"/>
          <w:i w:val="0"/>
          <w:color w:val="121A24"/>
          <w:sz w:val="21"/>
        </w:rPr>
        <w:t>Clean repo + CI lint fixed + pending migrations applied</w:t>
      </w:r>
    </w:p>
    <w:p>
      <w:pPr>
        <w:spacing w:after="60"/>
        <w:ind w:left="432"/>
      </w:pPr>
      <w:r>
        <w:rPr>
          <w:rFonts w:ascii="Calibri" w:hAnsi="Calibri"/>
          <w:b w:val="0"/>
          <w:i w:val="0"/>
          <w:color w:val="00B4D8"/>
          <w:sz w:val="22"/>
        </w:rPr>
        <w:t xml:space="preserve">☐  </w:t>
      </w:r>
      <w:r>
        <w:rPr>
          <w:rFonts w:ascii="Calibri" w:hAnsi="Calibri"/>
          <w:b w:val="0"/>
          <w:i w:val="0"/>
          <w:color w:val="121A24"/>
          <w:sz w:val="21"/>
        </w:rPr>
        <w:t>FMP key rotated + Render env vars documented</w:t>
      </w:r>
    </w:p>
    <w:p>
      <w:pPr>
        <w:keepNext/>
        <w:spacing w:before="360" w:after="160"/>
        <w:pBdr>
          <w:bottom w:val="single" w:sz="12" w:space="4" w:color="00B4D8"/>
        </w:pBdr>
      </w:pPr>
      <w:r>
        <w:rPr>
          <w:rFonts w:ascii="Calibri" w:hAnsi="Calibri"/>
          <w:b/>
          <w:i w:val="0"/>
          <w:color w:val="0A1B2E"/>
          <w:sz w:val="32"/>
        </w:rPr>
        <w:t>13.  Next Steps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Sign a mutual NDA — no source code, architecture detail, or patent specifics shared before this.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15-minute product call — demo the live platform on a top NSE stock.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Strategic memo + pilot term sheet — shared for internal StockEdge review.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Letter of Intent — kicks off the 12-month exclusive pilot and integration planning.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21A24"/>
          <w:sz w:val="21"/>
        </w:rPr>
        <w:t>Pilot launch — Months 1–2 embed; Months 3–6 pilot tier; Months 7–12 scale decision.</w:t>
      </w:r>
    </w:p>
    <w:p>
      <w:pPr>
        <w:spacing w:after="240" w:before="0"/>
      </w:pPr>
    </w:p>
    <w:p>
      <w:pPr>
        <w:spacing w:after="200" w:before="200"/>
        <w:jc w:val="center"/>
      </w:pPr>
      <w:r>
        <w:rPr>
          <w:rFonts w:ascii="Calibri" w:hAnsi="Calibri"/>
          <w:b/>
          <w:i w:val="0"/>
          <w:color w:val="0A1B2E"/>
          <w:sz w:val="24"/>
        </w:rPr>
        <w:t>Contact: Satyam Das — satyamdas03@gmail.com</w:t>
      </w:r>
    </w:p>
    <w:p>
      <w:pPr>
        <w:jc w:val="center"/>
        <w:pBdr>
          <w:bottom w:val="single" w:sz="12" w:space="1" w:color="00B4D8"/>
        </w:pBdr>
      </w:pPr>
      <w:r>
        <w:rPr>
          <w:rFonts w:ascii="Calibri" w:hAnsi="Calibri"/>
          <w:b w:val="0"/>
          <w:i w:val="0"/>
          <w:color w:val="FFFFFF"/>
          <w:sz w:val="4"/>
        </w:rPr>
        <w:t xml:space="preserve">    </w:t>
      </w:r>
    </w:p>
    <w:p>
      <w:pPr>
        <w:spacing w:after="0" w:before="160"/>
        <w:jc w:val="center"/>
      </w:pPr>
      <w:r>
        <w:rPr>
          <w:rFonts w:ascii="Calibri" w:hAnsi="Calibri"/>
          <w:b w:val="0"/>
          <w:i/>
          <w:color w:val="3A4A5E"/>
          <w:sz w:val="18"/>
        </w:rPr>
        <w:t>This document is a strategic partnership proposal and acquisition prospectus, not a binding offer. Final terms are set in a definitive agreement. Valuations and projections are the seller's estimates and have not been independently appraised; StockEdge is encouraged to form its own view during due diligence.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3A4A5E"/>
        <w:sz w:val="16"/>
      </w:rPr>
      <w:t xml:space="preserve">NeuralQuant + StockEdge — Strategic Partnership Proposal   |   Confidential   |   Page </w:t>
    </w:r>
    <w:r>
      <w:fldChar w:fldCharType="begin"/>
      <w:instrText xml:space="preserve">PAGE</w:instrText>
      <w:fldChar w:fldCharType="end"/>
    </w:r>
    <w:r>
      <w:rPr>
        <w:rFonts w:ascii="Calibri" w:hAnsi="Calibri"/>
        <w:b w:val="0"/>
        <w:i w:val="0"/>
        <w:color w:val="3A4A5E"/>
        <w:sz w:val="16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21A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