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tbl>
      <w:tblPr>
        <w:tblStyle w:val="TableNormal"/>
        <w:name w:val="Table1"/>
        <w:tabOrder w:val="0"/>
        <w:jc w:val="left"/>
        <w:tblInd w:w="0" w:type="dxa"/>
        <w:tblW w:w="11134" w:type="dxa"/>
        <w:tblLook w:val="0600" w:firstRow="0" w:lastRow="0" w:firstColumn="0" w:lastColumn="0" w:noHBand="1" w:noVBand="1"/>
      </w:tblPr>
      <w:tblGrid>
        <w:gridCol w:w="1554"/>
        <w:gridCol w:w="1554"/>
        <w:gridCol w:w="1554"/>
        <w:gridCol w:w="1554"/>
        <w:gridCol w:w="1554"/>
        <w:gridCol w:w="3364"/>
      </w:tblGrid>
      <w:tr>
        <w:trPr>
          <w:tblHeader/>
          <w:cantSplit w:val="0"/>
          <w:trHeight w:val="0" w:hRule="auto"/>
        </w:trPr>
        <w:tc>
          <w:tcPr>
            <w:tcW w:w="1554" w:type="dxa"/>
            <w:shd w:val="solid" w:color="3DFFFF" tmshd="407634301, 1677696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Source</w:t>
            </w:r>
          </w:p>
        </w:tc>
        <w:tc>
          <w:tcPr>
            <w:tcW w:w="1554" w:type="dxa"/>
            <w:shd w:val="solid" w:color="3DFFFF" tmshd="407634301, 1677696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Website/Page</w:t>
            </w:r>
          </w:p>
        </w:tc>
        <w:tc>
          <w:tcPr>
            <w:tcW w:w="1554" w:type="dxa"/>
            <w:shd w:val="solid" w:color="3DFFFF" tmshd="407634301, 1677696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What data we need</w:t>
            </w:r>
          </w:p>
        </w:tc>
        <w:tc>
          <w:tcPr>
            <w:tcW w:w="1554" w:type="dxa"/>
            <w:shd w:val="solid" w:color="3DFFFF" tmshd="407634301, 1677696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Why it matters</w:t>
            </w:r>
          </w:p>
        </w:tc>
        <w:tc>
          <w:tcPr>
            <w:tcW w:w="1554" w:type="dxa"/>
            <w:shd w:val="solid" w:color="3DFFFF" tmshd="407634301, 1677696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Status</w:t>
            </w:r>
          </w:p>
        </w:tc>
        <w:tc>
          <w:tcPr>
            <w:tcW w:w="3364" w:type="dxa"/>
            <w:shd w:val="solid" w:color="3DFFFF" tmshd="407634301, 1677696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File saved as</w:t>
            </w:r>
          </w:p>
        </w:tc>
      </w:tr>
      <w:tr>
        <w:trPr>
          <w:tblHeader w:val="0"/>
          <w:cantSplit w:val="0"/>
          <w:trHeight w:val="914" w:hRule="atLeast"/>
        </w:trPr>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IRDAI Annual Report 2024-25</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IRDAI Annual Report PDF</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Segment-wise premium, incurred claims ratio, solvency, insurer-level tables</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Official industry baseline</w:t>
            </w:r>
          </w:p>
        </w:tc>
        <w:tc>
          <w:tcPr>
            <w:tcW w:w="1554" w:type="dxa"/>
            <w:shd w:val="solid" w:color="3DFF3D" tmshd="407634301, 6528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Downloaded</w:t>
            </w:r>
          </w:p>
        </w:tc>
        <w:tc>
          <w:tcPr>
            <w:tcW w:w="336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IRDAI_Annual_Report_2024_25.pdf</w:t>
            </w:r>
          </w:p>
        </w:tc>
      </w:tr>
      <w:tr>
        <w:trPr>
          <w:tblHeader w:val="0"/>
          <w:cantSplit w:val="0"/>
          <w:trHeight w:val="0" w:hRule="auto"/>
        </w:trPr>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GI Council Segment Report</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GI Council industry statistics page</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Segment-wise gross direct premium</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Product/segment premium trend</w:t>
            </w:r>
          </w:p>
        </w:tc>
        <w:tc>
          <w:tcPr>
            <w:tcW w:w="1554" w:type="dxa"/>
            <w:shd w:val="solid" w:color="3DFF3D" tmshd="407634301, 6528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Downloaded</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tc>
        <w:tc>
          <w:tcPr>
            <w:tcW w:w="336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GI_Council_Segmentwise_GDPI_Latest.xlsx</w:t>
            </w:r>
          </w:p>
        </w:tc>
      </w:tr>
      <w:tr>
        <w:trPr>
          <w:tblHeader w:val="0"/>
          <w:cantSplit w:val="0"/>
          <w:trHeight w:val="1894" w:hRule="atLeast"/>
        </w:trPr>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ICICI Lombard Public Disclosures</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ICICI Lombard public disclosure page</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NL-4 Premium, NL-5 Claims Incurred, NL-6 Commission, NL-7 Expenses</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Company-level premium/claims/expense analysis</w:t>
            </w:r>
          </w:p>
        </w:tc>
        <w:tc>
          <w:tcPr>
            <w:tcW w:w="1554" w:type="dxa"/>
            <w:shd w:val="solid" w:color="3DFF3D" tmshd="407634301, 65280, 16777215"/>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Downloaded</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tc>
        <w:tc>
          <w:tcPr>
            <w:tcW w:w="336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r>
              <w:t>ICICI_Lombard_NL4_Premium_FY2024_25.pdf; ICICI_Lombard_NL5_Claims_Incurred_FY2024_25.pdf; ICICI_Lombard_NL6_Commission_FY2024_25.pdf; ICICI_Lombard_NL7_Operating_Expenses_FY2024_25.pdf</w:t>
            </w:r>
          </w:p>
        </w:tc>
      </w:tr>
      <w:tr>
        <w:trPr>
          <w:tblHeader w:val="0"/>
          <w:cantSplit w:val="0"/>
          <w:trHeight w:val="0" w:hRule="auto"/>
        </w:trPr>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New India Assurance Annual Report</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Company annual report</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GWP, claims, profitability, management discussion</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PSU comparison</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Future</w:t>
            </w:r>
          </w:p>
        </w:tc>
        <w:tc>
          <w:tcPr>
            <w:tcW w:w="336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tc>
      </w:tr>
      <w:tr>
        <w:trPr>
          <w:tblHeader w:val="0"/>
          <w:cantSplit w:val="0"/>
          <w:trHeight w:val="0" w:hRule="auto"/>
        </w:trPr>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HDFC ERGO / Bajaj Allianz / Go Digit reports</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Company annual reports</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Optional insurer comparison</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Competitor benchmark</w:t>
            </w:r>
          </w:p>
        </w:tc>
        <w:tc>
          <w:tcPr>
            <w:tcW w:w="155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Future</w:t>
            </w:r>
          </w:p>
        </w:tc>
        <w:tc>
          <w:tcPr>
            <w:tcW w:w="3364"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80382694" protected="0"/>
          </w:tcPr>
          <w:p>
            <w:pPr/>
            <w:r/>
          </w:p>
        </w:tc>
      </w:tr>
    </w:tbl>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First data table to extract: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IRDAI segment-wise gross direct premium and incurred claims ratio tables.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Second data table to extract: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ICICI Lombard NL-4 Premium and NL-5 Claims Incurred.</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rPr>
        <w:t>Initial dashboard story: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Compare premium growth and claims pressure across major general insurance segments, then connect it with pricing adequacy and claim ratio interpretation.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Health and Motor dominate Indian non-life insurance premium because they are high-volume retail segments. Health grows due to rising medical costs, awareness, employer/group health covers and post-pandemic demand. Motor remains large because motor insurance is compulsory for vehicles and has a huge vehicle base. However, premium growth alone does not prove profitability because claims, expenses, pricing adequacy and incurred claim ratio must also be checked.</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sz w:val="18"/>
        </w:rPr>
      </w:pPr>
      <w:r>
        <w:rPr>
          <w:rFonts w:ascii="Arial" w:hAnsi="Arial"/>
          <w:b/>
          <w:sz w:val="18"/>
        </w:rPr>
      </w:r>
    </w:p>
    <w:p>
      <w:pPr>
        <w:spacing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sz w:val="24"/>
        </w:rPr>
        <w:t xml:space="preserve">Health premiums have soared due to runaway medical inflation (around 14%) and rising claim volumes. Motor insurance remains a major segment due to mandatory regulations and consistent vehicle sales. Finally, premium growth doesn't guarantee profitability because payouts and administrative costs often outpace revenue increases. </w:t>
      </w:r>
    </w:p>
    <w:p>
      <w:pPr>
        <w:spacing w:before="2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sz w:val="24"/>
        </w:rPr>
        <w:t>A deeper look at each of these dynamics highlights how the modern insurance industry functions:</w:t>
      </w:r>
    </w:p>
    <w:p>
      <w:pPr>
        <w:spacing w:before="48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30"/>
        </w:rPr>
      </w:pPr>
      <w:r>
        <w:rPr>
          <w:rFonts w:ascii="Arial" w:hAnsi="Arial"/>
          <w:sz w:val="30"/>
        </w:rPr>
        <w:t>1. Why are Health Premiums So Large?</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Medical Inflation:</w:t>
      </w:r>
      <w:r>
        <w:rPr>
          <w:rFonts w:ascii="Arial" w:hAnsi="Arial"/>
          <w:sz w:val="24"/>
        </w:rPr>
        <w:t xml:space="preserve"> The rising costs of hospital infrastructure, advanced medical technologies, and specialized treatments require insurers to significantly increase premium pools to cover future payouts. </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Rising Claim Frequencies:</w:t>
      </w:r>
      <w:r>
        <w:rPr>
          <w:rFonts w:ascii="Arial" w:hAnsi="Arial"/>
          <w:sz w:val="24"/>
        </w:rPr>
        <w:t xml:space="preserve"> An increase in lifestyle-related conditions (e.g., diabetes, heart disease) and the post-COVID-19 surge in hospitalizations have spiked claim numbers. </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Demographics:</w:t>
      </w:r>
      <w:r>
        <w:rPr>
          <w:rFonts w:ascii="Arial" w:hAnsi="Arial"/>
          <w:sz w:val="24"/>
        </w:rPr>
        <w:t xml:space="preserve"> The aging population requires more frequent and expensive medical care, which naturally drives up premiums.</w:t>
      </w:r>
    </w:p>
    <w:p>
      <w:pPr>
        <w:spacing w:before="48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30"/>
        </w:rPr>
      </w:pPr>
      <w:r>
        <w:rPr>
          <w:rFonts w:ascii="Arial" w:hAnsi="Arial"/>
          <w:sz w:val="30"/>
        </w:rPr>
        <w:t>2. Why Does Motor Remain a Major Segment?</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Mandatory Legal Requirements:</w:t>
      </w:r>
      <w:r>
        <w:rPr>
          <w:rFonts w:ascii="Arial" w:hAnsi="Arial"/>
          <w:sz w:val="24"/>
        </w:rPr>
        <w:t xml:space="preserve"> Under the Motor Vehicles Act, Third-Party Liability coverage is compulsory for every vehicle on the road, ensuring consistent, baseline demand. </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Volume of Assets:</w:t>
      </w:r>
      <w:r>
        <w:rPr>
          <w:rFonts w:ascii="Arial" w:hAnsi="Arial"/>
          <w:sz w:val="24"/>
        </w:rPr>
        <w:t xml:space="preserve"> Continued sales of both new and pre-owned automobiles create a massive pool of insurable assets. </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High Renewal Rates:</w:t>
      </w:r>
      <w:r>
        <w:rPr>
          <w:rFonts w:ascii="Arial" w:hAnsi="Arial"/>
          <w:sz w:val="24"/>
        </w:rPr>
        <w:t xml:space="preserve"> Customers prioritize keeping their motor policies active to avoid legal fines and protect high-value assets, giving this segment reliable renewal revenues. </w:t>
      </w:r>
    </w:p>
    <w:p>
      <w:pPr>
        <w:spacing w:before="48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30"/>
        </w:rPr>
      </w:pPr>
      <w:r>
        <w:rPr>
          <w:rFonts w:ascii="Arial" w:hAnsi="Arial"/>
          <w:sz w:val="30"/>
        </w:rPr>
        <w:t>3. Why Does Premium Growth Not Automatically Mean Better Profitability?</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The Combined Ratio Reality:</w:t>
      </w:r>
      <w:r>
        <w:rPr>
          <w:rFonts w:ascii="Arial" w:hAnsi="Arial"/>
          <w:sz w:val="24"/>
        </w:rPr>
        <w:t xml:space="preserve"> Profitability in insurance is measured by the </w:t>
      </w:r>
      <w:r>
        <w:rPr>
          <w:rFonts w:ascii="Arial" w:hAnsi="Arial"/>
          <w:b/>
          <w:sz w:val="24"/>
        </w:rPr>
        <w:t>Combined Ratio</w:t>
      </w:r>
      <w:r>
        <w:rPr>
          <w:rFonts w:ascii="Arial" w:hAnsi="Arial"/>
          <w:sz w:val="24"/>
        </w:rPr>
        <w:t xml:space="preserve">, which is the sum of incurred losses and operating expenses divided by earned premiums. If claims and costs rise faster than premiums increase in premium vs increase in claims), the company runs at a loss even if total premium revenue grew. </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Underwriting Losses:</w:t>
      </w:r>
      <w:r>
        <w:rPr>
          <w:rFonts w:ascii="Arial" w:hAnsi="Arial"/>
          <w:sz w:val="24"/>
        </w:rPr>
        <w:t xml:space="preserve"> Sometimes, insurers intentionally price their premiums competitively to gain market share or abide by regulatory pricing caps, which leads to underwriting losses on the policies. </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b/>
          <w:sz w:val="24"/>
        </w:rPr>
        <w:t>Massive Payout Spikes:</w:t>
      </w:r>
      <w:r>
        <w:rPr>
          <w:rFonts w:ascii="Arial" w:hAnsi="Arial"/>
          <w:sz w:val="24"/>
        </w:rPr>
        <w:t xml:space="preserve"> Unlike other sectors, insurance is a promise to pay future liabilities. If catastrophic events (such as severe natural disasters or health pandemics) occur, sudden massive claim payouts can easily wipe out the profits generated from premium growth.</w:t>
      </w:r>
    </w:p>
    <w:p>
      <w:pPr>
        <w:numPr>
          <w:ilvl w:val="0"/>
          <w:numId w:val="1"/>
        </w:numPr>
        <w:ind w:left="283" w:hanging="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sz w:val="24"/>
        </w:rPr>
      </w:r>
    </w:p>
    <w:p>
      <w:pPr>
        <w:spacing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b/>
          <w:color w:val="333333"/>
          <w:sz w:val="24"/>
          <w:shd w:val="clear" w:fill="3dff3d"/>
        </w:rPr>
      </w:pPr>
      <w:r>
        <w:rPr>
          <w:rFonts w:ascii="Segoe UI" w:hAnsi="Segoe UI"/>
          <w:color w:val="333333"/>
          <w:sz w:val="24"/>
          <w:shd w:val="clear" w:fill="3dff3d"/>
        </w:rPr>
        <w:t>For an insurance company, profit comes from two main activities: </w:t>
      </w:r>
      <w:r>
        <w:rPr>
          <w:rFonts w:ascii="Segoe UI" w:hAnsi="Segoe UI"/>
          <w:b/>
          <w:color w:val="333333"/>
          <w:sz w:val="24"/>
          <w:shd w:val="clear" w:fill="3dff3d"/>
        </w:rPr>
        <w:t>underwriting</w:t>
      </w:r>
      <w:r>
        <w:rPr>
          <w:rFonts w:ascii="Segoe UI" w:hAnsi="Segoe UI"/>
          <w:color w:val="333333"/>
          <w:sz w:val="24"/>
          <w:shd w:val="clear" w:fill="3dff3d"/>
        </w:rPr>
        <w:t> (the core business of selling policies) and </w:t>
      </w:r>
      <w:r>
        <w:rPr>
          <w:rFonts w:ascii="Segoe UI" w:hAnsi="Segoe UI"/>
          <w:b/>
          <w:color w:val="333333"/>
          <w:sz w:val="24"/>
          <w:shd w:val="clear" w:fill="3dff3d"/>
        </w:rPr>
        <w:t>investing</w:t>
      </w:r>
      <w:r>
        <w:rPr>
          <w:rFonts w:ascii="Segoe UI" w:hAnsi="Segoe UI"/>
          <w:color w:val="333333"/>
          <w:sz w:val="24"/>
          <w:shd w:val="clear" w:fill="3dff3d"/>
        </w:rPr>
        <w:t> (earning returns on the premiums collected before they’re paid out). Your question—premium growth versus underwriting profitability—zeroes in on the underwriting side. The short answer: </w:t>
      </w:r>
      <w:r>
        <w:rPr>
          <w:rFonts w:ascii="Segoe UI" w:hAnsi="Segoe UI"/>
          <w:b/>
          <w:color w:val="333333"/>
          <w:sz w:val="24"/>
          <w:shd w:val="clear" w:fill="3dff3d"/>
        </w:rPr>
        <w:t>underwriting profitability is the real engine of sustainable profit; premium growth alone is just a number on the top line and can even destroy value if it’s not paired with discipline.</w:t>
      </w:r>
    </w:p>
    <w:p>
      <w:pPr>
        <w:spacing w:before="32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333333"/>
          <w:sz w:val="24"/>
          <w:shd w:val="clear" w:fill="3dff3d"/>
        </w:rPr>
      </w:pPr>
      <w:r>
        <w:rPr>
          <w:rFonts w:ascii="Segoe UI" w:hAnsi="Segoe UI"/>
          <w:color w:val="333333"/>
          <w:sz w:val="24"/>
          <w:shd w:val="clear" w:fill="3dff3d"/>
        </w:rPr>
        <w:t>Let’s break it down simply.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rPr>
      </w:pPr>
      <w:r>
        <w:rPr>
          <w:noProof/>
        </w:rPr>
        <w:pict>
          <v:rect id="_x0000_i1026" style="width:0.00pt;height:1.00pt" o:hr="t" o:hrpct="1000" o:hralign="center" o:hrnoshade="t" fillcolor="#000000" stroked="f"/>
        </w:pict>
      </w:r>
      <w:r>
        <w:rPr>
          <w:color w:val="333333"/>
        </w:rPr>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1. What Is Premium Growth?</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Premium growth is simply the increase in the total premiums an insurer collects year over year, either by selling more policies or raising prices.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Why it looks attractive:</w:t>
      </w:r>
      <w:r>
        <w:rPr>
          <w:rFonts w:ascii="Segoe UI" w:hAnsi="Segoe UI" w:cs="Arial"/>
          <w:b w:val="0"/>
          <w:bCs/>
          <w:color w:val="333333"/>
          <w:sz w:val="24"/>
          <w:szCs w:val="28"/>
          <w:shd w:val="clear" w:fill="3dff3d"/>
        </w:rPr>
        <w:t> Fast growth suggests the company is gaining market share, its brand is strong, and it’s bringing in more cash to invest.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The hidden risk:</w:t>
      </w:r>
      <w:r>
        <w:rPr>
          <w:rFonts w:ascii="Segoe UI" w:hAnsi="Segoe UI" w:cs="Arial"/>
          <w:b w:val="0"/>
          <w:bCs/>
          <w:color w:val="333333"/>
          <w:sz w:val="24"/>
          <w:szCs w:val="28"/>
          <w:shd w:val="clear" w:fill="3dff3d"/>
        </w:rPr>
        <w:t> Growth can be bought. If an insurer slashes prices or insures very risky customers just to get bigger, they might collect lots of premiums today but pay out even more in claims tomorrow. This is called “cash flow underwriting” and it’s dangerous.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Think of premium growth like </w:t>
      </w:r>
      <w:r>
        <w:rPr>
          <w:rFonts w:ascii="Segoe UI" w:hAnsi="Segoe UI" w:cs="Arial"/>
          <w:b/>
          <w:bCs/>
          <w:color w:val="333333"/>
          <w:sz w:val="24"/>
          <w:szCs w:val="28"/>
          <w:shd w:val="clear" w:fill="3dff3d"/>
        </w:rPr>
        <w:t>top-line revenue</w:t>
      </w:r>
      <w:r>
        <w:rPr>
          <w:rFonts w:ascii="Segoe UI" w:hAnsi="Segoe UI" w:cs="Arial"/>
          <w:b w:val="0"/>
          <w:bCs/>
          <w:color w:val="333333"/>
          <w:sz w:val="24"/>
          <w:szCs w:val="28"/>
          <w:shd w:val="clear" w:fill="3dff3d"/>
        </w:rPr>
        <w:t> for any business. A restaurant can double its customers by giving away free meals—revenue looks great, but it’s bleeding money on every plate.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333333"/>
          <w:sz w:val="20"/>
          <w:szCs w:val="28"/>
        </w:rPr>
      </w:pPr>
      <w:r>
        <w:rPr>
          <w:noProof/>
        </w:rPr>
        <w:pict>
          <v:rect id="_x0000_i1027" style="width:0.00pt;height:1.00pt" o:hr="t" o:hrpct="1000" o:hralign="center" o:hrnoshade="t" fillcolor="#000000" stroked="f"/>
        </w:pict>
      </w:r>
      <w:r>
        <w:rPr>
          <w:rFonts w:cs="Arial"/>
          <w:b w:val="0"/>
          <w:bCs/>
          <w:color w:val="333333"/>
          <w:sz w:val="20"/>
          <w:szCs w:val="28"/>
        </w:rPr>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2. What Is Underwriting Profitability?</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Underwriting profitability measures whether the insurer is making money </w:t>
      </w:r>
      <w:r>
        <w:rPr>
          <w:rFonts w:ascii="Segoe UI" w:hAnsi="Segoe UI" w:cs="Arial"/>
          <w:b w:val="0"/>
          <w:bCs/>
          <w:i/>
          <w:color w:val="333333"/>
          <w:sz w:val="24"/>
          <w:szCs w:val="28"/>
          <w:shd w:val="clear" w:fill="3dff3d"/>
        </w:rPr>
        <w:t>solely from its insurance operations</w:t>
      </w:r>
      <w:r>
        <w:rPr>
          <w:rFonts w:ascii="Segoe UI" w:hAnsi="Segoe UI" w:cs="Arial"/>
          <w:b w:val="0"/>
          <w:bCs/>
          <w:color w:val="333333"/>
          <w:sz w:val="24"/>
          <w:szCs w:val="28"/>
          <w:shd w:val="clear" w:fill="3dff3d"/>
        </w:rPr>
        <w:t>, before counting any investment income. The key metric is the </w:t>
      </w:r>
      <w:r>
        <w:rPr>
          <w:rFonts w:ascii="Segoe UI" w:hAnsi="Segoe UI" w:cs="Arial"/>
          <w:b/>
          <w:bCs/>
          <w:color w:val="333333"/>
          <w:sz w:val="24"/>
          <w:szCs w:val="28"/>
          <w:shd w:val="clear" w:fill="3dff3d"/>
        </w:rPr>
        <w:t>combined ratio</w:t>
      </w:r>
      <w:r>
        <w:rPr>
          <w:rFonts w:ascii="Segoe UI" w:hAnsi="Segoe UI" w:cs="Arial"/>
          <w:b w:val="0"/>
          <w:bCs/>
          <w:color w:val="333333"/>
          <w:sz w:val="24"/>
          <w:szCs w:val="28"/>
          <w:shd w:val="clear" w:fill="3dff3d"/>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color w:val="333333"/>
          <w:sz w:val="20"/>
          <w:szCs w:val="28"/>
        </w:rPr>
      </w:pPr>
      <w:r>
        <w:rPr>
          <w:rFonts w:cs="Arial"/>
          <w:b/>
          <w:bCs/>
          <w:color w:val="333333"/>
          <w:sz w:val="20"/>
          <w:szCs w:val="28"/>
        </w:rPr>
        <w:t>Combined Ratio = Loss Ratio + Expense Ratio</w:t>
      </w:r>
    </w:p>
    <w:p>
      <w:pPr>
        <w:numPr>
          <w:ilvl w:val="0"/>
          <w:numId w:val="2"/>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Loss Ratio:</w:t>
      </w:r>
      <w:r>
        <w:rPr>
          <w:rFonts w:ascii="Segoe UI" w:hAnsi="Segoe UI" w:cs="Arial"/>
          <w:b w:val="0"/>
          <w:bCs/>
          <w:color w:val="333333"/>
          <w:sz w:val="24"/>
          <w:szCs w:val="28"/>
          <w:shd w:val="clear" w:fill="3dff3d"/>
        </w:rPr>
        <w:t> Claims paid ÷ Premiums earned (e.g., 60% means 60 cents of every premium dollar goes to claims).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Expense Ratio:</w:t>
      </w:r>
      <w:r>
        <w:rPr>
          <w:rFonts w:ascii="Segoe UI" w:hAnsi="Segoe UI" w:cs="Arial"/>
          <w:b w:val="0"/>
          <w:bCs/>
          <w:color w:val="333333"/>
          <w:sz w:val="24"/>
          <w:szCs w:val="28"/>
          <w:shd w:val="clear" w:fill="3dff3d"/>
        </w:rPr>
        <w:t> Operating costs ÷ Premiums written (agent commissions, salaries, rent, etc.).</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Combined ratio under 100%</w:t>
      </w:r>
      <w:r>
        <w:rPr>
          <w:rFonts w:ascii="Segoe UI" w:hAnsi="Segoe UI" w:cs="Arial"/>
          <w:b w:val="0"/>
          <w:bCs/>
          <w:color w:val="333333"/>
          <w:sz w:val="24"/>
          <w:szCs w:val="28"/>
          <w:shd w:val="clear" w:fill="3dff3d"/>
        </w:rPr>
        <w:t> = underwriting </w:t>
      </w:r>
      <w:r>
        <w:rPr>
          <w:rFonts w:ascii="Segoe UI" w:hAnsi="Segoe UI" w:cs="Arial"/>
          <w:b/>
          <w:bCs/>
          <w:color w:val="333333"/>
          <w:sz w:val="24"/>
          <w:szCs w:val="28"/>
          <w:shd w:val="clear" w:fill="3dff3d"/>
        </w:rPr>
        <w:t>profit</w:t>
      </w:r>
      <w:r>
        <w:rPr>
          <w:rFonts w:ascii="Segoe UI" w:hAnsi="Segoe UI" w:cs="Arial"/>
          <w:b w:val="0"/>
          <w:bCs/>
          <w:color w:val="333333"/>
          <w:sz w:val="24"/>
          <w:szCs w:val="28"/>
          <w:shd w:val="clear" w:fill="3dff3d"/>
        </w:rPr>
        <w:t>.</w:t>
        <w:br w:type="textWrapping"/>
        <w:t>(e.g., 95% means the insurer makes 5 cents profit on every premium dollar from operations alone.)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Combined ratio over 100%</w:t>
      </w:r>
      <w:r>
        <w:rPr>
          <w:rFonts w:ascii="Segoe UI" w:hAnsi="Segoe UI" w:cs="Arial"/>
          <w:b w:val="0"/>
          <w:bCs/>
          <w:color w:val="333333"/>
          <w:sz w:val="24"/>
          <w:szCs w:val="28"/>
          <w:shd w:val="clear" w:fill="3dff3d"/>
        </w:rPr>
        <w:t> = underwriting </w:t>
      </w:r>
      <w:r>
        <w:rPr>
          <w:rFonts w:ascii="Segoe UI" w:hAnsi="Segoe UI" w:cs="Arial"/>
          <w:b/>
          <w:bCs/>
          <w:color w:val="333333"/>
          <w:sz w:val="24"/>
          <w:szCs w:val="28"/>
          <w:shd w:val="clear" w:fill="3dff3d"/>
        </w:rPr>
        <w:t>loss</w:t>
      </w:r>
      <w:r>
        <w:rPr>
          <w:rFonts w:ascii="Segoe UI" w:hAnsi="Segoe UI" w:cs="Arial"/>
          <w:b w:val="0"/>
          <w:bCs/>
          <w:color w:val="333333"/>
          <w:sz w:val="24"/>
          <w:szCs w:val="28"/>
          <w:shd w:val="clear" w:fill="3dff3d"/>
        </w:rPr>
        <w:t>.</w:t>
        <w:br w:type="textWrapping"/>
        <w:t>(e.g., 105% means it costs $1.05 to collect $1.00 in premium.)</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Underwriting profitability shows </w:t>
      </w:r>
      <w:r>
        <w:rPr>
          <w:rFonts w:ascii="Segoe UI" w:hAnsi="Segoe UI" w:cs="Arial"/>
          <w:b/>
          <w:bCs/>
          <w:color w:val="333333"/>
          <w:sz w:val="24"/>
          <w:szCs w:val="28"/>
          <w:shd w:val="clear" w:fill="3dff3d"/>
        </w:rPr>
        <w:t>discipline</w:t>
      </w:r>
      <w:r>
        <w:rPr>
          <w:rFonts w:ascii="Segoe UI" w:hAnsi="Segoe UI" w:cs="Arial"/>
          <w:b w:val="0"/>
          <w:bCs/>
          <w:color w:val="333333"/>
          <w:sz w:val="24"/>
          <w:szCs w:val="28"/>
          <w:shd w:val="clear" w:fill="3dff3d"/>
        </w:rPr>
        <w:t>—that the insurer knows how to price risk properly and control expenses.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333333"/>
          <w:sz w:val="20"/>
          <w:szCs w:val="28"/>
        </w:rPr>
      </w:pPr>
      <w:r>
        <w:rPr>
          <w:noProof/>
        </w:rPr>
        <w:pict>
          <v:rect id="_x0000_i1028" style="width:0.00pt;height:1.00pt" o:hr="t" o:hrpct="1000" o:hralign="center" o:hrnoshade="t" fillcolor="#000000" stroked="f"/>
        </w:pict>
      </w:r>
      <w:r>
        <w:rPr>
          <w:rFonts w:cs="Arial"/>
          <w:b w:val="0"/>
          <w:bCs/>
          <w:color w:val="333333"/>
          <w:sz w:val="20"/>
          <w:szCs w:val="28"/>
        </w:rPr>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3. The Real Battle: Growth vs. Discipline</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The heart of the issue is that these two goals often pull in opposite directions:</w:t>
      </w:r>
    </w:p>
    <w:tbl>
      <w:tblPr>
        <w:name w:val="Table2"/>
        <w:tabOrder w:val="0"/>
        <w:jc w:val="left"/>
        <w:tblInd w:w="0" w:type="dxa"/>
        <w:tblW w:w="16947"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tblPr>
      <w:tblGrid>
        <w:gridCol w:w="5649"/>
        <w:gridCol w:w="5649"/>
        <w:gridCol w:w="5649"/>
      </w:tblGrid>
      <w:tr>
        <w:trPr>
          <w:tblHeader/>
          <w:cantSplit w:val="0"/>
          <w:trHeight w:val="0" w:hRule="auto"/>
        </w:trPr>
        <w:tc>
          <w:tcPr>
            <w:tcW w:w="1665" w:type="pct"/>
            <w:shd w:val="none"/>
            <w:tcMar>
              <w:top w:w="151" w:type="dxa"/>
              <w:left w:w="56" w:type="dxa"/>
              <w:bottom w:w="151"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1" w:color="000000" tmln="20, 20, 20, 0, 3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Strategy</w:t>
            </w:r>
          </w:p>
        </w:tc>
        <w:tc>
          <w:tcPr>
            <w:tcW w:w="1665" w:type="pct"/>
            <w:shd w:val="none"/>
            <w:tcMar>
              <w:top w:w="151" w:type="dxa"/>
              <w:left w:w="56" w:type="dxa"/>
              <w:bottom w:w="56"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Short-Term Effect</w:t>
            </w:r>
          </w:p>
        </w:tc>
        <w:tc>
          <w:tcPr>
            <w:tcW w:w="1665" w:type="pct"/>
            <w:shd w:val="none"/>
            <w:tcMar>
              <w:top w:w="151" w:type="dxa"/>
              <w:left w:w="56" w:type="dxa"/>
              <w:bottom w:w="56"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Long-Term Reality</w:t>
            </w:r>
          </w:p>
        </w:tc>
      </w:tr>
      <w:tr>
        <w:trPr>
          <w:tblHeader w:val="0"/>
          <w:cantSplit w:val="0"/>
          <w:trHeight w:val="0" w:hRule="auto"/>
        </w:trPr>
        <w:tc>
          <w:tcPr>
            <w:tcW w:w="1665" w:type="pct"/>
            <w:shd w:val="none"/>
            <w:tcMar>
              <w:top w:w="151" w:type="dxa"/>
              <w:left w:w="56" w:type="dxa"/>
              <w:bottom w:w="151"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Aggressive Premium Growth</w:t>
            </w:r>
            <w:r>
              <w:rPr>
                <w:rFonts w:ascii="Segoe UI" w:hAnsi="Segoe UI" w:cs="Arial"/>
                <w:b w:val="0"/>
                <w:bCs/>
                <w:color w:val="333333"/>
                <w:sz w:val="24"/>
                <w:szCs w:val="28"/>
                <w:shd w:val="clear" w:fill="3dff3d"/>
              </w:rPr>
              <w:t> (cut prices, insure anyone)</w:t>
            </w:r>
          </w:p>
        </w:tc>
        <w:tc>
          <w:tcPr>
            <w:tcW w:w="1665" w:type="pct"/>
            <w:shd w:val="none"/>
            <w:tcMar>
              <w:top w:w="151" w:type="dxa"/>
              <w:left w:w="56" w:type="dxa"/>
              <w:bottom w:w="56"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Premiums soar, cash floods in. Combined ratio spikes above 100%.</w:t>
            </w:r>
          </w:p>
        </w:tc>
        <w:tc>
          <w:tcPr>
            <w:tcW w:w="1665" w:type="pct"/>
            <w:shd w:val="none"/>
            <w:tcMar>
              <w:top w:w="151" w:type="dxa"/>
              <w:left w:w="242" w:type="dxa"/>
              <w:bottom w:w="151" w:type="dxa"/>
              <w:right w:w="56"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Underwriting losses eat into capital. You’re growing </w:t>
            </w:r>
            <w:r>
              <w:rPr>
                <w:rFonts w:ascii="Segoe UI" w:hAnsi="Segoe UI" w:cs="Arial"/>
                <w:b w:val="0"/>
                <w:bCs/>
                <w:i/>
                <w:color w:val="333333"/>
                <w:sz w:val="24"/>
                <w:szCs w:val="28"/>
                <w:shd w:val="clear" w:fill="3dff3d"/>
              </w:rPr>
              <w:t>losses</w:t>
            </w:r>
            <w:r>
              <w:rPr>
                <w:rFonts w:ascii="Segoe UI" w:hAnsi="Segoe UI" w:cs="Arial"/>
                <w:b w:val="0"/>
                <w:bCs/>
                <w:color w:val="333333"/>
                <w:sz w:val="24"/>
                <w:szCs w:val="28"/>
                <w:shd w:val="clear" w:fill="3dff3d"/>
              </w:rPr>
              <w:t>, not profits.</w:t>
            </w:r>
          </w:p>
        </w:tc>
      </w:tr>
      <w:tr>
        <w:trPr>
          <w:tblHeader w:val="0"/>
          <w:cantSplit w:val="0"/>
          <w:trHeight w:val="0" w:hRule="auto"/>
        </w:trPr>
        <w:tc>
          <w:tcPr>
            <w:tcW w:w="1665" w:type="pct"/>
            <w:shd w:val="none"/>
            <w:tcMar>
              <w:top w:w="151" w:type="dxa"/>
              <w:left w:w="56" w:type="dxa"/>
              <w:bottom w:w="151"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bCs/>
                <w:color w:val="333333"/>
                <w:sz w:val="24"/>
                <w:szCs w:val="28"/>
                <w:shd w:val="clear" w:fill="3dff3d"/>
              </w:rPr>
              <w:t>Strict Underwriting Profitability</w:t>
            </w:r>
            <w:r>
              <w:rPr>
                <w:rFonts w:ascii="Segoe UI" w:hAnsi="Segoe UI" w:cs="Arial"/>
                <w:b w:val="0"/>
                <w:bCs/>
                <w:color w:val="333333"/>
                <w:sz w:val="24"/>
                <w:szCs w:val="28"/>
                <w:shd w:val="clear" w:fill="3dff3d"/>
              </w:rPr>
              <w:t> (charge adequately, reject bad risks)</w:t>
            </w:r>
          </w:p>
        </w:tc>
        <w:tc>
          <w:tcPr>
            <w:tcW w:w="1665" w:type="pct"/>
            <w:shd w:val="none"/>
            <w:tcMar>
              <w:top w:w="151" w:type="dxa"/>
              <w:left w:w="56" w:type="dxa"/>
              <w:bottom w:w="56" w:type="dxa"/>
              <w:right w:w="242"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Growth may be flat or slow; you might lose some market share. Combined ratio stays below 100%.</w:t>
            </w:r>
          </w:p>
        </w:tc>
        <w:tc>
          <w:tcPr>
            <w:tcW w:w="1665" w:type="pct"/>
            <w:shd w:val="none"/>
            <w:tcMar>
              <w:top w:w="151" w:type="dxa"/>
              <w:left w:w="242" w:type="dxa"/>
              <w:bottom w:w="151" w:type="dxa"/>
              <w:right w:w="56" w:type="dxa"/>
            </w:tcMar>
            <w:tcBorders>
              <w:top w:val="nil" w:sz="0" w:space="0" w:color="000000" tmln="20, 20, 20, 0, 0"/>
              <w:left w:val="nil" w:sz="0" w:space="0" w:color="000000" tmln="20, 20, 20, 0, 0"/>
              <w:bottom w:val="single" w:sz="5" w:space="0" w:color="FF0000" tmln="12, 20, 20, 0, 0"/>
              <w:right w:val="nil" w:sz="0" w:space="0" w:color="000000" tmln="20, 20, 20, 0, 0"/>
              <w:tl2br w:val="nil" w:sz="0" w:space="0" w:color="000000" tmln="20, 20, 20, 0, 0"/>
              <w:tr2bl w:val="nil" w:sz="0" w:space="0" w:color="000000" tmln="20, 20, 20, 0, 0"/>
            </w:tcBorders>
            <w:tmTcPr id="1780382694"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You generate a steady underwriting profit that can be reinvested. You grow </w:t>
            </w:r>
            <w:r>
              <w:rPr>
                <w:rFonts w:ascii="Segoe UI" w:hAnsi="Segoe UI" w:cs="Arial"/>
                <w:b w:val="0"/>
                <w:bCs/>
                <w:i/>
                <w:color w:val="333333"/>
                <w:sz w:val="24"/>
                <w:szCs w:val="28"/>
                <w:shd w:val="clear" w:fill="3dff3d"/>
              </w:rPr>
              <w:t>earnings</w:t>
            </w:r>
            <w:r>
              <w:rPr>
                <w:rFonts w:ascii="Segoe UI" w:hAnsi="Segoe UI" w:cs="Arial"/>
                <w:b w:val="0"/>
                <w:bCs/>
                <w:color w:val="333333"/>
                <w:sz w:val="24"/>
                <w:szCs w:val="28"/>
                <w:shd w:val="clear" w:fill="3dff3d"/>
              </w:rPr>
              <w:t>.</w:t>
            </w:r>
          </w:p>
        </w:tc>
      </w:tr>
    </w:tbl>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t>A classic example from legendary investor Warren Buffett: he runs Berkshire Hathaway’s insurance operations with a rule—</w:t>
      </w:r>
      <w:r>
        <w:rPr>
          <w:rFonts w:ascii="Segoe UI" w:hAnsi="Segoe UI" w:cs="Arial"/>
          <w:b/>
          <w:bCs/>
          <w:color w:val="333333"/>
          <w:sz w:val="24"/>
          <w:szCs w:val="28"/>
          <w:shd w:val="clear" w:fill="3dff3d"/>
        </w:rPr>
        <w:t>if we don’t expect to make an underwriting profit, we don’t write the business.</w:t>
      </w:r>
      <w:r>
        <w:rPr>
          <w:rFonts w:ascii="Segoe UI" w:hAnsi="Segoe UI" w:cs="Arial"/>
          <w:b w:val="0"/>
          <w:bCs/>
          <w:color w:val="333333"/>
          <w:sz w:val="24"/>
          <w:szCs w:val="28"/>
          <w:shd w:val="clear" w:fill="3dff3d"/>
        </w:rPr>
        <w:t> As a result, their float (the money they hold to invest) actually costs them </w:t>
      </w:r>
      <w:r>
        <w:rPr>
          <w:rFonts w:ascii="Segoe UI" w:hAnsi="Segoe UI" w:cs="Arial"/>
          <w:b w:val="0"/>
          <w:bCs/>
          <w:i/>
          <w:color w:val="333333"/>
          <w:sz w:val="24"/>
          <w:szCs w:val="28"/>
          <w:shd w:val="clear" w:fill="3dff3d"/>
        </w:rPr>
        <w:t>negative</w:t>
      </w:r>
      <w:r>
        <w:rPr>
          <w:rFonts w:ascii="Segoe UI" w:hAnsi="Segoe UI" w:cs="Arial"/>
          <w:b w:val="0"/>
          <w:bCs/>
          <w:color w:val="333333"/>
          <w:sz w:val="24"/>
          <w:szCs w:val="28"/>
          <w:shd w:val="clear" w:fill="3dff3d"/>
        </w:rPr>
        <w:t> interest, and they can invest it for pure gain. Many competitors, chasing growth, accept an underwriting loss just to get float, which is a risky gamble.</w:t>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4. Detailed Example: Two Insurers, Same Country, Different Fates</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t>Imagine two car insurers, </w:t>
      </w:r>
      <w:r>
        <w:rPr>
          <w:rFonts w:ascii="Segoe UI" w:hAnsi="Segoe UI" w:cs="Arial"/>
          <w:b/>
          <w:bCs/>
          <w:color w:val="333333"/>
          <w:sz w:val="21"/>
          <w:szCs w:val="28"/>
          <w:shd w:val="clear" w:fill="3dff3d"/>
        </w:rPr>
        <w:t>FastGrow</w:t>
      </w:r>
      <w:r>
        <w:rPr>
          <w:rFonts w:ascii="Segoe UI" w:hAnsi="Segoe UI" w:cs="Arial"/>
          <w:b w:val="0"/>
          <w:bCs/>
          <w:color w:val="333333"/>
          <w:sz w:val="21"/>
          <w:szCs w:val="28"/>
          <w:shd w:val="clear" w:fill="3dff3d"/>
        </w:rPr>
        <w:t> and </w:t>
      </w:r>
      <w:r>
        <w:rPr>
          <w:rFonts w:ascii="Segoe UI" w:hAnsi="Segoe UI" w:cs="Arial"/>
          <w:b/>
          <w:bCs/>
          <w:color w:val="333333"/>
          <w:sz w:val="21"/>
          <w:szCs w:val="28"/>
          <w:shd w:val="clear" w:fill="3dff3d"/>
        </w:rPr>
        <w:t>SteadySafe</w:t>
      </w:r>
      <w:r>
        <w:rPr>
          <w:rFonts w:ascii="Segoe UI" w:hAnsi="Segoe UI" w:cs="Arial"/>
          <w:b w:val="0"/>
          <w:bCs/>
          <w:color w:val="333333"/>
          <w:sz w:val="21"/>
          <w:szCs w:val="28"/>
          <w:shd w:val="clear" w:fill="3dff3d"/>
        </w:rPr>
        <w:t>, both starting with $100 million in capital.</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333333"/>
          <w:sz w:val="21"/>
          <w:szCs w:val="28"/>
          <w:shd w:val="clear" w:fill="3dff3d"/>
        </w:rPr>
      </w:pPr>
      <w:r>
        <w:rPr>
          <w:rFonts w:ascii="Segoe UI" w:hAnsi="Segoe UI" w:cs="Arial"/>
          <w:b/>
          <w:bCs/>
          <w:color w:val="333333"/>
          <w:sz w:val="21"/>
          <w:szCs w:val="28"/>
          <w:shd w:val="clear" w:fill="3dff3d"/>
        </w:rPr>
        <w:t>Year 1:</w:t>
      </w:r>
    </w:p>
    <w:p>
      <w:pPr>
        <w:numPr>
          <w:ilvl w:val="0"/>
          <w:numId w:val="2"/>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FastGrow</w:t>
      </w:r>
      <w:r>
        <w:rPr>
          <w:rFonts w:ascii="Segoe UI" w:hAnsi="Segoe UI" w:cs="Arial"/>
          <w:b w:val="0"/>
          <w:bCs/>
          <w:color w:val="333333"/>
          <w:sz w:val="21"/>
          <w:szCs w:val="28"/>
          <w:shd w:val="clear" w:fill="3dff3d"/>
        </w:rPr>
        <w:t> slashes prices 20% below the market to grab share. It writes $200 million in premiums. Its combined ratio is 110% (losses + expenses = $220 million).</w:t>
        <w:br w:type="textWrapping"/>
        <w:t>→ **Underwriting loss: –$20 million.**</w:t>
        <w:br w:type="textWrapping"/>
        <w:t>The company is $20 million poorer from operations. It must rely on investment gains just to break even.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SteadySafe</w:t>
      </w:r>
      <w:r>
        <w:rPr>
          <w:rFonts w:ascii="Segoe UI" w:hAnsi="Segoe UI" w:cs="Arial"/>
          <w:b w:val="0"/>
          <w:bCs/>
          <w:color w:val="333333"/>
          <w:sz w:val="21"/>
          <w:szCs w:val="28"/>
          <w:shd w:val="clear" w:fill="3dff3d"/>
        </w:rPr>
        <w:t> charges disciplined prices. It writes only $80 million in premiums because it turns away bad drivers. Its combined ratio is 92% (costs = $73.6 million).</w:t>
        <w:br w:type="textWrapping"/>
        <w:t>→ </w:t>
      </w:r>
      <w:r>
        <w:rPr>
          <w:rFonts w:ascii="Segoe UI" w:hAnsi="Segoe UI" w:cs="Arial"/>
          <w:b/>
          <w:bCs/>
          <w:color w:val="333333"/>
          <w:sz w:val="21"/>
          <w:szCs w:val="28"/>
          <w:shd w:val="clear" w:fill="3dff3d"/>
        </w:rPr>
        <w:t>Underwriting profit: +$6.4 million.</w:t>
        <w:br w:type="textWrapping"/>
      </w:r>
      <w:r>
        <w:rPr>
          <w:rFonts w:ascii="Segoe UI" w:hAnsi="Segoe UI" w:cs="Arial"/>
          <w:b w:val="0"/>
          <w:bCs/>
          <w:color w:val="333333"/>
          <w:sz w:val="21"/>
          <w:szCs w:val="28"/>
          <w:shd w:val="clear" w:fill="3dff3d"/>
        </w:rPr>
        <w:t>The company made money just from insuring well.</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333333"/>
          <w:sz w:val="21"/>
          <w:szCs w:val="28"/>
          <w:shd w:val="clear" w:fill="3dff3d"/>
        </w:rPr>
      </w:pPr>
      <w:r>
        <w:rPr>
          <w:rFonts w:ascii="Segoe UI" w:hAnsi="Segoe UI" w:cs="Arial"/>
          <w:b/>
          <w:bCs/>
          <w:color w:val="333333"/>
          <w:sz w:val="21"/>
          <w:szCs w:val="28"/>
          <w:shd w:val="clear" w:fill="3dff3d"/>
        </w:rPr>
        <w:t>Year 3 (after a few bad accident years):</w:t>
      </w:r>
    </w:p>
    <w:p>
      <w:pPr>
        <w:numPr>
          <w:ilvl w:val="0"/>
          <w:numId w:val="2"/>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FastGrow</w:t>
      </w:r>
      <w:r>
        <w:rPr>
          <w:rFonts w:ascii="Segoe UI" w:hAnsi="Segoe UI" w:cs="Arial"/>
          <w:b w:val="0"/>
          <w:bCs/>
          <w:color w:val="333333"/>
          <w:sz w:val="21"/>
          <w:szCs w:val="28"/>
          <w:shd w:val="clear" w:fill="3dff3d"/>
        </w:rPr>
        <w:t>’s underpriced policies have attracted a flood of high-risk drivers. Its combined ratio blows out to 115%. On the now $300 million in premiums, it loses $45 million from underwriting. It has grown revenues massively, but its capital is eroding fast. Regulators might step in.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SteadySafe</w:t>
      </w:r>
      <w:r>
        <w:rPr>
          <w:rFonts w:ascii="Segoe UI" w:hAnsi="Segoe UI" w:cs="Arial"/>
          <w:b w:val="0"/>
          <w:bCs/>
          <w:color w:val="333333"/>
          <w:sz w:val="21"/>
          <w:szCs w:val="28"/>
          <w:shd w:val="clear" w:fill="3dff3d"/>
        </w:rPr>
        <w:t> grows slowly to $100 million in premiums by taking only good risks from FastGrow’s mistakes. Combined ratio stays at 93%. Underwriting profit climbs to $7 million. It uses those steady profits to invest and build a fortress balance sheet.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The lesson:</w:t>
      </w:r>
      <w:r>
        <w:rPr>
          <w:rFonts w:ascii="Segoe UI" w:hAnsi="Segoe UI" w:cs="Arial"/>
          <w:b w:val="0"/>
          <w:bCs/>
          <w:color w:val="333333"/>
          <w:sz w:val="21"/>
          <w:szCs w:val="28"/>
          <w:shd w:val="clear" w:fill="3dff3d"/>
        </w:rPr>
        <w:t> FastGrow had dazzling premium growth, but it was “growing broke.” SteadySafe printed actual profit from insurance operations—</w:t>
      </w:r>
      <w:r>
        <w:rPr>
          <w:rFonts w:ascii="Segoe UI" w:hAnsi="Segoe UI" w:cs="Arial"/>
          <w:b w:val="0"/>
          <w:bCs/>
          <w:i/>
          <w:color w:val="333333"/>
          <w:sz w:val="21"/>
          <w:szCs w:val="28"/>
          <w:shd w:val="clear" w:fill="3dff3d"/>
        </w:rPr>
        <w:t>that</w:t>
      </w:r>
      <w:r>
        <w:rPr>
          <w:rFonts w:ascii="Segoe UI" w:hAnsi="Segoe UI" w:cs="Arial"/>
          <w:b w:val="0"/>
          <w:bCs/>
          <w:color w:val="333333"/>
          <w:sz w:val="21"/>
          <w:szCs w:val="28"/>
          <w:shd w:val="clear" w:fill="3dff3d"/>
        </w:rPr>
        <w:t> is real profitability. Investment income on top is then a bonus, not a necessity to cover losses.</w:t>
      </w:r>
    </w:p>
    <w:p>
      <w:pPr>
        <w:ind w:left="880" w:right="88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noProof/>
        </w:rPr>
        <w:pict>
          <v:rect id="_x0000_i1029" style="width:0.00pt;height:1.00pt" o:hr="t" o:hrpct="1000" o:hralign="center" o:hrnoshade="t" fillcolor="#000000" stroked="f"/>
        </w:pict>
      </w:r>
      <w:r>
        <w:rPr>
          <w:rFonts w:ascii="Segoe UI" w:hAnsi="Segoe UI" w:cs="Arial"/>
          <w:b w:val="0"/>
          <w:bCs/>
          <w:color w:val="333333"/>
          <w:sz w:val="21"/>
          <w:szCs w:val="28"/>
          <w:shd w:val="clear" w:fill="3dff3d"/>
        </w:rPr>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5. How Investment Income Fits In (Briefly)</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t>You might ask: “Can’t a high-growth company offset underwriting losses with investment gains?” Yes, but it’s fragile. When interest rates are high, it’s easier. When they fall, or markets dip, the losses crush you. Sustainable insurers ensure their </w:t>
      </w:r>
      <w:r>
        <w:rPr>
          <w:rFonts w:ascii="Segoe UI" w:hAnsi="Segoe UI" w:cs="Arial"/>
          <w:b/>
          <w:bCs/>
          <w:color w:val="333333"/>
          <w:sz w:val="21"/>
          <w:szCs w:val="28"/>
          <w:shd w:val="clear" w:fill="3dff3d"/>
        </w:rPr>
        <w:t>combined ratio is below 100%</w:t>
      </w:r>
      <w:r>
        <w:rPr>
          <w:rFonts w:ascii="Segoe UI" w:hAnsi="Segoe UI" w:cs="Arial"/>
          <w:b w:val="0"/>
          <w:bCs/>
          <w:color w:val="333333"/>
          <w:sz w:val="21"/>
          <w:szCs w:val="28"/>
          <w:shd w:val="clear" w:fill="3dff3d"/>
        </w:rPr>
        <w:t> so that they don’t </w:t>
      </w:r>
      <w:r>
        <w:rPr>
          <w:rFonts w:ascii="Segoe UI" w:hAnsi="Segoe UI" w:cs="Arial"/>
          <w:b w:val="0"/>
          <w:bCs/>
          <w:i/>
          <w:color w:val="333333"/>
          <w:sz w:val="21"/>
          <w:szCs w:val="28"/>
          <w:shd w:val="clear" w:fill="3dff3d"/>
        </w:rPr>
        <w:t>need</w:t>
      </w:r>
      <w:r>
        <w:rPr>
          <w:rFonts w:ascii="Segoe UI" w:hAnsi="Segoe UI" w:cs="Arial"/>
          <w:b w:val="0"/>
          <w:bCs/>
          <w:color w:val="333333"/>
          <w:sz w:val="21"/>
          <w:szCs w:val="28"/>
          <w:shd w:val="clear" w:fill="3dff3d"/>
        </w:rPr>
        <w:t> investment returns to stay alive. Premium growth that comes with a combined ratio of 105% is only profitable if your investments outperform—and that’s banking on luck, not skill.</w:t>
      </w:r>
    </w:p>
    <w:p>
      <w:pPr>
        <w:ind w:left="880" w:right="88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noProof/>
        </w:rPr>
        <w:pict>
          <v:rect id="_x0000_i1030" style="width:0.00pt;height:1.00pt" o:hr="t" o:hrpct="1000" o:hralign="center" o:hrnoshade="t" fillcolor="#000000" stroked="f"/>
        </w:pict>
      </w:r>
      <w:r>
        <w:rPr>
          <w:rFonts w:ascii="Segoe UI" w:hAnsi="Segoe UI" w:cs="Arial"/>
          <w:b w:val="0"/>
          <w:bCs/>
          <w:color w:val="333333"/>
          <w:sz w:val="21"/>
          <w:szCs w:val="28"/>
          <w:shd w:val="clear" w:fill="3dff3d"/>
        </w:rPr>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6. The Ideal: Profitable Growth</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t>The real magic happens when an insurer achieves </w:t>
      </w:r>
      <w:r>
        <w:rPr>
          <w:rFonts w:ascii="Segoe UI" w:hAnsi="Segoe UI" w:cs="Arial"/>
          <w:b/>
          <w:bCs/>
          <w:color w:val="333333"/>
          <w:sz w:val="21"/>
          <w:szCs w:val="28"/>
          <w:shd w:val="clear" w:fill="3dff3d"/>
        </w:rPr>
        <w:t>both</w:t>
      </w:r>
      <w:r>
        <w:rPr>
          <w:rFonts w:ascii="Segoe UI" w:hAnsi="Segoe UI" w:cs="Arial"/>
          <w:b w:val="0"/>
          <w:bCs/>
          <w:color w:val="333333"/>
          <w:sz w:val="21"/>
          <w:szCs w:val="28"/>
          <w:shd w:val="clear" w:fill="3dff3d"/>
        </w:rPr>
        <w:t>: growing premiums </w:t>
      </w:r>
      <w:r>
        <w:rPr>
          <w:rFonts w:ascii="Segoe UI" w:hAnsi="Segoe UI" w:cs="Arial"/>
          <w:b w:val="0"/>
          <w:bCs/>
          <w:i/>
          <w:color w:val="333333"/>
          <w:sz w:val="21"/>
          <w:szCs w:val="28"/>
          <w:shd w:val="clear" w:fill="3dff3d"/>
        </w:rPr>
        <w:t>while</w:t>
      </w:r>
      <w:r>
        <w:rPr>
          <w:rFonts w:ascii="Segoe UI" w:hAnsi="Segoe UI" w:cs="Arial"/>
          <w:b w:val="0"/>
          <w:bCs/>
          <w:color w:val="333333"/>
          <w:sz w:val="21"/>
          <w:szCs w:val="28"/>
          <w:shd w:val="clear" w:fill="3dff3d"/>
        </w:rPr>
        <w:t> keeping the combined ratio below 100%. This means they’re finding more customers who are priced correctly. That builds a compounding machine: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Year 1:</w:t>
      </w:r>
      <w:r>
        <w:rPr>
          <w:rFonts w:ascii="Segoe UI" w:hAnsi="Segoe UI" w:cs="Arial"/>
          <w:b w:val="0"/>
          <w:bCs/>
          <w:color w:val="333333"/>
          <w:sz w:val="21"/>
          <w:szCs w:val="28"/>
          <w:shd w:val="clear" w:fill="3dff3d"/>
        </w:rPr>
        <w:t> $100M premiums, 95% combined ratio = $5M underwriting profit.</w:t>
        <w:br w:type="textWrapping"/>
      </w:r>
      <w:r>
        <w:rPr>
          <w:rFonts w:ascii="Segoe UI" w:hAnsi="Segoe UI" w:cs="Arial"/>
          <w:b/>
          <w:bCs/>
          <w:color w:val="333333"/>
          <w:sz w:val="21"/>
          <w:szCs w:val="28"/>
          <w:shd w:val="clear" w:fill="3dff3d"/>
        </w:rPr>
        <w:t>Year 5:</w:t>
      </w:r>
      <w:r>
        <w:rPr>
          <w:rFonts w:ascii="Segoe UI" w:hAnsi="Segoe UI" w:cs="Arial"/>
          <w:b w:val="0"/>
          <w:bCs/>
          <w:color w:val="333333"/>
          <w:sz w:val="21"/>
          <w:szCs w:val="28"/>
          <w:shd w:val="clear" w:fill="3dff3d"/>
        </w:rPr>
        <w:t> $150M premiums, still 95% combined ratio = $7.5M underwriting profit.</w:t>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t>Growth amplifies an already profitable engine. But growth without the engine just amplifies a loss.</w:t>
      </w:r>
    </w:p>
    <w:p>
      <w:pPr>
        <w:ind w:left="880" w:right="88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noProof/>
        </w:rPr>
        <w:pict>
          <v:rect id="_x0000_i1031" style="width:0.00pt;height:1.00pt" o:hr="t" o:hrpct="1000" o:hralign="center" o:hrnoshade="t" fillcolor="#000000" stroked="f"/>
        </w:pict>
      </w:r>
      <w:r>
        <w:rPr>
          <w:rFonts w:ascii="Segoe UI" w:hAnsi="Segoe UI" w:cs="Arial"/>
          <w:b w:val="0"/>
          <w:bCs/>
          <w:color w:val="333333"/>
          <w:sz w:val="21"/>
          <w:szCs w:val="28"/>
          <w:shd w:val="clear" w:fill="3dff3d"/>
        </w:rPr>
      </w:r>
    </w:p>
    <w:p>
      <w:pPr>
        <w:pStyle w:val="para3"/>
        <w:spacing w:before="640" w:after="3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333333"/>
          <w:shd w:val="clear" w:fill="3dff3d"/>
        </w:rPr>
      </w:pPr>
      <w:r>
        <w:rPr>
          <w:color w:val="333333"/>
          <w:shd w:val="clear" w:fill="3dff3d"/>
        </w:rPr>
        <w:t>Key Takeaway</w:t>
      </w:r>
    </w:p>
    <w:p>
      <w:pPr>
        <w:numPr>
          <w:ilvl w:val="0"/>
          <w:numId w:val="2"/>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Premium growth</w:t>
      </w:r>
      <w:r>
        <w:rPr>
          <w:rFonts w:ascii="Segoe UI" w:hAnsi="Segoe UI" w:cs="Arial"/>
          <w:b w:val="0"/>
          <w:bCs/>
          <w:color w:val="333333"/>
          <w:sz w:val="21"/>
          <w:szCs w:val="28"/>
          <w:shd w:val="clear" w:fill="3dff3d"/>
        </w:rPr>
        <w:t> is the “what” (the size).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bCs/>
          <w:color w:val="333333"/>
          <w:sz w:val="21"/>
          <w:szCs w:val="28"/>
          <w:shd w:val="clear" w:fill="3dff3d"/>
        </w:rPr>
        <w:t>Underwriting profitability</w:t>
      </w:r>
      <w:r>
        <w:rPr>
          <w:rFonts w:ascii="Segoe UI" w:hAnsi="Segoe UI" w:cs="Arial"/>
          <w:b w:val="0"/>
          <w:bCs/>
          <w:color w:val="333333"/>
          <w:sz w:val="21"/>
          <w:szCs w:val="28"/>
          <w:shd w:val="clear" w:fill="3dff3d"/>
        </w:rPr>
        <w:t> is the “how well” (the quality).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r>
    </w:p>
    <w:p>
      <w:pPr>
        <w:spacing w:before="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1"/>
          <w:szCs w:val="28"/>
          <w:shd w:val="clear" w:fill="3dff3d"/>
        </w:rPr>
      </w:pPr>
      <w:r>
        <w:rPr>
          <w:rFonts w:ascii="Segoe UI" w:hAnsi="Segoe UI" w:cs="Arial"/>
          <w:b w:val="0"/>
          <w:bCs/>
          <w:color w:val="333333"/>
          <w:sz w:val="21"/>
          <w:szCs w:val="28"/>
          <w:shd w:val="clear" w:fill="3dff3d"/>
        </w:rPr>
        <w:t>You can’t eat size. An insurer that writes a billion dollars in premiums but loses 10 cents on every dollar is destroying wealth. A smaller competitor writing a hundred million in premiums with a 10-cent underwriting profit is building lasting value. When analyzing an insurer, always look at the combined ratio first—then see if its growth is built on a foundation of discipline or a house of cards.</w:t>
      </w:r>
    </w:p>
    <w:p>
      <w:pPr>
        <w:ind w:left="880" w:right="88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ascii="Segoe UI" w:hAnsi="Segoe UI" w:cs="Arial"/>
          <w:b w:val="0"/>
          <w:bCs/>
          <w:color w:val="3dffff"/>
          <w:sz w:val="21"/>
          <w:szCs w:val="28"/>
          <w:shd w:val="clear" w:fill="3dff3d"/>
        </w:rPr>
        <w:br w:type="textWrapping"/>
      </w:r>
      <w:r>
        <w:rPr>
          <w:rFonts w:cs="Arial"/>
          <w:b w:val="0"/>
          <w:bCs/>
          <w:sz w:val="20"/>
          <w:szCs w:val="28"/>
        </w:rPr>
      </w:r>
    </w:p>
    <w:p>
      <w:pPr>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333333"/>
          <w:sz w:val="24"/>
          <w:szCs w:val="28"/>
          <w:shd w:val="clear" w:fill="3dff3d"/>
        </w:rPr>
      </w:pPr>
      <w:r>
        <w:rPr>
          <w:rFonts w:ascii="Segoe UI" w:hAnsi="Segoe UI" w:cs="Arial"/>
          <w:b w:val="0"/>
          <w:bCs/>
          <w:color w:val="333333"/>
          <w:sz w:val="24"/>
          <w:szCs w:val="28"/>
          <w:shd w:val="clear" w:fill="3dff3d"/>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br w:type="textWrapping"/>
      </w:r>
    </w:p>
    <w:p>
      <w:pPr>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sz w:val="24"/>
        </w:rPr>
      </w:r>
    </w:p>
    <w:p>
      <w:pPr>
        <w:ind w:left="283"/>
        <w:spacing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sz w:val="24"/>
        </w:rPr>
      </w:pPr>
      <w:r>
        <w:rPr>
          <w:rFonts w:ascii="Arial" w:hAnsi="Arial"/>
          <w:sz w:val="24"/>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405" w:top="495" w:right="585" w:bottom="63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egoe UI">
    <w:panose1 w:val="020B0502040204020203"/>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view w:val="normal"/>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32"/>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3"/>
    <w:tmLastPosSelect w:val="1"/>
    <w:tmLastPosFrameIdx w:val="0"/>
    <w:tmLastPosCaret>
      <w:tmLastPosPgfIdx w:val="62"/>
      <w:tmLastPosIdx w:val="7"/>
    </w:tmLastPosCaret>
    <w:tmLastPosAnchor>
      <w:tmLastPosPgfIdx w:val="61"/>
      <w:tmLastPosIdx w:val="94"/>
    </w:tmLastPosAnchor>
    <w:tmLastPosTblRect w:left="0" w:top="0" w:right="0" w:bottom="0"/>
  </w:tmLastPos>
  <w:tmAppRevision w:date="1780382694"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2026-05-30T10:51:28Z</dcterms:created>
  <dcterms:modified xsi:type="dcterms:W3CDTF">2026-06-02T06:44:54Z</dcterms:modified>
</cp:coreProperties>
</file>