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rFonts w:ascii="Cambria" w:cs="Cambria" w:eastAsia="Cambria" w:hAnsi="Cambria"/>
          <w:b/>
          <w:bCs/>
          <w:color w:val="0B3D6B"/>
          <w:sz w:val="56"/>
          <w:szCs w:val="56"/>
        </w:rPr>
        <w:t xml:space="preserve">GOOGLE ANALYTICS</w:t>
      </w:r>
    </w:p>
    <w:p>
      <w:pPr>
        <w:spacing w:after="160"/>
        <w:jc w:val="center"/>
      </w:pPr>
      <w:r>
        <w:rPr>
          <w:rFonts w:ascii="Cambria" w:cs="Cambria" w:eastAsia="Cambria" w:hAnsi="Cambria"/>
          <w:b/>
          <w:bCs/>
          <w:color w:val="0B3D6B"/>
          <w:sz w:val="56"/>
          <w:szCs w:val="56"/>
        </w:rPr>
        <w:t xml:space="preserve">REPORT BUILDING</w:t>
      </w:r>
    </w:p>
    <w:p>
      <w:pPr>
        <w:spacing w:after="100"/>
        <w:jc w:val="center"/>
      </w:pPr>
      <w:r>
        <w:rPr>
          <w:rFonts w:ascii="Calibri" w:cs="Calibri" w:eastAsia="Calibri" w:hAnsi="Calibri"/>
          <w:i/>
          <w:iCs/>
          <w:color w:val="1565C0"/>
          <w:sz w:val="24"/>
          <w:szCs w:val="24"/>
        </w:rPr>
        <w:t xml:space="preserve">A Complete, Data-Driven Guide to Digital Marketing Insights &amp; Business Decision-Making</w:t>
      </w:r>
    </w:p>
    <w:p>
      <w:pPr>
        <w:spacing w:after="500"/>
        <w:jc w:val="center"/>
      </w:pPr>
      <w:r>
        <w:rPr>
          <w:rFonts w:ascii="Calibri" w:cs="Calibri" w:eastAsia="Calibri" w:hAnsi="Calibri"/>
          <w:i/>
          <w:iCs/>
          <w:color w:val="5B7185"/>
          <w:sz w:val="20"/>
          <w:szCs w:val="20"/>
        </w:rPr>
        <w:t xml:space="preserve">Comprehensive Internship Project Report</w:t>
      </w:r>
    </w:p>
    <w:p>
      <w:pPr>
        <w:shd w:fill="0B3D6B" w:val="clear"/>
        <w:spacing w:after="400" w:before="300"/>
        <w:jc w:val="center"/>
      </w:pPr>
      <w:r>
        <w:rPr>
          <w:rFonts w:ascii="Calibri" w:cs="Calibri" w:eastAsia="Calibri" w:hAnsi="Calibri"/>
          <w:b/>
          <w:bCs/>
          <w:color w:val="FFFFFF"/>
          <w:sz w:val="22"/>
          <w:szCs w:val="22"/>
        </w:rPr>
        <w:t xml:space="preserve">  INTERNSHIP SUBMISSION REPORT  </w:t>
      </w:r>
    </w:p>
    <w:p>
      <w:pPr>
        <w:spacing w:after="200"/>
      </w:pPr>
      <w:r>
        <w:t xml:space="preserve"/>
      </w:r>
    </w:p>
    <w:tbl>
      <w:tblPr>
        <w:tblW w:type="dxa" w:w="8000"/>
        <w:jc w:val="center"/>
        <w:tblBorders>
          <w:top w:val="single" w:color="D3E6F8" w:sz="2"/>
          <w:left w:val="none"/>
          <w:bottom w:val="single" w:color="D3E6F8" w:sz="2"/>
          <w:right w:val="none"/>
          <w:insideH w:val="single" w:color="D3E6F8" w:sz="2"/>
          <w:insideV w:val="none"/>
        </w:tblBorders>
      </w:tblPr>
      <w:tblGrid>
        <w:gridCol w:w="3200"/>
        <w:gridCol w:w="4800"/>
      </w:tblGrid>
      <w:tr>
        <w:tc>
          <w:tcPr>
            <w:tcW w:type="dxa" w:w="32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Submitted By</w:t>
            </w:r>
          </w:p>
        </w:tc>
        <w:tc>
          <w:tcPr>
            <w:tcW w:type="dxa" w:w="48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Satyam</w:t>
            </w:r>
          </w:p>
        </w:tc>
      </w:tr>
      <w:tr>
        <w:tc>
          <w:tcPr>
            <w:tcW w:type="dxa" w:w="32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Course</w:t>
            </w:r>
          </w:p>
        </w:tc>
        <w:tc>
          <w:tcPr>
            <w:tcW w:type="dxa" w:w="48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Bachelor of Commerce (B.Com)</w:t>
            </w:r>
          </w:p>
        </w:tc>
      </w:tr>
      <w:tr>
        <w:tc>
          <w:tcPr>
            <w:tcW w:type="dxa" w:w="32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University</w:t>
            </w:r>
          </w:p>
        </w:tc>
        <w:tc>
          <w:tcPr>
            <w:tcW w:type="dxa" w:w="48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Central University of South Bihar</w:t>
            </w:r>
          </w:p>
        </w:tc>
      </w:tr>
      <w:tr>
        <w:tc>
          <w:tcPr>
            <w:tcW w:type="dxa" w:w="32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Internship Organization</w:t>
            </w:r>
          </w:p>
        </w:tc>
        <w:tc>
          <w:tcPr>
            <w:tcW w:type="dxa" w:w="48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CodTech IT Solutions Private Limited</w:t>
            </w:r>
          </w:p>
        </w:tc>
      </w:tr>
      <w:tr>
        <w:tc>
          <w:tcPr>
            <w:tcW w:type="dxa" w:w="32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Internship Duration</w:t>
            </w:r>
          </w:p>
        </w:tc>
        <w:tc>
          <w:tcPr>
            <w:tcW w:type="dxa" w:w="48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4 Weeks (Online)</w:t>
            </w:r>
          </w:p>
        </w:tc>
      </w:tr>
      <w:tr>
        <w:tc>
          <w:tcPr>
            <w:tcW w:type="dxa" w:w="32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Date</w:t>
            </w:r>
          </w:p>
        </w:tc>
        <w:tc>
          <w:tcPr>
            <w:tcW w:type="dxa" w:w="48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July 2026</w:t>
            </w:r>
          </w:p>
        </w:tc>
      </w:tr>
    </w:tbl>
    <w:p>
      <w:pPr>
        <w:spacing w:after="500"/>
      </w:pPr>
      <w:r>
        <w:t xml:space="preserve"/>
      </w:r>
    </w:p>
    <w:p>
      <w:pPr>
        <w:jc w:val="center"/>
      </w:pPr>
      <w:r>
        <w:rPr>
          <w:rFonts w:ascii="Cambria" w:cs="Cambria" w:eastAsia="Cambria" w:hAnsi="Cambria"/>
          <w:b/>
          <w:bCs/>
          <w:color w:val="0B3D6B"/>
          <w:sz w:val="26"/>
          <w:szCs w:val="26"/>
        </w:rPr>
        <w:t xml:space="preserve">CodTech IT Solutions Private Limited</w:t>
      </w:r>
    </w:p>
    <w:p>
      <w:pPr>
        <w:spacing w:before="80"/>
        <w:jc w:val="center"/>
      </w:pPr>
      <w:r>
        <w:rPr>
          <w:rFonts w:ascii="Calibri" w:cs="Calibri" w:eastAsia="Calibri" w:hAnsi="Calibri"/>
          <w:i/>
          <w:iCs/>
          <w:color w:val="5B7185"/>
          <w:sz w:val="20"/>
          <w:szCs w:val="20"/>
        </w:rPr>
        <w:t xml:space="preserve">Online Internship Program — July 2026</w:t>
      </w:r>
    </w:p>
    <w:p>
      <w:pPr>
        <w:sectPr>
          <w:pgSz w:w="12240" w:h="15840" w:orient="portrait"/>
          <w:pgMar w:top="1000" w:right="1200" w:bottom="1000" w:left="1200" w:header="708" w:footer="708" w:gutter="0"/>
          <w:pgNumType/>
          <w:docGrid w:linePitch="360"/>
        </w:sectPr>
      </w:pPr>
    </w:p>
    <w:p>
      <w:pPr>
        <w:pStyle w:val="Heading1"/>
        <w:pBdr>
          <w:bottom w:val="single" w:color="E8F1FB" w:sz="6" w:space="6"/>
        </w:pBdr>
        <w:spacing w:after="180" w:before="420"/>
      </w:pPr>
      <w:r>
        <w:rPr>
          <w:rFonts w:ascii="Cambria" w:cs="Cambria" w:eastAsia="Cambria" w:hAnsi="Cambria"/>
          <w:b/>
          <w:bCs/>
          <w:color w:val="0B3D6B"/>
          <w:sz w:val="32"/>
          <w:szCs w:val="32"/>
        </w:rPr>
        <w:t xml:space="preserve">Table of Contents</w:t>
      </w:r>
    </w:p>
    <w:p>
      <w:pPr>
        <w:tabs>
          <w:tab w:val="right" w:pos="9026" w:leader="dot"/>
        </w:tabs>
        <w:spacing w:after="140"/>
      </w:pPr>
      <w:r>
        <w:rPr>
          <w:rFonts w:ascii="Calibri" w:cs="Calibri" w:eastAsia="Calibri" w:hAnsi="Calibri"/>
          <w:color w:val="1B2A41"/>
          <w:sz w:val="24"/>
          <w:szCs w:val="24"/>
        </w:rPr>
        <w:t xml:space="preserve">1. Introduction to Google Analytics</w:t>
      </w:r>
    </w:p>
    <w:p>
      <w:pPr>
        <w:tabs>
          <w:tab w:val="right" w:pos="9026" w:leader="dot"/>
        </w:tabs>
        <w:spacing w:after="140"/>
      </w:pPr>
      <w:r>
        <w:rPr>
          <w:rFonts w:ascii="Calibri" w:cs="Calibri" w:eastAsia="Calibri" w:hAnsi="Calibri"/>
          <w:color w:val="1B2A41"/>
          <w:sz w:val="24"/>
          <w:szCs w:val="24"/>
        </w:rPr>
        <w:t xml:space="preserve">2. Why Google Analytics Matters</w:t>
      </w:r>
    </w:p>
    <w:p>
      <w:pPr>
        <w:tabs>
          <w:tab w:val="right" w:pos="9026" w:leader="dot"/>
        </w:tabs>
        <w:spacing w:after="140"/>
      </w:pPr>
      <w:r>
        <w:rPr>
          <w:rFonts w:ascii="Calibri" w:cs="Calibri" w:eastAsia="Calibri" w:hAnsi="Calibri"/>
          <w:color w:val="1B2A41"/>
          <w:sz w:val="24"/>
          <w:szCs w:val="24"/>
        </w:rPr>
        <w:t xml:space="preserve">3. Features of Google Analytics</w:t>
      </w:r>
    </w:p>
    <w:p>
      <w:pPr>
        <w:tabs>
          <w:tab w:val="right" w:pos="9026" w:leader="dot"/>
        </w:tabs>
        <w:spacing w:after="140"/>
      </w:pPr>
      <w:r>
        <w:rPr>
          <w:rFonts w:ascii="Calibri" w:cs="Calibri" w:eastAsia="Calibri" w:hAnsi="Calibri"/>
          <w:color w:val="1B2A41"/>
          <w:sz w:val="24"/>
          <w:szCs w:val="24"/>
        </w:rPr>
        <w:t xml:space="preserve">4. Setting Up Google Analytics</w:t>
      </w:r>
    </w:p>
    <w:p>
      <w:pPr>
        <w:tabs>
          <w:tab w:val="right" w:pos="9026" w:leader="dot"/>
        </w:tabs>
        <w:spacing w:after="140"/>
      </w:pPr>
      <w:r>
        <w:rPr>
          <w:rFonts w:ascii="Calibri" w:cs="Calibri" w:eastAsia="Calibri" w:hAnsi="Calibri"/>
          <w:color w:val="1B2A41"/>
          <w:sz w:val="24"/>
          <w:szCs w:val="24"/>
        </w:rPr>
        <w:t xml:space="preserve">5. Understanding the GA4 Dashboard</w:t>
      </w:r>
    </w:p>
    <w:p>
      <w:pPr>
        <w:tabs>
          <w:tab w:val="right" w:pos="9026" w:leader="dot"/>
        </w:tabs>
        <w:spacing w:after="140"/>
      </w:pPr>
      <w:r>
        <w:rPr>
          <w:rFonts w:ascii="Calibri" w:cs="Calibri" w:eastAsia="Calibri" w:hAnsi="Calibri"/>
          <w:color w:val="1B2A41"/>
          <w:sz w:val="24"/>
          <w:szCs w:val="24"/>
        </w:rPr>
        <w:t xml:space="preserve">6. Building a Google Analytics Report</w:t>
      </w:r>
    </w:p>
    <w:p>
      <w:pPr>
        <w:tabs>
          <w:tab w:val="right" w:pos="9026" w:leader="dot"/>
        </w:tabs>
        <w:spacing w:after="140"/>
      </w:pPr>
      <w:r>
        <w:rPr>
          <w:rFonts w:ascii="Calibri" w:cs="Calibri" w:eastAsia="Calibri" w:hAnsi="Calibri"/>
          <w:color w:val="1B2A41"/>
          <w:sz w:val="24"/>
          <w:szCs w:val="24"/>
        </w:rPr>
        <w:t xml:space="preserve">7. Key Metrics Explained</w:t>
      </w:r>
    </w:p>
    <w:p>
      <w:pPr>
        <w:tabs>
          <w:tab w:val="right" w:pos="9026" w:leader="dot"/>
        </w:tabs>
        <w:spacing w:after="140"/>
      </w:pPr>
      <w:r>
        <w:rPr>
          <w:rFonts w:ascii="Calibri" w:cs="Calibri" w:eastAsia="Calibri" w:hAnsi="Calibri"/>
          <w:color w:val="1B2A41"/>
          <w:sz w:val="24"/>
          <w:szCs w:val="24"/>
        </w:rPr>
        <w:t xml:space="preserve">8. Sample Google Analytics Report</w:t>
      </w:r>
    </w:p>
    <w:p>
      <w:pPr>
        <w:tabs>
          <w:tab w:val="right" w:pos="9026" w:leader="dot"/>
        </w:tabs>
        <w:spacing w:after="140"/>
      </w:pPr>
      <w:r>
        <w:rPr>
          <w:rFonts w:ascii="Calibri" w:cs="Calibri" w:eastAsia="Calibri" w:hAnsi="Calibri"/>
          <w:color w:val="1B2A41"/>
          <w:sz w:val="24"/>
          <w:szCs w:val="24"/>
        </w:rPr>
        <w:t xml:space="preserve">9. Business Applications</w:t>
      </w:r>
    </w:p>
    <w:p>
      <w:pPr>
        <w:tabs>
          <w:tab w:val="right" w:pos="9026" w:leader="dot"/>
        </w:tabs>
        <w:spacing w:after="140"/>
      </w:pPr>
      <w:r>
        <w:rPr>
          <w:rFonts w:ascii="Calibri" w:cs="Calibri" w:eastAsia="Calibri" w:hAnsi="Calibri"/>
          <w:color w:val="1B2A41"/>
          <w:sz w:val="24"/>
          <w:szCs w:val="24"/>
        </w:rPr>
        <w:t xml:space="preserve">10. Advantages and Limitations</w:t>
      </w:r>
    </w:p>
    <w:p>
      <w:pPr>
        <w:tabs>
          <w:tab w:val="right" w:pos="9026" w:leader="dot"/>
        </w:tabs>
        <w:spacing w:after="140"/>
      </w:pPr>
      <w:r>
        <w:rPr>
          <w:rFonts w:ascii="Calibri" w:cs="Calibri" w:eastAsia="Calibri" w:hAnsi="Calibri"/>
          <w:color w:val="1B2A41"/>
          <w:sz w:val="24"/>
          <w:szCs w:val="24"/>
        </w:rPr>
        <w:t xml:space="preserve">11. Best Practices and Common Mistakes</w:t>
      </w:r>
    </w:p>
    <w:p>
      <w:pPr>
        <w:tabs>
          <w:tab w:val="right" w:pos="9026" w:leader="dot"/>
        </w:tabs>
        <w:spacing w:after="140"/>
      </w:pPr>
      <w:r>
        <w:rPr>
          <w:rFonts w:ascii="Calibri" w:cs="Calibri" w:eastAsia="Calibri" w:hAnsi="Calibri"/>
          <w:color w:val="1B2A41"/>
          <w:sz w:val="24"/>
          <w:szCs w:val="24"/>
        </w:rPr>
        <w:t xml:space="preserve">12. The Future of Google Analytics</w:t>
      </w:r>
    </w:p>
    <w:p>
      <w:pPr>
        <w:tabs>
          <w:tab w:val="right" w:pos="9026" w:leader="dot"/>
        </w:tabs>
        <w:spacing w:after="140"/>
      </w:pPr>
      <w:r>
        <w:rPr>
          <w:rFonts w:ascii="Calibri" w:cs="Calibri" w:eastAsia="Calibri" w:hAnsi="Calibri"/>
          <w:color w:val="1B2A41"/>
          <w:sz w:val="24"/>
          <w:szCs w:val="24"/>
        </w:rPr>
        <w:t xml:space="preserve">13. Conclusion</w:t>
      </w:r>
    </w:p>
    <w:p>
      <w:pPr>
        <w:tabs>
          <w:tab w:val="right" w:pos="9026" w:leader="dot"/>
        </w:tabs>
        <w:spacing w:after="140"/>
      </w:pPr>
      <w:r>
        <w:rPr>
          <w:rFonts w:ascii="Calibri" w:cs="Calibri" w:eastAsia="Calibri" w:hAnsi="Calibri"/>
          <w:color w:val="1B2A41"/>
          <w:sz w:val="24"/>
          <w:szCs w:val="24"/>
        </w:rPr>
        <w:t xml:space="preserve">14. References</w:t>
      </w:r>
    </w:p>
    <w:p>
      <w:pPr>
        <w:sectPr>
          <w:footerReference w:type="default" r:id="rId7"/>
          <w:pgSz w:w="12240" w:h="15840" w:orient="portrait"/>
          <w:pgMar w:top="1000" w:right="1200" w:bottom="1000" w:left="1200" w:header="708" w:footer="708" w:gutter="0"/>
          <w:pgNumType/>
          <w:docGrid w:linePitch="360"/>
        </w:sectPr>
      </w:pPr>
    </w:p>
    <w:p>
      <w:pPr>
        <w:pStyle w:val="Heading1"/>
        <w:pBdr>
          <w:bottom w:val="single" w:color="E8F1FB" w:sz="6" w:space="6"/>
        </w:pBdr>
        <w:spacing w:after="180" w:before="420"/>
      </w:pPr>
      <w:r>
        <w:rPr>
          <w:rFonts w:ascii="Cambria" w:cs="Cambria" w:eastAsia="Cambria" w:hAnsi="Cambria"/>
          <w:b/>
          <w:bCs/>
          <w:color w:val="0B3D6B"/>
          <w:sz w:val="32"/>
          <w:szCs w:val="32"/>
        </w:rPr>
        <w:t xml:space="preserve">1. Introduction to Google Analytics</w:t>
      </w:r>
    </w:p>
    <w:p>
      <w:pPr>
        <w:pStyle w:val="Heading2"/>
        <w:spacing w:after="110" w:before="260"/>
      </w:pPr>
      <w:r>
        <w:rPr>
          <w:rFonts w:ascii="Cambria" w:cs="Cambria" w:eastAsia="Cambria" w:hAnsi="Cambria"/>
          <w:b/>
          <w:bCs/>
          <w:color w:val="1565C0"/>
          <w:sz w:val="25"/>
          <w:szCs w:val="25"/>
        </w:rPr>
        <w:t xml:space="preserve">1.1 What is Google Analytics?</w:t>
      </w:r>
    </w:p>
    <w:p>
      <w:pPr>
        <w:spacing w:after="160" w:line="300"/>
        <w:jc w:val="both"/>
      </w:pPr>
      <w:r>
        <w:rPr>
          <w:rFonts w:ascii="Calibri" w:cs="Calibri" w:eastAsia="Calibri" w:hAnsi="Calibri"/>
          <w:color w:val="1B2A41"/>
          <w:sz w:val="22"/>
          <w:szCs w:val="22"/>
        </w:rPr>
        <w:t xml:space="preserve">Google Analytics (GA4) is a free, industry-leading web and app analytics platform developed by Google. It collects, processes, and visualizes data about how users find and interact with a business's digital properties, including websites, mobile applications, and other connected touchpoints. Rather than relying on assumptions, businesses can use Google Analytics to observe exactly how visitors behave from the moment they land on a page to the moment they convert or leave.</w:t>
      </w:r>
    </w:p>
    <w:p>
      <w:pPr>
        <w:spacing w:after="160" w:line="300"/>
        <w:jc w:val="both"/>
      </w:pPr>
      <w:r>
        <w:rPr>
          <w:rFonts w:ascii="Calibri" w:cs="Calibri" w:eastAsia="Calibri" w:hAnsi="Calibri"/>
          <w:color w:val="1B2A41"/>
          <w:sz w:val="22"/>
          <w:szCs w:val="22"/>
        </w:rPr>
        <w:t xml:space="preserve">Unlike its predecessor, Universal Analytics, which was built around the concept of sessions and pageviews, GA4 is powered by an event-based data model. Every interaction — a click, a scroll, a video play, a purchase — is captured as a discrete event with its own set of parameters. This shift allows for far more granular, flexible reporting and makes it possible to track user journeys consistently across both web and mobile app platforms within a single property.</w:t>
      </w:r>
    </w:p>
    <w:p>
      <w:pPr>
        <w:spacing w:after="160" w:line="300"/>
        <w:jc w:val="both"/>
      </w:pPr>
      <w:r>
        <w:rPr>
          <w:rFonts w:ascii="Calibri" w:cs="Calibri" w:eastAsia="Calibri" w:hAnsi="Calibri"/>
          <w:color w:val="1B2A41"/>
          <w:sz w:val="22"/>
          <w:szCs w:val="22"/>
        </w:rPr>
        <w:t xml:space="preserve">Google Analytics is offered in two tiers: the free version, which is more than sufficient for the vast majority of small and medium businesses, and Google Analytics 360 (GA360), an enterprise-grade offering with higher data limits, service-level agreements, and deeper integrations for large organizations. The platform also connects natively with other Google products such as Google Ads, Search Console, Google Tag Manager, and BigQuery, forming a complete ecosystem for marketing measurement and data analysis.</w:t>
      </w:r>
    </w:p>
    <w:p>
      <w:pPr>
        <w:spacing w:after="90" w:before="200"/>
      </w:pPr>
      <w:r>
        <w:rPr>
          <w:rFonts w:ascii="Calibri" w:cs="Calibri" w:eastAsia="Calibri" w:hAnsi="Calibri"/>
          <w:b/>
          <w:bCs/>
          <w:i/>
          <w:iCs/>
          <w:color w:val="0B3D6B"/>
          <w:sz w:val="23"/>
          <w:szCs w:val="23"/>
        </w:rPr>
        <w:t xml:space="preserve">Key Characteristics at a Glance</w:t>
      </w:r>
    </w:p>
    <w:p>
      <w:pPr>
        <w:pStyle w:val="ListParagraph"/>
        <w:numPr>
          <w:ilvl w:val="0"/>
          <w:numId w:val="2"/>
        </w:numPr>
        <w:spacing w:after="90"/>
      </w:pPr>
      <w:r>
        <w:rPr>
          <w:rFonts w:ascii="Calibri" w:cs="Calibri" w:eastAsia="Calibri" w:hAnsi="Calibri"/>
          <w:color w:val="1B2A41"/>
          <w:sz w:val="22"/>
          <w:szCs w:val="22"/>
        </w:rPr>
        <w:t xml:space="preserve">Free to use for the core platform, with an optional paid enterprise tier (GA360)</w:t>
      </w:r>
    </w:p>
    <w:p>
      <w:pPr>
        <w:pStyle w:val="ListParagraph"/>
        <w:numPr>
          <w:ilvl w:val="0"/>
          <w:numId w:val="2"/>
        </w:numPr>
        <w:spacing w:after="90"/>
      </w:pPr>
      <w:r>
        <w:rPr>
          <w:rFonts w:ascii="Calibri" w:cs="Calibri" w:eastAsia="Calibri" w:hAnsi="Calibri"/>
          <w:color w:val="1B2A41"/>
          <w:sz w:val="22"/>
          <w:szCs w:val="22"/>
        </w:rPr>
        <w:t xml:space="preserve">Event-based data model that unifies web and app tracking</w:t>
      </w:r>
    </w:p>
    <w:p>
      <w:pPr>
        <w:pStyle w:val="ListParagraph"/>
        <w:numPr>
          <w:ilvl w:val="0"/>
          <w:numId w:val="2"/>
        </w:numPr>
        <w:spacing w:after="90"/>
      </w:pPr>
      <w:r>
        <w:rPr>
          <w:rFonts w:ascii="Calibri" w:cs="Calibri" w:eastAsia="Calibri" w:hAnsi="Calibri"/>
          <w:color w:val="1B2A41"/>
          <w:sz w:val="22"/>
          <w:szCs w:val="22"/>
        </w:rPr>
        <w:t xml:space="preserve">Native integration with Google Ads, Search Console, and BigQuery</w:t>
      </w:r>
    </w:p>
    <w:p>
      <w:pPr>
        <w:pStyle w:val="ListParagraph"/>
        <w:numPr>
          <w:ilvl w:val="0"/>
          <w:numId w:val="2"/>
        </w:numPr>
        <w:spacing w:after="90"/>
      </w:pPr>
      <w:r>
        <w:rPr>
          <w:rFonts w:ascii="Calibri" w:cs="Calibri" w:eastAsia="Calibri" w:hAnsi="Calibri"/>
          <w:color w:val="1B2A41"/>
          <w:sz w:val="22"/>
          <w:szCs w:val="22"/>
        </w:rPr>
        <w:t xml:space="preserve">Used by businesses in over 190 countries across every industry</w:t>
      </w:r>
    </w:p>
    <w:p>
      <w:pPr>
        <w:pStyle w:val="ListParagraph"/>
        <w:numPr>
          <w:ilvl w:val="0"/>
          <w:numId w:val="2"/>
        </w:numPr>
        <w:spacing w:after="90"/>
      </w:pPr>
      <w:r>
        <w:rPr>
          <w:rFonts w:ascii="Calibri" w:cs="Calibri" w:eastAsia="Calibri" w:hAnsi="Calibri"/>
          <w:color w:val="1B2A41"/>
          <w:sz w:val="22"/>
          <w:szCs w:val="22"/>
        </w:rPr>
        <w:t xml:space="preserve">Provides both standard, pre-built reports and fully custom exploration tools</w:t>
      </w:r>
    </w:p>
    <w:p>
      <w:pPr>
        <w:pStyle w:val="Heading2"/>
        <w:spacing w:after="110" w:before="260"/>
      </w:pPr>
      <w:r>
        <w:rPr>
          <w:rFonts w:ascii="Cambria" w:cs="Cambria" w:eastAsia="Cambria" w:hAnsi="Cambria"/>
          <w:b/>
          <w:bCs/>
          <w:color w:val="1565C0"/>
          <w:sz w:val="25"/>
          <w:szCs w:val="25"/>
        </w:rPr>
        <w:t xml:space="preserve">1.2 Evolution of Google Analytics: From Universal Analytics to GA4</w:t>
      </w:r>
    </w:p>
    <w:p>
      <w:pPr>
        <w:spacing w:after="160" w:line="300"/>
        <w:jc w:val="both"/>
      </w:pPr>
      <w:r>
        <w:rPr>
          <w:rFonts w:ascii="Calibri" w:cs="Calibri" w:eastAsia="Calibri" w:hAnsi="Calibri"/>
          <w:color w:val="1B2A41"/>
          <w:sz w:val="22"/>
          <w:szCs w:val="22"/>
        </w:rPr>
        <w:t xml:space="preserve">Google Analytics has undergone several major transformations since its inception. Understanding this evolution helps explain why GA4 is structured the way it is today, and why organizations that once relied on Universal Analytics have had to adapt their reporting practices.</w:t>
      </w:r>
    </w:p>
    <w:tbl>
      <w:tblPr>
        <w:tblW w:type="dxa" w:w="9000"/>
        <w:tblBorders>
          <w:top w:val="single" w:color="D3E6F8" w:sz="2"/>
          <w:left w:val="single" w:color="D3E6F8" w:sz="2"/>
          <w:bottom w:val="single" w:color="D3E6F8" w:sz="2"/>
          <w:right w:val="single" w:color="D3E6F8" w:sz="2"/>
          <w:insideH w:val="single" w:color="D3E6F8" w:sz="2"/>
          <w:insideV w:val="single" w:color="D3E6F8" w:sz="2"/>
        </w:tblBorders>
      </w:tblPr>
      <w:tblGrid>
        <w:gridCol w:w="1800"/>
        <w:gridCol w:w="7200"/>
      </w:tblGrid>
      <w:tr>
        <w:trPr>
          <w:tblHeader/>
        </w:trPr>
        <w:tc>
          <w:tcPr>
            <w:tcW w:type="dxa" w:w="1800"/>
            <w:shd w:fill="0B3D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Year</w:t>
            </w:r>
          </w:p>
        </w:tc>
        <w:tc>
          <w:tcPr>
            <w:tcW w:type="dxa" w:w="7200"/>
            <w:shd w:fill="0B3D6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FFFFFF"/>
                <w:sz w:val="20"/>
                <w:szCs w:val="20"/>
              </w:rPr>
              <w:t xml:space="preserve">Milestone</w:t>
            </w:r>
          </w:p>
        </w:tc>
      </w:tr>
      <w:tr>
        <w:tc>
          <w:tcPr>
            <w:tcW w:type="dxa" w:w="1800"/>
            <w:shd w:fill="E8F1F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B3D6B"/>
                <w:sz w:val="20"/>
                <w:szCs w:val="20"/>
              </w:rPr>
              <w:t xml:space="preserve">2005</w:t>
            </w:r>
          </w:p>
        </w:tc>
        <w:tc>
          <w:tcPr>
            <w:tcW w:type="dxa" w:w="72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Google acquires Urchin Software and launches the first version of Google Analytics.</w:t>
            </w:r>
          </w:p>
        </w:tc>
      </w:tr>
      <w:tr>
        <w:tc>
          <w:tcPr>
            <w:tcW w:type="dxa" w:w="1800"/>
            <w:shd w:fill="FFFFFF"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B3D6B"/>
                <w:sz w:val="20"/>
                <w:szCs w:val="20"/>
              </w:rPr>
              <w:t xml:space="preserve">2012</w:t>
            </w:r>
          </w:p>
        </w:tc>
        <w:tc>
          <w:tcPr>
            <w:tcW w:type="dxa" w:w="72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Universal Analytics (UA) is introduced, standardizing session-based tracking with the analytics.js library.</w:t>
            </w:r>
          </w:p>
        </w:tc>
      </w:tr>
      <w:tr>
        <w:tc>
          <w:tcPr>
            <w:tcW w:type="dxa" w:w="1800"/>
            <w:shd w:fill="E8F1F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B3D6B"/>
                <w:sz w:val="20"/>
                <w:szCs w:val="20"/>
              </w:rPr>
              <w:t xml:space="preserve">2020</w:t>
            </w:r>
          </w:p>
        </w:tc>
        <w:tc>
          <w:tcPr>
            <w:tcW w:type="dxa" w:w="72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Google launches GA4 (originally "App + Web" properties), built on an event-based data model that unifies web and app data.</w:t>
            </w:r>
          </w:p>
        </w:tc>
      </w:tr>
      <w:tr>
        <w:tc>
          <w:tcPr>
            <w:tcW w:type="dxa" w:w="1800"/>
            <w:shd w:fill="FFFFFF"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0B3D6B"/>
                <w:sz w:val="20"/>
                <w:szCs w:val="20"/>
              </w:rPr>
              <w:t xml:space="preserve">2023</w:t>
            </w:r>
          </w:p>
        </w:tc>
        <w:tc>
          <w:tcPr>
            <w:tcW w:type="dxa" w:w="72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Universal Analytics is officially sunset on July 1, 2023, making GA4 the sole standard platform going forward.</w:t>
            </w:r>
          </w:p>
        </w:tc>
      </w:tr>
    </w:tbl>
    <w:p>
      <w:pPr>
        <w:spacing w:after="200"/>
      </w:pPr>
      <w:r>
        <w:t xml:space="preserve"/>
      </w:r>
    </w:p>
    <w:p>
      <w:pPr>
        <w:spacing w:after="90" w:before="200"/>
      </w:pPr>
      <w:r>
        <w:rPr>
          <w:rFonts w:ascii="Calibri" w:cs="Calibri" w:eastAsia="Calibri" w:hAnsi="Calibri"/>
          <w:b/>
          <w:bCs/>
          <w:i/>
          <w:iCs/>
          <w:color w:val="0B3D6B"/>
          <w:sz w:val="23"/>
          <w:szCs w:val="23"/>
        </w:rPr>
        <w:t xml:space="preserve">Universal Analytics vs. GA4: A Structural Comparison</w:t>
      </w:r>
    </w:p>
    <w:tbl>
      <w:tblPr>
        <w:tblW w:type="dxa" w:w="9000"/>
        <w:tblBorders>
          <w:top w:val="single" w:color="D3E6F8" w:sz="2"/>
          <w:left w:val="single" w:color="D3E6F8" w:sz="2"/>
          <w:bottom w:val="single" w:color="D3E6F8" w:sz="2"/>
          <w:right w:val="single" w:color="D3E6F8" w:sz="2"/>
          <w:insideH w:val="single" w:color="D3E6F8" w:sz="2"/>
          <w:insideV w:val="single" w:color="D3E6F8" w:sz="2"/>
        </w:tblBorders>
      </w:tblPr>
      <w:tblGrid>
        <w:gridCol w:w="4500"/>
        <w:gridCol w:w="4500"/>
      </w:tblGrid>
      <w:tr>
        <w:trPr>
          <w:tblHeader/>
        </w:trPr>
        <w:tc>
          <w:tcPr>
            <w:tcW w:type="dxa" w:w="4500"/>
            <w:shd w:fill="0B3D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Universal Analytics</w:t>
            </w:r>
          </w:p>
        </w:tc>
        <w:tc>
          <w:tcPr>
            <w:tcW w:type="dxa" w:w="4500"/>
            <w:shd w:fill="1565C0"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GA4</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Session-based data model</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Event-based data model</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Web tracking only (separate property for apps)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Unified web and app tracking in one property</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Minimal built-in machine learning</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Built-in predictive metrics (e.g., purchase probability, churn probability)</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Basic privacy controls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Advanced privacy controls, cookieless-ready modeling</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Bounce rate based on single-page sessions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Engagement rate based on meaningful interaction thresholds</w:t>
            </w:r>
          </w:p>
        </w:tc>
      </w:tr>
    </w:tbl>
    <w:p>
      <w:pPr>
        <w:pStyle w:val="Heading1"/>
        <w:pBdr>
          <w:bottom w:val="single" w:color="E8F1FB" w:sz="6" w:space="6"/>
        </w:pBdr>
        <w:spacing w:after="180" w:before="420"/>
      </w:pPr>
      <w:r>
        <w:rPr>
          <w:rFonts w:ascii="Cambria" w:cs="Cambria" w:eastAsia="Cambria" w:hAnsi="Cambria"/>
          <w:b/>
          <w:bCs/>
          <w:color w:val="0B3D6B"/>
          <w:sz w:val="32"/>
          <w:szCs w:val="32"/>
        </w:rPr>
        <w:t xml:space="preserve">2. Why Google Analytics Matters</w:t>
      </w:r>
    </w:p>
    <w:p>
      <w:pPr>
        <w:pStyle w:val="Heading2"/>
        <w:spacing w:after="110" w:before="260"/>
      </w:pPr>
      <w:r>
        <w:rPr>
          <w:rFonts w:ascii="Cambria" w:cs="Cambria" w:eastAsia="Cambria" w:hAnsi="Cambria"/>
          <w:b/>
          <w:bCs/>
          <w:color w:val="1565C0"/>
          <w:sz w:val="25"/>
          <w:szCs w:val="25"/>
        </w:rPr>
        <w:t xml:space="preserve">2.1 Importance in Digital Marketing</w:t>
      </w:r>
    </w:p>
    <w:p>
      <w:pPr>
        <w:spacing w:after="160" w:line="300"/>
        <w:jc w:val="both"/>
      </w:pPr>
      <w:r>
        <w:rPr>
          <w:rFonts w:ascii="Calibri" w:cs="Calibri" w:eastAsia="Calibri" w:hAnsi="Calibri"/>
          <w:color w:val="1B2A41"/>
          <w:sz w:val="22"/>
          <w:szCs w:val="22"/>
        </w:rPr>
        <w:t xml:space="preserve">In a digital marketing landscape where consumers interact with brands across multiple channels and devices, Google Analytics provides the connective tissue that ties marketing activity to measurable outcomes. Without a robust analytics layer, marketing teams are forced to rely on guesswork, vanity metrics, or platform-specific dashboards that do not tell the full story of the customer journey.</w:t>
      </w:r>
    </w:p>
    <w:p>
      <w:pPr>
        <w:spacing w:after="100"/>
      </w:pPr>
      <w:r>
        <w:rPr>
          <w:rFonts w:ascii="Calibri" w:cs="Calibri" w:eastAsia="Calibri" w:hAnsi="Calibri"/>
          <w:b/>
          <w:bCs/>
          <w:color w:val="0B3D6B"/>
          <w:sz w:val="22"/>
          <w:szCs w:val="22"/>
        </w:rPr>
        <w:t xml:space="preserve">Understand Your Audience — </w:t>
      </w:r>
      <w:r>
        <w:rPr>
          <w:rFonts w:ascii="Calibri" w:cs="Calibri" w:eastAsia="Calibri" w:hAnsi="Calibri"/>
          <w:color w:val="1B2A41"/>
          <w:sz w:val="22"/>
          <w:szCs w:val="22"/>
        </w:rPr>
        <w:t xml:space="preserve">Google Analytics reveals who is visiting a website or app — their age range, gender, geographic location, device type, and even their interest categories. This audience intelligence allows marketing teams to build accurate personas and tailor messaging accordingly.</w:t>
      </w:r>
    </w:p>
    <w:p>
      <w:pPr>
        <w:spacing w:after="100"/>
      </w:pPr>
      <w:r>
        <w:rPr>
          <w:rFonts w:ascii="Calibri" w:cs="Calibri" w:eastAsia="Calibri" w:hAnsi="Calibri"/>
          <w:b/>
          <w:bCs/>
          <w:color w:val="0B3D6B"/>
          <w:sz w:val="22"/>
          <w:szCs w:val="22"/>
        </w:rPr>
        <w:t xml:space="preserve">Optimize Marketing Channels — </w:t>
      </w:r>
      <w:r>
        <w:rPr>
          <w:rFonts w:ascii="Calibri" w:cs="Calibri" w:eastAsia="Calibri" w:hAnsi="Calibri"/>
          <w:color w:val="1B2A41"/>
          <w:sz w:val="22"/>
          <w:szCs w:val="22"/>
        </w:rPr>
        <w:t xml:space="preserve">By tracking acquisition data, GA4 shows precisely which campaigns, keywords, social posts, or referral partners are driving the most valuable traffic, enabling smarter allocation of marketing effort.</w:t>
      </w:r>
    </w:p>
    <w:p>
      <w:pPr>
        <w:spacing w:after="100"/>
      </w:pPr>
      <w:r>
        <w:rPr>
          <w:rFonts w:ascii="Calibri" w:cs="Calibri" w:eastAsia="Calibri" w:hAnsi="Calibri"/>
          <w:b/>
          <w:bCs/>
          <w:color w:val="0B3D6B"/>
          <w:sz w:val="22"/>
          <w:szCs w:val="22"/>
        </w:rPr>
        <w:t xml:space="preserve">Improve Conversion Rates — </w:t>
      </w:r>
      <w:r>
        <w:rPr>
          <w:rFonts w:ascii="Calibri" w:cs="Calibri" w:eastAsia="Calibri" w:hAnsi="Calibri"/>
          <w:color w:val="1B2A41"/>
          <w:sz w:val="22"/>
          <w:szCs w:val="22"/>
        </w:rPr>
        <w:t xml:space="preserve">Funnel and path exploration reports expose exactly where users drop off during a purchase or sign-up flow, giving teams the evidence needed to fix friction points and lift conversion rates.</w:t>
      </w:r>
    </w:p>
    <w:p>
      <w:pPr>
        <w:spacing w:after="100"/>
      </w:pPr>
      <w:r>
        <w:rPr>
          <w:rFonts w:ascii="Calibri" w:cs="Calibri" w:eastAsia="Calibri" w:hAnsi="Calibri"/>
          <w:b/>
          <w:bCs/>
          <w:color w:val="0B3D6B"/>
          <w:sz w:val="22"/>
          <w:szCs w:val="22"/>
        </w:rPr>
        <w:t xml:space="preserve">Maximize Marketing ROI — </w:t>
      </w:r>
      <w:r>
        <w:rPr>
          <w:rFonts w:ascii="Calibri" w:cs="Calibri" w:eastAsia="Calibri" w:hAnsi="Calibri"/>
          <w:color w:val="1B2A41"/>
          <w:sz w:val="22"/>
          <w:szCs w:val="22"/>
        </w:rPr>
        <w:t xml:space="preserve">Revenue and conversion data tied back to specific channels lets businesses calculate return on ad spend (ROAS) and redirect budget toward the highest-performing channels.</w:t>
      </w:r>
    </w:p>
    <w:p>
      <w:pPr>
        <w:spacing w:after="100"/>
      </w:pPr>
      <w:r>
        <w:rPr>
          <w:rFonts w:ascii="Calibri" w:cs="Calibri" w:eastAsia="Calibri" w:hAnsi="Calibri"/>
          <w:b/>
          <w:bCs/>
          <w:color w:val="0B3D6B"/>
          <w:sz w:val="22"/>
          <w:szCs w:val="22"/>
        </w:rPr>
        <w:t xml:space="preserve">Track Growth Over Time — </w:t>
      </w:r>
      <w:r>
        <w:rPr>
          <w:rFonts w:ascii="Calibri" w:cs="Calibri" w:eastAsia="Calibri" w:hAnsi="Calibri"/>
          <w:color w:val="1B2A41"/>
          <w:sz w:val="22"/>
          <w:szCs w:val="22"/>
        </w:rPr>
        <w:t xml:space="preserve">Longitudinal reporting makes it possible to spot seasonal patterns, measure the impact of product launches, and validate whether long-term strategic initiatives are working.</w:t>
      </w:r>
    </w:p>
    <w:p>
      <w:pPr>
        <w:spacing w:after="100"/>
      </w:pPr>
      <w:r>
        <w:rPr>
          <w:rFonts w:ascii="Calibri" w:cs="Calibri" w:eastAsia="Calibri" w:hAnsi="Calibri"/>
          <w:b/>
          <w:bCs/>
          <w:color w:val="0B3D6B"/>
          <w:sz w:val="22"/>
          <w:szCs w:val="22"/>
        </w:rPr>
        <w:t xml:space="preserve">Personalize the User Experience — </w:t>
      </w:r>
      <w:r>
        <w:rPr>
          <w:rFonts w:ascii="Calibri" w:cs="Calibri" w:eastAsia="Calibri" w:hAnsi="Calibri"/>
          <w:color w:val="1B2A41"/>
          <w:sz w:val="22"/>
          <w:szCs w:val="22"/>
        </w:rPr>
        <w:t xml:space="preserve">Behavioural segments built from GA4 data can feed into personalization engines, tailoring on-site content, offers, and recommendations to specific audience groups.</w:t>
      </w:r>
    </w:p>
    <w:p>
      <w:pPr>
        <w:pStyle w:val="Heading2"/>
        <w:spacing w:after="110" w:before="260"/>
      </w:pPr>
      <w:r>
        <w:rPr>
          <w:rFonts w:ascii="Cambria" w:cs="Cambria" w:eastAsia="Cambria" w:hAnsi="Cambria"/>
          <w:b/>
          <w:bCs/>
          <w:color w:val="1565C0"/>
          <w:sz w:val="25"/>
          <w:szCs w:val="25"/>
        </w:rPr>
        <w:t xml:space="preserve">2.2 Role in Business Decision-Making</w:t>
      </w:r>
    </w:p>
    <w:p>
      <w:pPr>
        <w:spacing w:after="160" w:line="300"/>
        <w:jc w:val="both"/>
      </w:pPr>
      <w:r>
        <w:rPr>
          <w:rFonts w:ascii="Calibri" w:cs="Calibri" w:eastAsia="Calibri" w:hAnsi="Calibri"/>
          <w:color w:val="1B2A41"/>
          <w:sz w:val="22"/>
          <w:szCs w:val="22"/>
        </w:rPr>
        <w:t xml:space="preserve">Beyond marketing, Google Analytics plays a central role in broader business decision-making. Because it captures ground-truth behavioural data rather than opinions or assumptions, it gives leadership teams a shared, objective foundation on which to base strategy.</w:t>
      </w:r>
    </w:p>
    <w:p>
      <w:pPr>
        <w:spacing w:after="100"/>
      </w:pPr>
      <w:r>
        <w:rPr>
          <w:rFonts w:ascii="Calibri" w:cs="Calibri" w:eastAsia="Calibri" w:hAnsi="Calibri"/>
          <w:b/>
          <w:bCs/>
          <w:color w:val="0B3D6B"/>
          <w:sz w:val="22"/>
          <w:szCs w:val="22"/>
        </w:rPr>
        <w:t xml:space="preserve">Evidence Over Guesswork — </w:t>
      </w:r>
      <w:r>
        <w:rPr>
          <w:rFonts w:ascii="Calibri" w:cs="Calibri" w:eastAsia="Calibri" w:hAnsi="Calibri"/>
          <w:color w:val="1B2A41"/>
          <w:sz w:val="22"/>
          <w:szCs w:val="22"/>
        </w:rPr>
        <w:t xml:space="preserve">Decisions about product features, pricing pages, or content strategy can be grounded in real user behaviour rather than internal opinion or hierarchy.</w:t>
      </w:r>
    </w:p>
    <w:p>
      <w:pPr>
        <w:spacing w:after="100"/>
      </w:pPr>
      <w:r>
        <w:rPr>
          <w:rFonts w:ascii="Calibri" w:cs="Calibri" w:eastAsia="Calibri" w:hAnsi="Calibri"/>
          <w:b/>
          <w:bCs/>
          <w:color w:val="0B3D6B"/>
          <w:sz w:val="22"/>
          <w:szCs w:val="22"/>
        </w:rPr>
        <w:t xml:space="preserve">Faster Strategic Pivots — </w:t>
      </w:r>
      <w:r>
        <w:rPr>
          <w:rFonts w:ascii="Calibri" w:cs="Calibri" w:eastAsia="Calibri" w:hAnsi="Calibri"/>
          <w:color w:val="1B2A41"/>
          <w:sz w:val="22"/>
          <w:szCs w:val="22"/>
        </w:rPr>
        <w:t xml:space="preserve">Because GA4 reports are available in near real time, underperforming campaigns or broken user flows can be identified and corrected within days rather than months.</w:t>
      </w:r>
    </w:p>
    <w:p>
      <w:pPr>
        <w:spacing w:after="100"/>
      </w:pPr>
      <w:r>
        <w:rPr>
          <w:rFonts w:ascii="Calibri" w:cs="Calibri" w:eastAsia="Calibri" w:hAnsi="Calibri"/>
          <w:b/>
          <w:bCs/>
          <w:color w:val="0B3D6B"/>
          <w:sz w:val="22"/>
          <w:szCs w:val="22"/>
        </w:rPr>
        <w:t xml:space="preserve">Cross-Department Alignment — </w:t>
      </w:r>
      <w:r>
        <w:rPr>
          <w:rFonts w:ascii="Calibri" w:cs="Calibri" w:eastAsia="Calibri" w:hAnsi="Calibri"/>
          <w:color w:val="1B2A41"/>
          <w:sz w:val="22"/>
          <w:szCs w:val="22"/>
        </w:rPr>
        <w:t xml:space="preserve">Marketing, product, and finance teams can reference the same dashboards, reducing disagreements caused by teams working from different, siloed data sources.</w:t>
      </w:r>
    </w:p>
    <w:p>
      <w:pPr>
        <w:spacing w:after="100"/>
      </w:pPr>
      <w:r>
        <w:rPr>
          <w:rFonts w:ascii="Calibri" w:cs="Calibri" w:eastAsia="Calibri" w:hAnsi="Calibri"/>
          <w:b/>
          <w:bCs/>
          <w:color w:val="0B3D6B"/>
          <w:sz w:val="22"/>
          <w:szCs w:val="22"/>
        </w:rPr>
        <w:t xml:space="preserve">Justifiable Budget Decisions — </w:t>
      </w:r>
      <w:r>
        <w:rPr>
          <w:rFonts w:ascii="Calibri" w:cs="Calibri" w:eastAsia="Calibri" w:hAnsi="Calibri"/>
          <w:color w:val="1B2A41"/>
          <w:sz w:val="22"/>
          <w:szCs w:val="22"/>
        </w:rPr>
        <w:t xml:space="preserve">When requesting additional marketing or product budget, teams can present clear, data-backed ROI figures rather than relying on anecdotal success stories.</w:t>
      </w:r>
    </w:p>
    <w:p>
      <w:pPr>
        <w:pStyle w:val="Heading1"/>
        <w:pBdr>
          <w:bottom w:val="single" w:color="E8F1FB" w:sz="6" w:space="6"/>
        </w:pBdr>
        <w:spacing w:after="180" w:before="420"/>
      </w:pPr>
      <w:r>
        <w:rPr>
          <w:rFonts w:ascii="Cambria" w:cs="Cambria" w:eastAsia="Cambria" w:hAnsi="Cambria"/>
          <w:b/>
          <w:bCs/>
          <w:color w:val="0B3D6B"/>
          <w:sz w:val="32"/>
          <w:szCs w:val="32"/>
        </w:rPr>
        <w:t xml:space="preserve">3. Features of Google Analytics</w:t>
      </w:r>
    </w:p>
    <w:p>
      <w:pPr>
        <w:spacing w:after="160" w:line="300"/>
        <w:jc w:val="both"/>
      </w:pPr>
      <w:r>
        <w:rPr>
          <w:rFonts w:ascii="Calibri" w:cs="Calibri" w:eastAsia="Calibri" w:hAnsi="Calibri"/>
          <w:color w:val="1B2A41"/>
          <w:sz w:val="22"/>
          <w:szCs w:val="22"/>
        </w:rPr>
        <w:t xml:space="preserve">Google Analytics offers a wide range of features designed to give a 360-degree view of user behaviour. The six core capabilities below form the foundation of nearly every report built within the platform.</w:t>
      </w:r>
    </w:p>
    <w:p>
      <w:pPr>
        <w:spacing w:after="100"/>
      </w:pPr>
      <w:r>
        <w:rPr>
          <w:rFonts w:ascii="Calibri" w:cs="Calibri" w:eastAsia="Calibri" w:hAnsi="Calibri"/>
          <w:b/>
          <w:bCs/>
          <w:color w:val="0B3D6B"/>
          <w:sz w:val="22"/>
          <w:szCs w:val="22"/>
        </w:rPr>
        <w:t xml:space="preserve">Website Traffic Monitoring — </w:t>
      </w:r>
      <w:r>
        <w:rPr>
          <w:rFonts w:ascii="Calibri" w:cs="Calibri" w:eastAsia="Calibri" w:hAnsi="Calibri"/>
          <w:color w:val="1B2A41"/>
          <w:sz w:val="22"/>
          <w:szCs w:val="22"/>
        </w:rPr>
        <w:t xml:space="preserve">Tracks visitors, pageviews, and sessions in real time, giving a continuous pulse on how content and campaigns are performing across every channel and device.</w:t>
      </w:r>
    </w:p>
    <w:p>
      <w:pPr>
        <w:spacing w:after="100"/>
      </w:pPr>
      <w:r>
        <w:rPr>
          <w:rFonts w:ascii="Calibri" w:cs="Calibri" w:eastAsia="Calibri" w:hAnsi="Calibri"/>
          <w:b/>
          <w:bCs/>
          <w:color w:val="0B3D6B"/>
          <w:sz w:val="22"/>
          <w:szCs w:val="22"/>
        </w:rPr>
        <w:t xml:space="preserve">User Demographics — </w:t>
      </w:r>
      <w:r>
        <w:rPr>
          <w:rFonts w:ascii="Calibri" w:cs="Calibri" w:eastAsia="Calibri" w:hAnsi="Calibri"/>
          <w:color w:val="1B2A41"/>
          <w:sz w:val="22"/>
          <w:szCs w:val="22"/>
        </w:rPr>
        <w:t xml:space="preserve">Provides breakdowns of visitors by age, gender, location, language, and interest categories, helping teams understand exactly who makes up their audience.</w:t>
      </w:r>
    </w:p>
    <w:p>
      <w:pPr>
        <w:spacing w:after="100"/>
      </w:pPr>
      <w:r>
        <w:rPr>
          <w:rFonts w:ascii="Calibri" w:cs="Calibri" w:eastAsia="Calibri" w:hAnsi="Calibri"/>
          <w:b/>
          <w:bCs/>
          <w:color w:val="0B3D6B"/>
          <w:sz w:val="22"/>
          <w:szCs w:val="22"/>
        </w:rPr>
        <w:t xml:space="preserve">Acquisition Channels — </w:t>
      </w:r>
      <w:r>
        <w:rPr>
          <w:rFonts w:ascii="Calibri" w:cs="Calibri" w:eastAsia="Calibri" w:hAnsi="Calibri"/>
          <w:color w:val="1B2A41"/>
          <w:sz w:val="22"/>
          <w:szCs w:val="22"/>
        </w:rPr>
        <w:t xml:space="preserve">Identifies where traffic originates from — organic search, paid advertising, social media, email, or referral links — so that channel investment can be optimized.</w:t>
      </w:r>
    </w:p>
    <w:p>
      <w:pPr>
        <w:spacing w:after="100"/>
      </w:pPr>
      <w:r>
        <w:rPr>
          <w:rFonts w:ascii="Calibri" w:cs="Calibri" w:eastAsia="Calibri" w:hAnsi="Calibri"/>
          <w:b/>
          <w:bCs/>
          <w:color w:val="0B3D6B"/>
          <w:sz w:val="22"/>
          <w:szCs w:val="22"/>
        </w:rPr>
        <w:t xml:space="preserve">Real-Time Reporting — </w:t>
      </w:r>
      <w:r>
        <w:rPr>
          <w:rFonts w:ascii="Calibri" w:cs="Calibri" w:eastAsia="Calibri" w:hAnsi="Calibri"/>
          <w:color w:val="1B2A41"/>
          <w:sz w:val="22"/>
          <w:szCs w:val="22"/>
        </w:rPr>
        <w:t xml:space="preserve">Displays active users on the site or app right now, including their current location and the pages they are viewing, which is invaluable during live campaign launches.</w:t>
      </w:r>
    </w:p>
    <w:p>
      <w:pPr>
        <w:spacing w:after="100"/>
      </w:pPr>
      <w:r>
        <w:rPr>
          <w:rFonts w:ascii="Calibri" w:cs="Calibri" w:eastAsia="Calibri" w:hAnsi="Calibri"/>
          <w:b/>
          <w:bCs/>
          <w:color w:val="0B3D6B"/>
          <w:sz w:val="22"/>
          <w:szCs w:val="22"/>
        </w:rPr>
        <w:t xml:space="preserve">Event Tracking — </w:t>
      </w:r>
      <w:r>
        <w:rPr>
          <w:rFonts w:ascii="Calibri" w:cs="Calibri" w:eastAsia="Calibri" w:hAnsi="Calibri"/>
          <w:color w:val="1B2A41"/>
          <w:sz w:val="22"/>
          <w:szCs w:val="22"/>
        </w:rPr>
        <w:t xml:space="preserve">Automatically captures interactions such as clicks, scrolls, downloads, and video plays, while also supporting fully custom events for any business-specific interaction.</w:t>
      </w:r>
    </w:p>
    <w:p>
      <w:pPr>
        <w:spacing w:after="100"/>
      </w:pPr>
      <w:r>
        <w:rPr>
          <w:rFonts w:ascii="Calibri" w:cs="Calibri" w:eastAsia="Calibri" w:hAnsi="Calibri"/>
          <w:b/>
          <w:bCs/>
          <w:color w:val="0B3D6B"/>
          <w:sz w:val="22"/>
          <w:szCs w:val="22"/>
        </w:rPr>
        <w:t xml:space="preserve">Conversion Tracking — </w:t>
      </w:r>
      <w:r>
        <w:rPr>
          <w:rFonts w:ascii="Calibri" w:cs="Calibri" w:eastAsia="Calibri" w:hAnsi="Calibri"/>
          <w:color w:val="1B2A41"/>
          <w:sz w:val="22"/>
          <w:szCs w:val="22"/>
        </w:rPr>
        <w:t xml:space="preserve">Marks key events, such as purchases or form submissions, as conversions, directly tying marketing and product effort to measurable business outcomes.</w:t>
      </w:r>
    </w:p>
    <w:p>
      <w:pPr>
        <w:pStyle w:val="Heading2"/>
        <w:spacing w:after="110" w:before="260"/>
      </w:pPr>
      <w:r>
        <w:rPr>
          <w:rFonts w:ascii="Cambria" w:cs="Cambria" w:eastAsia="Cambria" w:hAnsi="Cambria"/>
          <w:b/>
          <w:bCs/>
          <w:color w:val="1565C0"/>
          <w:sz w:val="25"/>
          <w:szCs w:val="25"/>
        </w:rPr>
        <w:t xml:space="preserve">3.1 Feature Spotlight: Traffic and Real-Time Monitoring</w:t>
      </w:r>
    </w:p>
    <w:p>
      <w:pPr>
        <w:spacing w:after="160" w:line="300"/>
        <w:jc w:val="both"/>
      </w:pPr>
      <w:r>
        <w:rPr>
          <w:rFonts w:ascii="Calibri" w:cs="Calibri" w:eastAsia="Calibri" w:hAnsi="Calibri"/>
          <w:color w:val="1B2A41"/>
          <w:sz w:val="22"/>
          <w:szCs w:val="22"/>
        </w:rPr>
        <w:t xml:space="preserve">Website traffic monitoring forms the backbone of any analytics practice. GA4 continuously logs pageviews, sessions, and unique visitors, and organizes this data into standard reports covering daily, weekly, and monthly trends. Marketers and business owners rely on these baseline numbers to judge whether overall site health is improving or declining.</w:t>
      </w:r>
    </w:p>
    <w:p>
      <w:pPr>
        <w:spacing w:after="160" w:line="300"/>
        <w:jc w:val="both"/>
      </w:pPr>
      <w:r>
        <w:rPr>
          <w:rFonts w:ascii="Calibri" w:cs="Calibri" w:eastAsia="Calibri" w:hAnsi="Calibri"/>
          <w:color w:val="1B2A41"/>
          <w:sz w:val="22"/>
          <w:szCs w:val="22"/>
        </w:rPr>
        <w:t xml:space="preserve">Real-time reporting complements this historical view by showing exactly what is happening on the property in the last 30 minutes. This is particularly valuable when launching a new campaign, publishing a piece of content, or monitoring a site during a high-traffic event such as a product launch or a livestream, since it confirms that tracking is working and that traffic is arriving as expected.</w:t>
      </w:r>
    </w:p>
    <w:p>
      <w:pPr>
        <w:pStyle w:val="Heading2"/>
        <w:spacing w:after="110" w:before="260"/>
      </w:pPr>
      <w:r>
        <w:rPr>
          <w:rFonts w:ascii="Cambria" w:cs="Cambria" w:eastAsia="Cambria" w:hAnsi="Cambria"/>
          <w:b/>
          <w:bCs/>
          <w:color w:val="1565C0"/>
          <w:sz w:val="25"/>
          <w:szCs w:val="25"/>
        </w:rPr>
        <w:t xml:space="preserve">3.2 Feature Spotlight: Demographics and Acquisition</w:t>
      </w:r>
    </w:p>
    <w:p>
      <w:pPr>
        <w:spacing w:after="160" w:line="300"/>
        <w:jc w:val="both"/>
      </w:pPr>
      <w:r>
        <w:rPr>
          <w:rFonts w:ascii="Calibri" w:cs="Calibri" w:eastAsia="Calibri" w:hAnsi="Calibri"/>
          <w:color w:val="1B2A41"/>
          <w:sz w:val="22"/>
          <w:szCs w:val="22"/>
        </w:rPr>
        <w:t xml:space="preserve">User demographic reports segment the audience by attributes such as age bracket, gender, city, and country, in addition to technology-based dimensions like device category, operating system, and browser. This data is essential for building accurate audience personas and for identifying underserved segments that could benefit from targeted campaigns.</w:t>
      </w:r>
    </w:p>
    <w:p>
      <w:pPr>
        <w:spacing w:after="160" w:line="300"/>
        <w:jc w:val="both"/>
      </w:pPr>
      <w:r>
        <w:rPr>
          <w:rFonts w:ascii="Calibri" w:cs="Calibri" w:eastAsia="Calibri" w:hAnsi="Calibri"/>
          <w:color w:val="1B2A41"/>
          <w:sz w:val="22"/>
          <w:szCs w:val="22"/>
        </w:rPr>
        <w:t xml:space="preserve">Acquisition reports go a step further by answering the question of where visitors come from. GA4 organizes traffic into default channel groupings — including Organic Search, Paid Search, Organic Social, Paid Social, Email, Referral, and Direct — making it straightforward to compare channel performance side by side and reallocate budget toward the channels delivering the best results.</w:t>
      </w:r>
    </w:p>
    <w:p>
      <w:pPr>
        <w:pStyle w:val="Heading2"/>
        <w:spacing w:after="110" w:before="260"/>
      </w:pPr>
      <w:r>
        <w:rPr>
          <w:rFonts w:ascii="Cambria" w:cs="Cambria" w:eastAsia="Cambria" w:hAnsi="Cambria"/>
          <w:b/>
          <w:bCs/>
          <w:color w:val="1565C0"/>
          <w:sz w:val="25"/>
          <w:szCs w:val="25"/>
        </w:rPr>
        <w:t xml:space="preserve">3.3 Feature Spotlight: Event and Conversion Tracking</w:t>
      </w:r>
    </w:p>
    <w:p>
      <w:pPr>
        <w:spacing w:after="160" w:line="300"/>
        <w:jc w:val="both"/>
      </w:pPr>
      <w:r>
        <w:rPr>
          <w:rFonts w:ascii="Calibri" w:cs="Calibri" w:eastAsia="Calibri" w:hAnsi="Calibri"/>
          <w:color w:val="1B2A41"/>
          <w:sz w:val="22"/>
          <w:szCs w:val="22"/>
        </w:rPr>
        <w:t xml:space="preserve">GA4's event-based architecture means that virtually any user interaction can be tracked as an event, from automatically collected events like page_view and session_start, to enhanced measurement events like scroll and file_download, to fully custom events defined by a development team through Google Tag Manager or direct gtag.js implementation.</w:t>
      </w:r>
    </w:p>
    <w:p>
      <w:pPr>
        <w:spacing w:after="160" w:line="300"/>
        <w:jc w:val="both"/>
      </w:pPr>
      <w:r>
        <w:rPr>
          <w:rFonts w:ascii="Calibri" w:cs="Calibri" w:eastAsia="Calibri" w:hAnsi="Calibri"/>
          <w:color w:val="1B2A41"/>
          <w:sz w:val="22"/>
          <w:szCs w:val="22"/>
        </w:rPr>
        <w:t xml:space="preserve">Conversion tracking builds directly on this event framework: any event can be flagged as a "key event" (formerly called a conversion), such as a completed purchase, a newsletter sign-up, or a contact form submission. Once marked, these key events flow into acquisition and campaign reports automatically, allowing teams to measure not just traffic volume but the quality and business value of that traffic.</w:t>
      </w:r>
    </w:p>
    <w:p>
      <w:pPr>
        <w:pStyle w:val="Heading1"/>
        <w:pBdr>
          <w:bottom w:val="single" w:color="E8F1FB" w:sz="6" w:space="6"/>
        </w:pBdr>
        <w:spacing w:after="180" w:before="420"/>
      </w:pPr>
      <w:r>
        <w:rPr>
          <w:rFonts w:ascii="Cambria" w:cs="Cambria" w:eastAsia="Cambria" w:hAnsi="Cambria"/>
          <w:b/>
          <w:bCs/>
          <w:color w:val="0B3D6B"/>
          <w:sz w:val="32"/>
          <w:szCs w:val="32"/>
        </w:rPr>
        <w:t xml:space="preserve">4. Setting Up Google Analytics</w:t>
      </w:r>
    </w:p>
    <w:p>
      <w:pPr>
        <w:spacing w:after="160" w:line="300"/>
        <w:jc w:val="both"/>
      </w:pPr>
      <w:r>
        <w:rPr>
          <w:rFonts w:ascii="Calibri" w:cs="Calibri" w:eastAsia="Calibri" w:hAnsi="Calibri"/>
          <w:color w:val="1B2A41"/>
          <w:sz w:val="22"/>
          <w:szCs w:val="22"/>
        </w:rPr>
        <w:t xml:space="preserve">Configuring Google Analytics correctly from the outset is critical, since inaccurate setup leads directly to inaccurate reporting. The process can be broken down into four clear steps.</w:t>
      </w:r>
    </w:p>
    <w:p>
      <w:pPr>
        <w:pStyle w:val="Heading2"/>
        <w:spacing w:after="110" w:before="260"/>
      </w:pPr>
      <w:r>
        <w:rPr>
          <w:rFonts w:ascii="Cambria" w:cs="Cambria" w:eastAsia="Cambria" w:hAnsi="Cambria"/>
          <w:b/>
          <w:bCs/>
          <w:color w:val="1565C0"/>
          <w:sz w:val="25"/>
          <w:szCs w:val="25"/>
        </w:rPr>
        <w:t xml:space="preserve">4.1 Step 1: Creating an Account</w:t>
      </w:r>
    </w:p>
    <w:p>
      <w:pPr>
        <w:spacing w:after="160" w:line="300"/>
        <w:jc w:val="both"/>
      </w:pPr>
      <w:r>
        <w:rPr>
          <w:rFonts w:ascii="Calibri" w:cs="Calibri" w:eastAsia="Calibri" w:hAnsi="Calibri"/>
          <w:color w:val="1B2A41"/>
          <w:sz w:val="22"/>
          <w:szCs w:val="22"/>
        </w:rPr>
        <w:t xml:space="preserve">The first step is signing in with an existing Google account, or creating a new one dedicated to the organization. Within the Google Analytics interface, the user then creates a new GA4 property, providing key business details such as the property name, reporting time zone, currency, and industry category. These settings influence how data is displayed and benchmarked throughout the platform.</w:t>
      </w:r>
    </w:p>
    <w:p>
      <w:pPr>
        <w:pStyle w:val="Heading2"/>
        <w:spacing w:after="110" w:before="260"/>
      </w:pPr>
      <w:r>
        <w:rPr>
          <w:rFonts w:ascii="Cambria" w:cs="Cambria" w:eastAsia="Cambria" w:hAnsi="Cambria"/>
          <w:b/>
          <w:bCs/>
          <w:color w:val="1565C0"/>
          <w:sz w:val="25"/>
          <w:szCs w:val="25"/>
        </w:rPr>
        <w:t xml:space="preserve">4.2 Step 2: Installing the Tracking Code</w:t>
      </w:r>
    </w:p>
    <w:p>
      <w:pPr>
        <w:spacing w:after="160" w:line="300"/>
        <w:jc w:val="both"/>
      </w:pPr>
      <w:r>
        <w:rPr>
          <w:rFonts w:ascii="Calibri" w:cs="Calibri" w:eastAsia="Calibri" w:hAnsi="Calibri"/>
          <w:color w:val="1B2A41"/>
          <w:sz w:val="22"/>
          <w:szCs w:val="22"/>
        </w:rPr>
        <w:t xml:space="preserve">Once the property is created, a unique Measurement ID is generated. This ID must be connected to the website through the GA4 global site tag, commonly referred to as gtag.js, which is a small snippet of JavaScript placed in the header of every page. Alternatively, and often preferably for larger or more complex sites, the tag can be deployed through Google Tag Manager (GTM), a tag management system that allows teams to add, edit, and manage tracking tags without touching the site's source code directly.</w:t>
      </w:r>
    </w:p>
    <w:p>
      <w:pPr>
        <w:pStyle w:val="Heading2"/>
        <w:spacing w:after="110" w:before="260"/>
      </w:pPr>
      <w:r>
        <w:rPr>
          <w:rFonts w:ascii="Cambria" w:cs="Cambria" w:eastAsia="Cambria" w:hAnsi="Cambria"/>
          <w:b/>
          <w:bCs/>
          <w:color w:val="1565C0"/>
          <w:sz w:val="25"/>
          <w:szCs w:val="25"/>
        </w:rPr>
        <w:t xml:space="preserve">4.3 Step 3: Connecting with a Website or App</w:t>
      </w:r>
    </w:p>
    <w:p>
      <w:pPr>
        <w:spacing w:after="160" w:line="300"/>
        <w:jc w:val="both"/>
      </w:pPr>
      <w:r>
        <w:rPr>
          <w:rFonts w:ascii="Calibri" w:cs="Calibri" w:eastAsia="Calibri" w:hAnsi="Calibri"/>
          <w:color w:val="1B2A41"/>
          <w:sz w:val="22"/>
          <w:szCs w:val="22"/>
        </w:rPr>
        <w:t xml:space="preserve">After installation, the Measurement ID is linked to the appropriate data stream — web, iOS, or Android — within the GA4 property. For businesses operating across multiple subdomains or domains, cross-domain tracking must also be configured at this stage, ensuring that a single user session is not incorrectly split into two when they move between domains, which would otherwise distort session and conversion counts.</w:t>
      </w:r>
    </w:p>
    <w:p>
      <w:pPr>
        <w:pStyle w:val="Heading2"/>
        <w:spacing w:after="110" w:before="260"/>
      </w:pPr>
      <w:r>
        <w:rPr>
          <w:rFonts w:ascii="Cambria" w:cs="Cambria" w:eastAsia="Cambria" w:hAnsi="Cambria"/>
          <w:b/>
          <w:bCs/>
          <w:color w:val="1565C0"/>
          <w:sz w:val="25"/>
          <w:szCs w:val="25"/>
        </w:rPr>
        <w:t xml:space="preserve">4.4 Step 4: Verifying Data Collection</w:t>
      </w:r>
    </w:p>
    <w:p>
      <w:pPr>
        <w:spacing w:after="160" w:line="300"/>
        <w:jc w:val="both"/>
      </w:pPr>
      <w:r>
        <w:rPr>
          <w:rFonts w:ascii="Calibri" w:cs="Calibri" w:eastAsia="Calibri" w:hAnsi="Calibri"/>
          <w:color w:val="1B2A41"/>
          <w:sz w:val="22"/>
          <w:szCs w:val="22"/>
        </w:rPr>
        <w:t xml:space="preserve">The final and arguably most important step is verification. The Realtime report should be opened immediately after installation to confirm that active users appear as expected. For more granular validation, Google's Tag Assistant browser extension can confirm that tags are firing correctly on each page, while GA4's built-in DebugView provides an event-by-event stream of data as it is received, making it possible to catch configuration errors before they affect weeks or months of reporting.</w:t>
      </w:r>
    </w:p>
    <w:p>
      <w:pPr>
        <w:pStyle w:val="Heading1"/>
        <w:pBdr>
          <w:bottom w:val="single" w:color="E8F1FB" w:sz="6" w:space="6"/>
        </w:pBdr>
        <w:spacing w:after="180" w:before="420"/>
      </w:pPr>
      <w:r>
        <w:rPr>
          <w:rFonts w:ascii="Cambria" w:cs="Cambria" w:eastAsia="Cambria" w:hAnsi="Cambria"/>
          <w:b/>
          <w:bCs/>
          <w:color w:val="0B3D6B"/>
          <w:sz w:val="32"/>
          <w:szCs w:val="32"/>
        </w:rPr>
        <w:t xml:space="preserve">5. Understanding the GA4 Dashboard</w:t>
      </w:r>
    </w:p>
    <w:p>
      <w:pPr>
        <w:spacing w:after="160" w:line="300"/>
        <w:jc w:val="both"/>
      </w:pPr>
      <w:r>
        <w:rPr>
          <w:rFonts w:ascii="Calibri" w:cs="Calibri" w:eastAsia="Calibri" w:hAnsi="Calibri"/>
          <w:color w:val="1B2A41"/>
          <w:sz w:val="22"/>
          <w:szCs w:val="22"/>
        </w:rPr>
        <w:t xml:space="preserve">The GA4 interface is organized into five primary sections, each serving a distinct purpose within the overall analytics workflow.</w:t>
      </w:r>
    </w:p>
    <w:p>
      <w:pPr>
        <w:spacing w:after="100"/>
      </w:pPr>
      <w:r>
        <w:rPr>
          <w:rFonts w:ascii="Calibri" w:cs="Calibri" w:eastAsia="Calibri" w:hAnsi="Calibri"/>
          <w:b/>
          <w:bCs/>
          <w:color w:val="0B3D6B"/>
          <w:sz w:val="22"/>
          <w:szCs w:val="22"/>
        </w:rPr>
        <w:t xml:space="preserve">Home Dashboard — </w:t>
      </w:r>
      <w:r>
        <w:rPr>
          <w:rFonts w:ascii="Calibri" w:cs="Calibri" w:eastAsia="Calibri" w:hAnsi="Calibri"/>
          <w:color w:val="1B2A41"/>
          <w:sz w:val="22"/>
          <w:szCs w:val="22"/>
        </w:rPr>
        <w:t xml:space="preserve">Provides an at-a-glance snapshot of key metrics and trends, along with an automated insights panel that flags unusual spikes or drops in the data.</w:t>
      </w:r>
    </w:p>
    <w:p>
      <w:pPr>
        <w:spacing w:after="100"/>
      </w:pPr>
      <w:r>
        <w:rPr>
          <w:rFonts w:ascii="Calibri" w:cs="Calibri" w:eastAsia="Calibri" w:hAnsi="Calibri"/>
          <w:b/>
          <w:bCs/>
          <w:color w:val="0B3D6B"/>
          <w:sz w:val="22"/>
          <w:szCs w:val="22"/>
        </w:rPr>
        <w:t xml:space="preserve">Reports — </w:t>
      </w:r>
      <w:r>
        <w:rPr>
          <w:rFonts w:ascii="Calibri" w:cs="Calibri" w:eastAsia="Calibri" w:hAnsi="Calibri"/>
          <w:color w:val="1B2A41"/>
          <w:sz w:val="22"/>
          <w:szCs w:val="22"/>
        </w:rPr>
        <w:t xml:space="preserve">Houses the pre-built, standard reports covering the full user lifecycle: Acquisition, Engagement, Monetization, and Retention, as well as User reports covering demographics and technology.</w:t>
      </w:r>
    </w:p>
    <w:p>
      <w:pPr>
        <w:spacing w:after="100"/>
      </w:pPr>
      <w:r>
        <w:rPr>
          <w:rFonts w:ascii="Calibri" w:cs="Calibri" w:eastAsia="Calibri" w:hAnsi="Calibri"/>
          <w:b/>
          <w:bCs/>
          <w:color w:val="0B3D6B"/>
          <w:sz w:val="22"/>
          <w:szCs w:val="22"/>
        </w:rPr>
        <w:t xml:space="preserve">Explore — </w:t>
      </w:r>
      <w:r>
        <w:rPr>
          <w:rFonts w:ascii="Calibri" w:cs="Calibri" w:eastAsia="Calibri" w:hAnsi="Calibri"/>
          <w:color w:val="1B2A41"/>
          <w:sz w:val="22"/>
          <w:szCs w:val="22"/>
        </w:rPr>
        <w:t xml:space="preserve">Offers advanced, free-form exploration tools including funnel analysis, path exploration, segment overlap, and cohort analysis for questions that standard reports cannot answer.</w:t>
      </w:r>
    </w:p>
    <w:p>
      <w:pPr>
        <w:spacing w:after="100"/>
      </w:pPr>
      <w:r>
        <w:rPr>
          <w:rFonts w:ascii="Calibri" w:cs="Calibri" w:eastAsia="Calibri" w:hAnsi="Calibri"/>
          <w:b/>
          <w:bCs/>
          <w:color w:val="0B3D6B"/>
          <w:sz w:val="22"/>
          <w:szCs w:val="22"/>
        </w:rPr>
        <w:t xml:space="preserve">Advertising — </w:t>
      </w:r>
      <w:r>
        <w:rPr>
          <w:rFonts w:ascii="Calibri" w:cs="Calibri" w:eastAsia="Calibri" w:hAnsi="Calibri"/>
          <w:color w:val="1B2A41"/>
          <w:sz w:val="22"/>
          <w:szCs w:val="22"/>
        </w:rPr>
        <w:t xml:space="preserve">Consolidates campaign performance, conversion attribution, and ad platform data (such as Google Ads) into a single, unified view.</w:t>
      </w:r>
    </w:p>
    <w:p>
      <w:pPr>
        <w:spacing w:after="100"/>
      </w:pPr>
      <w:r>
        <w:rPr>
          <w:rFonts w:ascii="Calibri" w:cs="Calibri" w:eastAsia="Calibri" w:hAnsi="Calibri"/>
          <w:b/>
          <w:bCs/>
          <w:color w:val="0B3D6B"/>
          <w:sz w:val="22"/>
          <w:szCs w:val="22"/>
        </w:rPr>
        <w:t xml:space="preserve">Admin — </w:t>
      </w:r>
      <w:r>
        <w:rPr>
          <w:rFonts w:ascii="Calibri" w:cs="Calibri" w:eastAsia="Calibri" w:hAnsi="Calibri"/>
          <w:color w:val="1B2A41"/>
          <w:sz w:val="22"/>
          <w:szCs w:val="22"/>
        </w:rPr>
        <w:t xml:space="preserve">The configuration hub where properties, data streams, user access permissions, custom definitions, and data retention settings are managed.</w:t>
      </w:r>
    </w:p>
    <w:p>
      <w:pPr>
        <w:pStyle w:val="Heading2"/>
        <w:spacing w:after="110" w:before="260"/>
      </w:pPr>
      <w:r>
        <w:rPr>
          <w:rFonts w:ascii="Cambria" w:cs="Cambria" w:eastAsia="Cambria" w:hAnsi="Cambria"/>
          <w:b/>
          <w:bCs/>
          <w:color w:val="1565C0"/>
          <w:sz w:val="25"/>
          <w:szCs w:val="25"/>
        </w:rPr>
        <w:t xml:space="preserve">5.1 Deep Dive: Home and Reports</w:t>
      </w:r>
    </w:p>
    <w:p>
      <w:pPr>
        <w:spacing w:after="160" w:line="300"/>
        <w:jc w:val="both"/>
      </w:pPr>
      <w:r>
        <w:rPr>
          <w:rFonts w:ascii="Calibri" w:cs="Calibri" w:eastAsia="Calibri" w:hAnsi="Calibri"/>
          <w:color w:val="1B2A41"/>
          <w:sz w:val="22"/>
          <w:szCs w:val="22"/>
        </w:rPr>
        <w:t xml:space="preserve">The Home dashboard is designed to answer the question "how is the business doing right now?" within seconds of logging in. It surfaces summary cards for users, sessions, and revenue, alongside an insights feed that uses anomaly detection to highlight noteworthy changes, such as a sudden increase in sign-ups or an unexpected drop in checkout completions.</w:t>
      </w:r>
    </w:p>
    <w:p>
      <w:pPr>
        <w:spacing w:after="160" w:line="300"/>
        <w:jc w:val="both"/>
      </w:pPr>
      <w:r>
        <w:rPr>
          <w:rFonts w:ascii="Calibri" w:cs="Calibri" w:eastAsia="Calibri" w:hAnsi="Calibri"/>
          <w:color w:val="1B2A41"/>
          <w:sz w:val="22"/>
          <w:szCs w:val="22"/>
        </w:rPr>
        <w:t xml:space="preserve">The Reports section is organized around the customer lifecycle. Acquisition reports show how users first arrive; Engagement reports show how they interact with content once on-site; Monetization reports track revenue and e-commerce performance; and Retention reports reveal how many users return over time. This lifecycle framing encourages teams to think about the full customer journey rather than isolated metrics.</w:t>
      </w:r>
    </w:p>
    <w:p>
      <w:pPr>
        <w:pStyle w:val="Heading2"/>
        <w:spacing w:after="110" w:before="260"/>
      </w:pPr>
      <w:r>
        <w:rPr>
          <w:rFonts w:ascii="Cambria" w:cs="Cambria" w:eastAsia="Cambria" w:hAnsi="Cambria"/>
          <w:b/>
          <w:bCs/>
          <w:color w:val="1565C0"/>
          <w:sz w:val="25"/>
          <w:szCs w:val="25"/>
        </w:rPr>
        <w:t xml:space="preserve">5.2 Deep Dive: Explore, Advertising, and Admin</w:t>
      </w:r>
    </w:p>
    <w:p>
      <w:pPr>
        <w:spacing w:after="160" w:line="300"/>
        <w:jc w:val="both"/>
      </w:pPr>
      <w:r>
        <w:rPr>
          <w:rFonts w:ascii="Calibri" w:cs="Calibri" w:eastAsia="Calibri" w:hAnsi="Calibri"/>
          <w:color w:val="1B2A41"/>
          <w:sz w:val="22"/>
          <w:szCs w:val="22"/>
        </w:rPr>
        <w:t xml:space="preserve">The Explore section unlocks GA4's most powerful analytical capabilities. Free-form explorations allow analysts to combine any metric and dimension into a custom table or chart; funnel explorations visualize step-by-step drop-off through a defined process such as checkout; and cohort explorations track how specific groups of users behave over subsequent weeks or months.</w:t>
      </w:r>
    </w:p>
    <w:p>
      <w:pPr>
        <w:spacing w:after="160" w:line="300"/>
        <w:jc w:val="both"/>
      </w:pPr>
      <w:r>
        <w:rPr>
          <w:rFonts w:ascii="Calibri" w:cs="Calibri" w:eastAsia="Calibri" w:hAnsi="Calibri"/>
          <w:color w:val="1B2A41"/>
          <w:sz w:val="22"/>
          <w:szCs w:val="22"/>
        </w:rPr>
        <w:t xml:space="preserve">The Advertising section brings together attribution modelling and campaign-level performance data, which is especially useful for businesses running paid media across multiple platforms. The Admin section, while not an analytical tool itself, is where the underlying data quality is safeguarded — through correct property configuration, user permission management, and the definition of custom dimensions, metrics, and audiences that feed every other report in the platform.</w:t>
      </w:r>
    </w:p>
    <w:p>
      <w:pPr>
        <w:pStyle w:val="Heading1"/>
        <w:pBdr>
          <w:bottom w:val="single" w:color="E8F1FB" w:sz="6" w:space="6"/>
        </w:pBdr>
        <w:spacing w:after="180" w:before="420"/>
      </w:pPr>
      <w:r>
        <w:rPr>
          <w:rFonts w:ascii="Cambria" w:cs="Cambria" w:eastAsia="Cambria" w:hAnsi="Cambria"/>
          <w:b/>
          <w:bCs/>
          <w:color w:val="0B3D6B"/>
          <w:sz w:val="32"/>
          <w:szCs w:val="32"/>
        </w:rPr>
        <w:t xml:space="preserve">6. Building a Google Analytics Report</w:t>
      </w:r>
    </w:p>
    <w:p>
      <w:pPr>
        <w:spacing w:after="160" w:line="300"/>
        <w:jc w:val="both"/>
      </w:pPr>
      <w:r>
        <w:rPr>
          <w:rFonts w:ascii="Calibri" w:cs="Calibri" w:eastAsia="Calibri" w:hAnsi="Calibri"/>
          <w:color w:val="1B2A41"/>
          <w:sz w:val="22"/>
          <w:szCs w:val="22"/>
        </w:rPr>
        <w:t xml:space="preserve">Creating a meaningful, custom report in Google Analytics follows a repeatable five-step process. Each stage builds on the previous one, transforming raw data into a polished deliverable suitable for stakeholders.</w:t>
      </w:r>
    </w:p>
    <w:p>
      <w:pPr>
        <w:pStyle w:val="Heading2"/>
        <w:spacing w:after="110" w:before="260"/>
      </w:pPr>
      <w:r>
        <w:rPr>
          <w:rFonts w:ascii="Cambria" w:cs="Cambria" w:eastAsia="Cambria" w:hAnsi="Cambria"/>
          <w:b/>
          <w:bCs/>
          <w:color w:val="1565C0"/>
          <w:sz w:val="25"/>
          <w:szCs w:val="25"/>
        </w:rPr>
        <w:t xml:space="preserve">6.1 Metrics and Dimensions</w:t>
      </w:r>
    </w:p>
    <w:p>
      <w:pPr>
        <w:spacing w:after="160" w:line="300"/>
        <w:jc w:val="both"/>
      </w:pPr>
      <w:r>
        <w:rPr>
          <w:rFonts w:ascii="Calibri" w:cs="Calibri" w:eastAsia="Calibri" w:hAnsi="Calibri"/>
          <w:color w:val="1B2A41"/>
          <w:sz w:val="22"/>
          <w:szCs w:val="22"/>
        </w:rPr>
        <w:t xml:space="preserve">The foundation of any report lies in choosing the right combination of metrics and dimensions. Metrics are quantitative values that can be measured and aggregated — examples include Users, New Users, Sessions, Engaged Sessions, Conversions, and Total Revenue. Dimensions, by contrast, are descriptive attributes used to segment and break down those metrics, such as Country, Device Category, Session Default Channel Group, or Landing Page. A report is only as useful as the metric-dimension pairing chosen to build it; for instance, pairing the metric "Conversions" with the dimension "Session Default Channel Group" immediately reveals which acquisition channels are producing the most valuable outcomes.</w:t>
      </w:r>
    </w:p>
    <w:p>
      <w:pPr>
        <w:pStyle w:val="Heading2"/>
        <w:spacing w:after="110" w:before="260"/>
      </w:pPr>
      <w:r>
        <w:rPr>
          <w:rFonts w:ascii="Cambria" w:cs="Cambria" w:eastAsia="Cambria" w:hAnsi="Cambria"/>
          <w:b/>
          <w:bCs/>
          <w:color w:val="1565C0"/>
          <w:sz w:val="25"/>
          <w:szCs w:val="25"/>
        </w:rPr>
        <w:t xml:space="preserve">6.2 Applying Filters and Customizing the Report</w:t>
      </w:r>
    </w:p>
    <w:p>
      <w:pPr>
        <w:spacing w:after="160" w:line="300"/>
        <w:jc w:val="both"/>
      </w:pPr>
      <w:r>
        <w:rPr>
          <w:rFonts w:ascii="Calibri" w:cs="Calibri" w:eastAsia="Calibri" w:hAnsi="Calibri"/>
          <w:color w:val="1B2A41"/>
          <w:sz w:val="22"/>
          <w:szCs w:val="22"/>
        </w:rPr>
        <w:t xml:space="preserve">Once the relevant metrics and dimensions are selected, filters are applied to narrow the dataset to a specific date range, audience segment, or condition. GA4 also supports side-by-side comparisons, allowing analysts to view two segments — for example, mobile versus desktop users — within the same report. Filtering out internal traffic (such as employees or known bot activity) at this stage is essential to avoid skewing the results.</w:t>
      </w:r>
    </w:p>
    <w:p>
      <w:pPr>
        <w:spacing w:after="160" w:line="300"/>
        <w:jc w:val="both"/>
      </w:pPr>
      <w:r>
        <w:rPr>
          <w:rFonts w:ascii="Calibri" w:cs="Calibri" w:eastAsia="Calibri" w:hAnsi="Calibri"/>
          <w:color w:val="1B2A41"/>
          <w:sz w:val="22"/>
          <w:szCs w:val="22"/>
        </w:rPr>
        <w:t xml:space="preserve">Customization follows filtering: cards, charts, and tables can be freely added, removed, or rearranged to match the specific goals of the report and its intended audience. Once a layout has been finalized, it can be saved as a reusable template and shared as part of a report collection with other members of the team, ensuring consistency across recurring reporting cycles.</w:t>
      </w:r>
    </w:p>
    <w:p>
      <w:pPr>
        <w:pStyle w:val="Heading2"/>
        <w:spacing w:after="110" w:before="260"/>
      </w:pPr>
      <w:r>
        <w:rPr>
          <w:rFonts w:ascii="Cambria" w:cs="Cambria" w:eastAsia="Cambria" w:hAnsi="Cambria"/>
          <w:b/>
          <w:bCs/>
          <w:color w:val="1565C0"/>
          <w:sz w:val="25"/>
          <w:szCs w:val="25"/>
        </w:rPr>
        <w:t xml:space="preserve">6.3 Exporting the Finished Report</w:t>
      </w:r>
    </w:p>
    <w:p>
      <w:pPr>
        <w:spacing w:after="160" w:line="300"/>
        <w:jc w:val="both"/>
      </w:pPr>
      <w:r>
        <w:rPr>
          <w:rFonts w:ascii="Calibri" w:cs="Calibri" w:eastAsia="Calibri" w:hAnsi="Calibri"/>
          <w:color w:val="1B2A41"/>
          <w:sz w:val="22"/>
          <w:szCs w:val="22"/>
        </w:rPr>
        <w:t xml:space="preserve">The final step is exporting the report in a format appropriate for its audience. A PDF export is best suited for sharing polished, print-ready summaries with executives or clients who need a finished, non-editable document. An Excel (XLSX) export is preferable when further analysis, pivot tables, or custom calculations will be performed downstream. A CSV export offers a lightweight, universal format that can be easily imported into other analytics tools, spreadsheets, or custom scripts for further processing.</w:t>
      </w:r>
    </w:p>
    <w:p>
      <w:pPr>
        <w:pStyle w:val="Heading1"/>
        <w:pBdr>
          <w:bottom w:val="single" w:color="E8F1FB" w:sz="6" w:space="6"/>
        </w:pBdr>
        <w:spacing w:after="180" w:before="420"/>
      </w:pPr>
      <w:r>
        <w:rPr>
          <w:rFonts w:ascii="Cambria" w:cs="Cambria" w:eastAsia="Cambria" w:hAnsi="Cambria"/>
          <w:b/>
          <w:bCs/>
          <w:color w:val="0B3D6B"/>
          <w:sz w:val="32"/>
          <w:szCs w:val="32"/>
        </w:rPr>
        <w:t xml:space="preserve">7. Key Metrics Explained</w:t>
      </w:r>
    </w:p>
    <w:p>
      <w:pPr>
        <w:spacing w:after="160" w:line="300"/>
        <w:jc w:val="both"/>
      </w:pPr>
      <w:r>
        <w:rPr>
          <w:rFonts w:ascii="Calibri" w:cs="Calibri" w:eastAsia="Calibri" w:hAnsi="Calibri"/>
          <w:color w:val="1B2A41"/>
          <w:sz w:val="22"/>
          <w:szCs w:val="22"/>
        </w:rPr>
        <w:t xml:space="preserve">A solid understanding of GA4's core metrics is essential before attempting to interpret any report. The table below defines the seven metrics most frequently referenced throughout Google Analytics reporting.</w:t>
      </w:r>
    </w:p>
    <w:tbl>
      <w:tblPr>
        <w:tblW w:type="dxa" w:w="9000"/>
        <w:tblBorders>
          <w:top w:val="single" w:color="D3E6F8" w:sz="2"/>
          <w:left w:val="single" w:color="D3E6F8" w:sz="2"/>
          <w:bottom w:val="single" w:color="D3E6F8" w:sz="2"/>
          <w:right w:val="single" w:color="D3E6F8" w:sz="2"/>
          <w:insideH w:val="single" w:color="D3E6F8" w:sz="2"/>
          <w:insideV w:val="single" w:color="D3E6F8" w:sz="2"/>
        </w:tblBorders>
      </w:tblPr>
      <w:tblGrid>
        <w:gridCol w:w="2600"/>
        <w:gridCol w:w="6400"/>
      </w:tblGrid>
      <w:tr>
        <w:trPr>
          <w:tblHeader/>
        </w:trPr>
        <w:tc>
          <w:tcPr>
            <w:tcW w:type="dxa" w:w="2600"/>
            <w:shd w:fill="0B3D6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FFFFFF"/>
                <w:sz w:val="20"/>
                <w:szCs w:val="20"/>
              </w:rPr>
              <w:t xml:space="preserve">Metric</w:t>
            </w:r>
          </w:p>
        </w:tc>
        <w:tc>
          <w:tcPr>
            <w:tcW w:type="dxa" w:w="6400"/>
            <w:shd w:fill="0B3D6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FFFFFF"/>
                <w:sz w:val="20"/>
                <w:szCs w:val="20"/>
              </w:rPr>
              <w:t xml:space="preserve">Definition</w:t>
            </w:r>
          </w:p>
        </w:tc>
      </w:tr>
      <w:tr>
        <w:tc>
          <w:tcPr>
            <w:tcW w:type="dxa" w:w="26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Users</w:t>
            </w:r>
          </w:p>
        </w:tc>
        <w:tc>
          <w:tcPr>
            <w:tcW w:type="dxa" w:w="64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number of unique individuals who visited the website or app within the selected date range.</w:t>
            </w:r>
          </w:p>
        </w:tc>
      </w:tr>
      <w:tr>
        <w:tc>
          <w:tcPr>
            <w:tcW w:type="dxa" w:w="26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Sessions</w:t>
            </w:r>
          </w:p>
        </w:tc>
        <w:tc>
          <w:tcPr>
            <w:tcW w:type="dxa" w:w="64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total number of visits recorded, where a single user may generate multiple sessions over time.</w:t>
            </w:r>
          </w:p>
        </w:tc>
      </w:tr>
      <w:tr>
        <w:tc>
          <w:tcPr>
            <w:tcW w:type="dxa" w:w="26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Page Views</w:t>
            </w:r>
          </w:p>
        </w:tc>
        <w:tc>
          <w:tcPr>
            <w:tcW w:type="dxa" w:w="64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total number of pages viewed across all sessions, including repeated views of the same page.</w:t>
            </w:r>
          </w:p>
        </w:tc>
      </w:tr>
      <w:tr>
        <w:tc>
          <w:tcPr>
            <w:tcW w:type="dxa" w:w="26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Bounce Rate</w:t>
            </w:r>
          </w:p>
        </w:tc>
        <w:tc>
          <w:tcPr>
            <w:tcW w:type="dxa" w:w="64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percentage of sessions that were not engaged — that is, sessions lasting fewer than 10 seconds with no conversion events or additional pageviews.</w:t>
            </w:r>
          </w:p>
        </w:tc>
      </w:tr>
      <w:tr>
        <w:tc>
          <w:tcPr>
            <w:tcW w:type="dxa" w:w="26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Average Engagement Time</w:t>
            </w:r>
          </w:p>
        </w:tc>
        <w:tc>
          <w:tcPr>
            <w:tcW w:type="dxa" w:w="64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average amount of time the site or app was in the foreground and actively used by visitors.</w:t>
            </w:r>
          </w:p>
        </w:tc>
      </w:tr>
      <w:tr>
        <w:tc>
          <w:tcPr>
            <w:tcW w:type="dxa" w:w="26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Conversion Rate</w:t>
            </w:r>
          </w:p>
        </w:tc>
        <w:tc>
          <w:tcPr>
            <w:tcW w:type="dxa" w:w="64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percentage of sessions or users that completed a defined key event, such as a purchase or sign-up.</w:t>
            </w:r>
          </w:p>
        </w:tc>
      </w:tr>
      <w:tr>
        <w:tc>
          <w:tcPr>
            <w:tcW w:type="dxa" w:w="26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Traffic Sources</w:t>
            </w:r>
          </w:p>
        </w:tc>
        <w:tc>
          <w:tcPr>
            <w:tcW w:type="dxa" w:w="64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The channels and referrers responsible for bringing visitors to the website, such as organic search, paid ads, or social media.</w:t>
            </w:r>
          </w:p>
        </w:tc>
      </w:tr>
    </w:tbl>
    <w:p>
      <w:pPr>
        <w:spacing w:after="200"/>
      </w:pPr>
      <w:r>
        <w:t xml:space="preserve"/>
      </w:r>
    </w:p>
    <w:p>
      <w:pPr>
        <w:spacing w:after="160" w:line="300"/>
        <w:jc w:val="both"/>
      </w:pPr>
      <w:r>
        <w:rPr>
          <w:rFonts w:ascii="Calibri" w:cs="Calibri" w:eastAsia="Calibri" w:hAnsi="Calibri"/>
          <w:color w:val="1B2A41"/>
          <w:sz w:val="22"/>
          <w:szCs w:val="22"/>
        </w:rPr>
        <w:t xml:space="preserve">It is worth noting that GA4 replaced Universal Analytics' "Bounce Rate" with "Engagement Rate" as the default headline metric, though Bounce Rate remains available for those who prefer it. Engagement Rate is generally considered a more meaningful measure of quality traffic, since it accounts for time spent and event interactions rather than simply penalizing any single-page visit.</w:t>
      </w:r>
    </w:p>
    <w:p>
      <w:pPr>
        <w:pStyle w:val="Heading1"/>
        <w:pBdr>
          <w:bottom w:val="single" w:color="E8F1FB" w:sz="6" w:space="6"/>
        </w:pBdr>
        <w:spacing w:after="180" w:before="420"/>
      </w:pPr>
      <w:r>
        <w:rPr>
          <w:rFonts w:ascii="Cambria" w:cs="Cambria" w:eastAsia="Cambria" w:hAnsi="Cambria"/>
          <w:b/>
          <w:bCs/>
          <w:color w:val="0B3D6B"/>
          <w:sz w:val="32"/>
          <w:szCs w:val="32"/>
        </w:rPr>
        <w:t xml:space="preserve">8. Sample Google Analytics Report</w:t>
      </w:r>
    </w:p>
    <w:p>
      <w:pPr>
        <w:spacing w:after="160" w:line="300"/>
        <w:jc w:val="both"/>
      </w:pPr>
      <w:r>
        <w:rPr>
          <w:rFonts w:ascii="Calibri" w:cs="Calibri" w:eastAsia="Calibri" w:hAnsi="Calibri"/>
          <w:color w:val="1B2A41"/>
          <w:sz w:val="22"/>
          <w:szCs w:val="22"/>
        </w:rPr>
        <w:t xml:space="preserve">To illustrate how the concepts above come together in practice, consider a sample report built for a mid-size e-commerce business reviewing performance over an eight-week period.</w:t>
      </w:r>
    </w:p>
    <w:p>
      <w:pPr>
        <w:pStyle w:val="Heading2"/>
        <w:spacing w:after="110" w:before="260"/>
      </w:pPr>
      <w:r>
        <w:rPr>
          <w:rFonts w:ascii="Cambria" w:cs="Cambria" w:eastAsia="Cambria" w:hAnsi="Cambria"/>
          <w:b/>
          <w:bCs/>
          <w:color w:val="1565C0"/>
          <w:sz w:val="25"/>
          <w:szCs w:val="25"/>
        </w:rPr>
        <w:t xml:space="preserve">8.1 KPI Dashboard Summary</w:t>
      </w:r>
    </w:p>
    <w:tbl>
      <w:tblPr>
        <w:tblW w:type="dxa" w:w="9000"/>
        <w:tblBorders>
          <w:top w:val="single" w:color="D3E6F8" w:sz="2"/>
          <w:left w:val="single" w:color="D3E6F8" w:sz="2"/>
          <w:bottom w:val="single" w:color="D3E6F8" w:sz="2"/>
          <w:right w:val="single" w:color="D3E6F8" w:sz="2"/>
          <w:insideH w:val="single" w:color="D3E6F8" w:sz="2"/>
          <w:insideV w:val="single" w:color="D3E6F8" w:sz="2"/>
        </w:tblBorders>
      </w:tblPr>
      <w:tblGrid>
        <w:gridCol w:w="4500"/>
        <w:gridCol w:w="4500"/>
      </w:tblGrid>
      <w:tr>
        <w:trPr>
          <w:tblHeader/>
        </w:trPr>
        <w:tc>
          <w:tcPr>
            <w:tcW w:type="dxa" w:w="4500"/>
            <w:shd w:fill="1565C0"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FFFFFF"/>
                <w:sz w:val="20"/>
                <w:szCs w:val="20"/>
              </w:rPr>
              <w:t xml:space="preserve">KPI</w:t>
            </w:r>
          </w:p>
        </w:tc>
        <w:tc>
          <w:tcPr>
            <w:tcW w:type="dxa" w:w="4500"/>
            <w:shd w:fill="1565C0"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Value (Sample Period)</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Total Users</w:t>
            </w:r>
          </w:p>
        </w:tc>
        <w:tc>
          <w:tcPr>
            <w:tcW w:type="dxa" w:w="4500"/>
            <w:shd w:fill="E8F1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B2A41"/>
                <w:sz w:val="20"/>
                <w:szCs w:val="20"/>
              </w:rPr>
              <w:t xml:space="preserve">24,850</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Sessions</w:t>
            </w:r>
          </w:p>
        </w:tc>
        <w:tc>
          <w:tcPr>
            <w:tcW w:type="dxa" w:w="4500"/>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B2A41"/>
                <w:sz w:val="20"/>
                <w:szCs w:val="20"/>
              </w:rPr>
              <w:t xml:space="preserve">38,210</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Bounce Rate</w:t>
            </w:r>
          </w:p>
        </w:tc>
        <w:tc>
          <w:tcPr>
            <w:tcW w:type="dxa" w:w="4500"/>
            <w:shd w:fill="E8F1FB"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B2A41"/>
                <w:sz w:val="20"/>
                <w:szCs w:val="20"/>
              </w:rPr>
              <w:t xml:space="preserve">38.4%</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bCs/>
                <w:i w:val="false"/>
                <w:iCs w:val="false"/>
                <w:color w:val="0B3D6B"/>
                <w:sz w:val="20"/>
                <w:szCs w:val="20"/>
              </w:rPr>
              <w:t xml:space="preserve">Conversions</w:t>
            </w:r>
          </w:p>
        </w:tc>
        <w:tc>
          <w:tcPr>
            <w:tcW w:type="dxa" w:w="4500"/>
            <w:shd w:fill="FFFFFF" w:val="clear"/>
            <w:tcMar>
              <w:top w:type="dxa" w:w="100"/>
              <w:left w:type="dxa" w:w="150"/>
              <w:bottom w:type="dxa" w:w="100"/>
              <w:right w:type="dxa" w:w="150"/>
            </w:tcMar>
            <w:vAlign w:val="center"/>
          </w:tcPr>
          <w:p>
            <w:pPr>
              <w:jc w:val="center"/>
            </w:pPr>
            <w:r>
              <w:rPr>
                <w:rFonts w:ascii="Calibri" w:cs="Calibri" w:eastAsia="Calibri" w:hAnsi="Calibri"/>
                <w:b w:val="false"/>
                <w:bCs w:val="false"/>
                <w:i w:val="false"/>
                <w:iCs w:val="false"/>
                <w:color w:val="1B2A41"/>
                <w:sz w:val="20"/>
                <w:szCs w:val="20"/>
              </w:rPr>
              <w:t xml:space="preserve">1,286</w:t>
            </w:r>
          </w:p>
        </w:tc>
      </w:tr>
    </w:tbl>
    <w:p>
      <w:pPr>
        <w:spacing w:after="200"/>
      </w:pPr>
      <w:r>
        <w:t xml:space="preserve"/>
      </w:r>
    </w:p>
    <w:p>
      <w:pPr>
        <w:spacing w:after="160" w:line="300"/>
        <w:jc w:val="both"/>
      </w:pPr>
      <w:r>
        <w:rPr>
          <w:rFonts w:ascii="Calibri" w:cs="Calibri" w:eastAsia="Calibri" w:hAnsi="Calibri"/>
          <w:color w:val="1B2A41"/>
          <w:sz w:val="22"/>
          <w:szCs w:val="22"/>
        </w:rPr>
        <w:t xml:space="preserve">Over the eight-week period, weekly user counts climbed steadily from approximately 2,100 to 3,650, indicating healthy, sustained growth rather than a short-lived spike. This kind of trend line is typically the first chart stakeholders look at when reviewing a periodic report, since it immediately answers the question of whether overall momentum is positive or negative.</w:t>
      </w:r>
    </w:p>
    <w:p>
      <w:pPr>
        <w:pStyle w:val="Heading2"/>
        <w:spacing w:after="110" w:before="260"/>
      </w:pPr>
      <w:r>
        <w:rPr>
          <w:rFonts w:ascii="Cambria" w:cs="Cambria" w:eastAsia="Cambria" w:hAnsi="Cambria"/>
          <w:b/>
          <w:bCs/>
          <w:color w:val="1565C0"/>
          <w:sz w:val="25"/>
          <w:szCs w:val="25"/>
        </w:rPr>
        <w:t xml:space="preserve">8.2 Traffic Source and Conversion Breakdown</w:t>
      </w:r>
    </w:p>
    <w:p>
      <w:pPr>
        <w:spacing w:after="160" w:line="300"/>
        <w:jc w:val="both"/>
      </w:pPr>
      <w:r>
        <w:rPr>
          <w:rFonts w:ascii="Calibri" w:cs="Calibri" w:eastAsia="Calibri" w:hAnsi="Calibri"/>
          <w:color w:val="1B2A41"/>
          <w:sz w:val="22"/>
          <w:szCs w:val="22"/>
        </w:rPr>
        <w:t xml:space="preserve">Breaking down the same traffic by acquisition channel reveals that Organic Search contributed 42% of sessions, followed by Direct traffic at 26%, Social at 20%, and Referral traffic at 12%. When this channel breakdown is cross-referenced against conversions, Organic Search again leads with 540 conversions, ahead of Paid channels at 420 and Social at 326. This kind of side-by-side analysis — traffic share compared against conversion share — is precisely how analysts identify channels that drive high volume but low value, versus channels that may be smaller but highly efficient.</w:t>
      </w:r>
    </w:p>
    <w:p>
      <w:pPr>
        <w:pStyle w:val="Heading1"/>
        <w:pBdr>
          <w:bottom w:val="single" w:color="E8F1FB" w:sz="6" w:space="6"/>
        </w:pBdr>
        <w:spacing w:after="180" w:before="420"/>
      </w:pPr>
      <w:r>
        <w:rPr>
          <w:rFonts w:ascii="Cambria" w:cs="Cambria" w:eastAsia="Cambria" w:hAnsi="Cambria"/>
          <w:b/>
          <w:bCs/>
          <w:color w:val="0B3D6B"/>
          <w:sz w:val="32"/>
          <w:szCs w:val="32"/>
        </w:rPr>
        <w:t xml:space="preserve">9. Business Applications</w:t>
      </w:r>
    </w:p>
    <w:p>
      <w:pPr>
        <w:spacing w:after="160" w:line="300"/>
        <w:jc w:val="both"/>
      </w:pPr>
      <w:r>
        <w:rPr>
          <w:rFonts w:ascii="Calibri" w:cs="Calibri" w:eastAsia="Calibri" w:hAnsi="Calibri"/>
          <w:color w:val="1B2A41"/>
          <w:sz w:val="22"/>
          <w:szCs w:val="22"/>
        </w:rPr>
        <w:t xml:space="preserve">Google Analytics is not limited to any single industry. Its flexible, event-based framework makes it adaptable to a wide range of business models and sectors.</w:t>
      </w:r>
    </w:p>
    <w:p>
      <w:pPr>
        <w:spacing w:after="100"/>
      </w:pPr>
      <w:r>
        <w:rPr>
          <w:rFonts w:ascii="Calibri" w:cs="Calibri" w:eastAsia="Calibri" w:hAnsi="Calibri"/>
          <w:b/>
          <w:bCs/>
          <w:color w:val="0B3D6B"/>
          <w:sz w:val="22"/>
          <w:szCs w:val="22"/>
        </w:rPr>
        <w:t xml:space="preserve">E-commerce — </w:t>
      </w:r>
      <w:r>
        <w:rPr>
          <w:rFonts w:ascii="Calibri" w:cs="Calibri" w:eastAsia="Calibri" w:hAnsi="Calibri"/>
          <w:color w:val="1B2A41"/>
          <w:sz w:val="22"/>
          <w:szCs w:val="22"/>
        </w:rPr>
        <w:t xml:space="preserve">Online retailers use GA4 to track sales funnels, monitor cart abandonment, analyze product performance, and measure the return on investment of promotional campaigns.</w:t>
      </w:r>
    </w:p>
    <w:p>
      <w:pPr>
        <w:spacing w:after="100"/>
      </w:pPr>
      <w:r>
        <w:rPr>
          <w:rFonts w:ascii="Calibri" w:cs="Calibri" w:eastAsia="Calibri" w:hAnsi="Calibri"/>
          <w:b/>
          <w:bCs/>
          <w:color w:val="0B3D6B"/>
          <w:sz w:val="22"/>
          <w:szCs w:val="22"/>
        </w:rPr>
        <w:t xml:space="preserve">Education — </w:t>
      </w:r>
      <w:r>
        <w:rPr>
          <w:rFonts w:ascii="Calibri" w:cs="Calibri" w:eastAsia="Calibri" w:hAnsi="Calibri"/>
          <w:color w:val="1B2A41"/>
          <w:sz w:val="22"/>
          <w:szCs w:val="22"/>
        </w:rPr>
        <w:t xml:space="preserve">Educational institutions and e-learning platforms use analytics to understand student engagement with course portals, identify content that leads to drop-off, and improve enrollment funnels.</w:t>
      </w:r>
    </w:p>
    <w:p>
      <w:pPr>
        <w:spacing w:after="100"/>
      </w:pPr>
      <w:r>
        <w:rPr>
          <w:rFonts w:ascii="Calibri" w:cs="Calibri" w:eastAsia="Calibri" w:hAnsi="Calibri"/>
          <w:b/>
          <w:bCs/>
          <w:color w:val="0B3D6B"/>
          <w:sz w:val="22"/>
          <w:szCs w:val="22"/>
        </w:rPr>
        <w:t xml:space="preserve">Banking — </w:t>
      </w:r>
      <w:r>
        <w:rPr>
          <w:rFonts w:ascii="Calibri" w:cs="Calibri" w:eastAsia="Calibri" w:hAnsi="Calibri"/>
          <w:color w:val="1B2A41"/>
          <w:sz w:val="22"/>
          <w:szCs w:val="22"/>
        </w:rPr>
        <w:t xml:space="preserve">Financial institutions monitor digital banking user journeys, tracking how customers navigate account opening, loan applications, and support flows, while paying close attention to security and privacy requirements.</w:t>
      </w:r>
    </w:p>
    <w:p>
      <w:pPr>
        <w:spacing w:after="100"/>
      </w:pPr>
      <w:r>
        <w:rPr>
          <w:rFonts w:ascii="Calibri" w:cs="Calibri" w:eastAsia="Calibri" w:hAnsi="Calibri"/>
          <w:b/>
          <w:bCs/>
          <w:color w:val="0B3D6B"/>
          <w:sz w:val="22"/>
          <w:szCs w:val="22"/>
        </w:rPr>
        <w:t xml:space="preserve">Healthcare — </w:t>
      </w:r>
      <w:r>
        <w:rPr>
          <w:rFonts w:ascii="Calibri" w:cs="Calibri" w:eastAsia="Calibri" w:hAnsi="Calibri"/>
          <w:color w:val="1B2A41"/>
          <w:sz w:val="22"/>
          <w:szCs w:val="22"/>
        </w:rPr>
        <w:t xml:space="preserve">Healthcare providers use analytics to understand patient portal usage, appointment booking funnels, and content engagement, always in careful compliance with relevant privacy regulations.</w:t>
      </w:r>
    </w:p>
    <w:p>
      <w:pPr>
        <w:spacing w:after="100"/>
      </w:pPr>
      <w:r>
        <w:rPr>
          <w:rFonts w:ascii="Calibri" w:cs="Calibri" w:eastAsia="Calibri" w:hAnsi="Calibri"/>
          <w:b/>
          <w:bCs/>
          <w:color w:val="0B3D6B"/>
          <w:sz w:val="22"/>
          <w:szCs w:val="22"/>
        </w:rPr>
        <w:t xml:space="preserve">Startups — </w:t>
      </w:r>
      <w:r>
        <w:rPr>
          <w:rFonts w:ascii="Calibri" w:cs="Calibri" w:eastAsia="Calibri" w:hAnsi="Calibri"/>
          <w:color w:val="1B2A41"/>
          <w:sz w:val="22"/>
          <w:szCs w:val="22"/>
        </w:rPr>
        <w:t xml:space="preserve">Early-stage companies rely on analytics to validate growth experiments, test marketing channels on limited budgets, and make fast, evidence-based product decisions.</w:t>
      </w:r>
    </w:p>
    <w:p>
      <w:pPr>
        <w:spacing w:after="100"/>
      </w:pPr>
      <w:r>
        <w:rPr>
          <w:rFonts w:ascii="Calibri" w:cs="Calibri" w:eastAsia="Calibri" w:hAnsi="Calibri"/>
          <w:b/>
          <w:bCs/>
          <w:color w:val="0B3D6B"/>
          <w:sz w:val="22"/>
          <w:szCs w:val="22"/>
        </w:rPr>
        <w:t xml:space="preserve">Blogs and Publishers — </w:t>
      </w:r>
      <w:r>
        <w:rPr>
          <w:rFonts w:ascii="Calibri" w:cs="Calibri" w:eastAsia="Calibri" w:hAnsi="Calibri"/>
          <w:color w:val="1B2A41"/>
          <w:sz w:val="22"/>
          <w:szCs w:val="22"/>
        </w:rPr>
        <w:t xml:space="preserve">Content creators and publishers use GA4 to measure content reach, readership trends, and subscriber growth, informing editorial and content calendar decisions.</w:t>
      </w:r>
    </w:p>
    <w:p>
      <w:pPr>
        <w:spacing w:after="100"/>
      </w:pPr>
      <w:r>
        <w:rPr>
          <w:rFonts w:ascii="Calibri" w:cs="Calibri" w:eastAsia="Calibri" w:hAnsi="Calibri"/>
          <w:b/>
          <w:bCs/>
          <w:color w:val="0B3D6B"/>
          <w:sz w:val="22"/>
          <w:szCs w:val="22"/>
        </w:rPr>
        <w:t xml:space="preserve">Corporate Websites — </w:t>
      </w:r>
      <w:r>
        <w:rPr>
          <w:rFonts w:ascii="Calibri" w:cs="Calibri" w:eastAsia="Calibri" w:hAnsi="Calibri"/>
          <w:color w:val="1B2A41"/>
          <w:sz w:val="22"/>
          <w:szCs w:val="22"/>
        </w:rPr>
        <w:t xml:space="preserve">Larger corporations use analytics to evaluate brand visibility, measure lead generation from their corporate site, and assess the effectiveness of investor relations or careers pages.</w:t>
      </w:r>
    </w:p>
    <w:p>
      <w:pPr>
        <w:spacing w:after="160" w:line="300"/>
        <w:jc w:val="both"/>
      </w:pPr>
      <w:r>
        <w:rPr>
          <w:rFonts w:ascii="Calibri" w:cs="Calibri" w:eastAsia="Calibri" w:hAnsi="Calibri"/>
          <w:color w:val="1B2A41"/>
          <w:sz w:val="22"/>
          <w:szCs w:val="22"/>
        </w:rPr>
        <w:t xml:space="preserve">Across every one of these industries, the underlying discipline remains the same: understand the audience, measure what matters most to the business, and iterate continuously based on evidence rather than assumption.</w:t>
      </w:r>
    </w:p>
    <w:p>
      <w:pPr>
        <w:pStyle w:val="Heading1"/>
        <w:pBdr>
          <w:bottom w:val="single" w:color="E8F1FB" w:sz="6" w:space="6"/>
        </w:pBdr>
        <w:spacing w:after="180" w:before="420"/>
      </w:pPr>
      <w:r>
        <w:rPr>
          <w:rFonts w:ascii="Cambria" w:cs="Cambria" w:eastAsia="Cambria" w:hAnsi="Cambria"/>
          <w:b/>
          <w:bCs/>
          <w:color w:val="0B3D6B"/>
          <w:sz w:val="32"/>
          <w:szCs w:val="32"/>
        </w:rPr>
        <w:t xml:space="preserve">10. Advantages and Limitations</w:t>
      </w:r>
    </w:p>
    <w:p>
      <w:pPr>
        <w:spacing w:after="160" w:line="300"/>
        <w:jc w:val="both"/>
      </w:pPr>
      <w:r>
        <w:rPr>
          <w:rFonts w:ascii="Calibri" w:cs="Calibri" w:eastAsia="Calibri" w:hAnsi="Calibri"/>
          <w:color w:val="1B2A41"/>
          <w:sz w:val="22"/>
          <w:szCs w:val="22"/>
        </w:rPr>
        <w:t xml:space="preserve">Like any tool, Google Analytics carries a distinct set of strengths as well as constraints that should be understood before relying on it as a sole source of truth.</w:t>
      </w:r>
    </w:p>
    <w:tbl>
      <w:tblPr>
        <w:tblW w:type="dxa" w:w="9000"/>
        <w:tblBorders>
          <w:top w:val="single" w:color="D3E6F8" w:sz="2"/>
          <w:left w:val="single" w:color="D3E6F8" w:sz="2"/>
          <w:bottom w:val="single" w:color="D3E6F8" w:sz="2"/>
          <w:right w:val="single" w:color="D3E6F8" w:sz="2"/>
          <w:insideH w:val="single" w:color="D3E6F8" w:sz="2"/>
          <w:insideV w:val="single" w:color="D3E6F8" w:sz="2"/>
        </w:tblBorders>
      </w:tblPr>
      <w:tblGrid>
        <w:gridCol w:w="4500"/>
        <w:gridCol w:w="4500"/>
      </w:tblGrid>
      <w:tr>
        <w:trPr>
          <w:tblHeader/>
        </w:trPr>
        <w:tc>
          <w:tcPr>
            <w:tcW w:type="dxa" w:w="4500"/>
            <w:shd w:fill="0B3D6B"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Advantages</w:t>
            </w:r>
          </w:p>
        </w:tc>
        <w:tc>
          <w:tcPr>
            <w:tcW w:type="dxa" w:w="4500"/>
            <w:shd w:fill="1565C0" w:val="clear"/>
            <w:tcMar>
              <w:top w:type="dxa" w:w="100"/>
              <w:left w:type="dxa" w:w="150"/>
              <w:bottom w:type="dxa" w:w="100"/>
              <w:right w:type="dxa" w:w="150"/>
            </w:tcMar>
            <w:vAlign w:val="center"/>
          </w:tcPr>
          <w:p>
            <w:pPr>
              <w:jc w:val="center"/>
            </w:pPr>
            <w:r>
              <w:rPr>
                <w:rFonts w:ascii="Calibri" w:cs="Calibri" w:eastAsia="Calibri" w:hAnsi="Calibri"/>
                <w:b/>
                <w:bCs/>
                <w:i w:val="false"/>
                <w:iCs w:val="false"/>
                <w:color w:val="FFFFFF"/>
                <w:sz w:val="20"/>
                <w:szCs w:val="20"/>
              </w:rPr>
              <w:t xml:space="preserve">Limitations</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Free to use for the vast majority of businesses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Data sampling can occur in very high-traffic properties on certain reports</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Real-time and historical insights in a single platform</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Presents a steep learning curve for first-time users</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Deep, native integration with Google Ads and other Google products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Privacy regulations (e.g., GDPR, cookie consent) limit some tracking capability</w:t>
            </w:r>
          </w:p>
        </w:tc>
      </w:tr>
      <w:tr>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Highly customizable reports and dashboards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Requires careful, proper setup to ensure data accuracy</w:t>
            </w:r>
          </w:p>
        </w:tc>
      </w:tr>
      <w:tr>
        <w:tc>
          <w:tcPr>
            <w:tcW w:type="dxa" w:w="4500"/>
            <w:shd w:fill="E8F1FB"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Scalable from small blogs to large multinational businesses</w:t>
            </w:r>
          </w:p>
        </w:tc>
        <w:tc>
          <w:tcPr>
            <w:tcW w:type="dxa" w:w="4500"/>
            <w:shd w:fill="FFFFFF" w:val="clear"/>
            <w:tcMar>
              <w:top w:type="dxa" w:w="100"/>
              <w:left w:type="dxa" w:w="150"/>
              <w:bottom w:type="dxa" w:w="100"/>
              <w:right w:type="dxa" w:w="150"/>
            </w:tcMar>
            <w:vAlign w:val="center"/>
          </w:tcPr>
          <w:p>
            <w:pPr>
              <w:jc w:val="left"/>
            </w:pPr>
            <w:r>
              <w:rPr>
                <w:rFonts w:ascii="Calibri" w:cs="Calibri" w:eastAsia="Calibri" w:hAnsi="Calibri"/>
                <w:b w:val="false"/>
                <w:bCs w:val="false"/>
                <w:i w:val="false"/>
                <w:iCs w:val="false"/>
                <w:color w:val="1B2A41"/>
                <w:sz w:val="20"/>
                <w:szCs w:val="20"/>
              </w:rPr>
              <w:t xml:space="preserve">Cross-device tracking can be imperfect without additional configuration such as User-ID</w:t>
            </w:r>
          </w:p>
        </w:tc>
      </w:tr>
    </w:tbl>
    <w:p>
      <w:pPr>
        <w:spacing w:after="200"/>
      </w:pPr>
      <w:r>
        <w:t xml:space="preserve"/>
      </w:r>
    </w:p>
    <w:p>
      <w:pPr>
        <w:spacing w:after="160" w:line="300"/>
        <w:jc w:val="both"/>
      </w:pPr>
      <w:r>
        <w:rPr>
          <w:rFonts w:ascii="Calibri" w:cs="Calibri" w:eastAsia="Calibri" w:hAnsi="Calibri"/>
          <w:color w:val="1B2A41"/>
          <w:sz w:val="22"/>
          <w:szCs w:val="22"/>
        </w:rPr>
        <w:t xml:space="preserve">On balance, the advantages of Google Analytics considerably outweigh its limitations for the majority of organizations, particularly given its zero-cost entry point. However, teams should remain aware of its constraints — particularly around sampling and privacy-driven data gaps — when making high-stakes decisions based solely on GA4 data.</w:t>
      </w:r>
    </w:p>
    <w:p>
      <w:pPr>
        <w:pStyle w:val="Heading1"/>
        <w:pBdr>
          <w:bottom w:val="single" w:color="E8F1FB" w:sz="6" w:space="6"/>
        </w:pBdr>
        <w:spacing w:after="180" w:before="420"/>
      </w:pPr>
      <w:r>
        <w:rPr>
          <w:rFonts w:ascii="Cambria" w:cs="Cambria" w:eastAsia="Cambria" w:hAnsi="Cambria"/>
          <w:b/>
          <w:bCs/>
          <w:color w:val="0B3D6B"/>
          <w:sz w:val="32"/>
          <w:szCs w:val="32"/>
        </w:rPr>
        <w:t xml:space="preserve">11. Best Practices and Common Mistakes</w:t>
      </w:r>
    </w:p>
    <w:p>
      <w:pPr>
        <w:pStyle w:val="Heading2"/>
        <w:spacing w:after="110" w:before="260"/>
      </w:pPr>
      <w:r>
        <w:rPr>
          <w:rFonts w:ascii="Cambria" w:cs="Cambria" w:eastAsia="Cambria" w:hAnsi="Cambria"/>
          <w:b/>
          <w:bCs/>
          <w:color w:val="1565C0"/>
          <w:sz w:val="25"/>
          <w:szCs w:val="25"/>
        </w:rPr>
        <w:t xml:space="preserve">11.1 Best Practices</w:t>
      </w:r>
    </w:p>
    <w:p>
      <w:pPr>
        <w:pStyle w:val="ListParagraph"/>
        <w:numPr>
          <w:ilvl w:val="0"/>
          <w:numId w:val="3"/>
        </w:numPr>
        <w:spacing w:after="90"/>
      </w:pPr>
      <w:r>
        <w:rPr>
          <w:rFonts w:ascii="Calibri" w:cs="Calibri" w:eastAsia="Calibri" w:hAnsi="Calibri"/>
          <w:color w:val="1B2A41"/>
          <w:sz w:val="22"/>
          <w:szCs w:val="22"/>
        </w:rPr>
        <w:t xml:space="preserve">Track Goals — define clear conversion (key) events that are directly aligned to real business KPIs, rather than tracking everything indiscriminately.</w:t>
      </w:r>
    </w:p>
    <w:p>
      <w:pPr>
        <w:pStyle w:val="ListParagraph"/>
        <w:numPr>
          <w:ilvl w:val="0"/>
          <w:numId w:val="3"/>
        </w:numPr>
        <w:spacing w:after="90"/>
      </w:pPr>
      <w:r>
        <w:rPr>
          <w:rFonts w:ascii="Calibri" w:cs="Calibri" w:eastAsia="Calibri" w:hAnsi="Calibri"/>
          <w:color w:val="1B2A41"/>
          <w:sz w:val="22"/>
          <w:szCs w:val="22"/>
        </w:rPr>
        <w:t xml:space="preserve">Monitor KPIs Regularly — review dashboards on a consistent, scheduled cadence rather than only when problems are suspected.</w:t>
      </w:r>
    </w:p>
    <w:p>
      <w:pPr>
        <w:pStyle w:val="ListParagraph"/>
        <w:numPr>
          <w:ilvl w:val="0"/>
          <w:numId w:val="3"/>
        </w:numPr>
        <w:spacing w:after="90"/>
      </w:pPr>
      <w:r>
        <w:rPr>
          <w:rFonts w:ascii="Calibri" w:cs="Calibri" w:eastAsia="Calibri" w:hAnsi="Calibri"/>
          <w:color w:val="1B2A41"/>
          <w:sz w:val="22"/>
          <w:szCs w:val="22"/>
        </w:rPr>
        <w:t xml:space="preserve">Use Custom Dashboards — build views tailored to the specific needs of each stakeholder group, from executives to individual campaign managers.</w:t>
      </w:r>
    </w:p>
    <w:p>
      <w:pPr>
        <w:pStyle w:val="ListParagraph"/>
        <w:numPr>
          <w:ilvl w:val="0"/>
          <w:numId w:val="3"/>
        </w:numPr>
        <w:spacing w:after="90"/>
      </w:pPr>
      <w:r>
        <w:rPr>
          <w:rFonts w:ascii="Calibri" w:cs="Calibri" w:eastAsia="Calibri" w:hAnsi="Calibri"/>
          <w:color w:val="1B2A41"/>
          <w:sz w:val="22"/>
          <w:szCs w:val="22"/>
        </w:rPr>
        <w:t xml:space="preserve">Segment Audiences — always analyze specific user groups separately before drawing broad conclusions from aggregate data.</w:t>
      </w:r>
    </w:p>
    <w:p>
      <w:pPr>
        <w:pStyle w:val="ListParagraph"/>
        <w:numPr>
          <w:ilvl w:val="0"/>
          <w:numId w:val="3"/>
        </w:numPr>
        <w:spacing w:after="90"/>
      </w:pPr>
      <w:r>
        <w:rPr>
          <w:rFonts w:ascii="Calibri" w:cs="Calibri" w:eastAsia="Calibri" w:hAnsi="Calibri"/>
          <w:color w:val="1B2A41"/>
          <w:sz w:val="22"/>
          <w:szCs w:val="22"/>
        </w:rPr>
        <w:t xml:space="preserve">Analyze Trends, Not Snapshots — base decisions on patterns over time rather than any single day's fluctuation.</w:t>
      </w:r>
    </w:p>
    <w:p>
      <w:pPr>
        <w:pStyle w:val="ListParagraph"/>
        <w:numPr>
          <w:ilvl w:val="0"/>
          <w:numId w:val="3"/>
        </w:numPr>
        <w:spacing w:after="90"/>
      </w:pPr>
      <w:r>
        <w:rPr>
          <w:rFonts w:ascii="Calibri" w:cs="Calibri" w:eastAsia="Calibri" w:hAnsi="Calibri"/>
          <w:color w:val="1B2A41"/>
          <w:sz w:val="22"/>
          <w:szCs w:val="22"/>
        </w:rPr>
        <w:t xml:space="preserve">Make Data-Driven Decisions — use analytics as genuine input into strategy, not merely as a retrospective reporting exercise.</w:t>
      </w:r>
    </w:p>
    <w:p>
      <w:pPr>
        <w:pStyle w:val="Heading2"/>
        <w:spacing w:after="110" w:before="260"/>
      </w:pPr>
      <w:r>
        <w:rPr>
          <w:rFonts w:ascii="Cambria" w:cs="Cambria" w:eastAsia="Cambria" w:hAnsi="Cambria"/>
          <w:b/>
          <w:bCs/>
          <w:color w:val="1565C0"/>
          <w:sz w:val="25"/>
          <w:szCs w:val="25"/>
        </w:rPr>
        <w:t xml:space="preserve">11.2 Common Mistakes to Avoid</w:t>
      </w:r>
    </w:p>
    <w:p>
      <w:pPr>
        <w:pStyle w:val="ListParagraph"/>
        <w:numPr>
          <w:ilvl w:val="0"/>
          <w:numId w:val="3"/>
        </w:numPr>
        <w:spacing w:after="90"/>
      </w:pPr>
      <w:r>
        <w:rPr>
          <w:rFonts w:ascii="Calibri" w:cs="Calibri" w:eastAsia="Calibri" w:hAnsi="Calibri"/>
          <w:color w:val="1B2A41"/>
          <w:sz w:val="22"/>
          <w:szCs w:val="22"/>
        </w:rPr>
        <w:t xml:space="preserve">Ignoring data sampling warnings when working with very large date ranges or high-traffic properties.</w:t>
      </w:r>
    </w:p>
    <w:p>
      <w:pPr>
        <w:pStyle w:val="ListParagraph"/>
        <w:numPr>
          <w:ilvl w:val="0"/>
          <w:numId w:val="3"/>
        </w:numPr>
        <w:spacing w:after="90"/>
      </w:pPr>
      <w:r>
        <w:rPr>
          <w:rFonts w:ascii="Calibri" w:cs="Calibri" w:eastAsia="Calibri" w:hAnsi="Calibri"/>
          <w:color w:val="1B2A41"/>
          <w:sz w:val="22"/>
          <w:szCs w:val="22"/>
        </w:rPr>
        <w:t xml:space="preserve">Leaving internal or staff traffic untracked and unfiltered, which artificially inflates key metrics.</w:t>
      </w:r>
    </w:p>
    <w:p>
      <w:pPr>
        <w:pStyle w:val="ListParagraph"/>
        <w:numPr>
          <w:ilvl w:val="0"/>
          <w:numId w:val="3"/>
        </w:numPr>
        <w:spacing w:after="90"/>
      </w:pPr>
      <w:r>
        <w:rPr>
          <w:rFonts w:ascii="Calibri" w:cs="Calibri" w:eastAsia="Calibri" w:hAnsi="Calibri"/>
          <w:color w:val="1B2A41"/>
          <w:sz w:val="22"/>
          <w:szCs w:val="22"/>
        </w:rPr>
        <w:t xml:space="preserve">Relying solely on default, pre-built reports without ever using Explore for deeper, custom analysis.</w:t>
      </w:r>
    </w:p>
    <w:p>
      <w:pPr>
        <w:pStyle w:val="ListParagraph"/>
        <w:numPr>
          <w:ilvl w:val="0"/>
          <w:numId w:val="3"/>
        </w:numPr>
        <w:spacing w:after="90"/>
      </w:pPr>
      <w:r>
        <w:rPr>
          <w:rFonts w:ascii="Calibri" w:cs="Calibri" w:eastAsia="Calibri" w:hAnsi="Calibri"/>
          <w:color w:val="1B2A41"/>
          <w:sz w:val="22"/>
          <w:szCs w:val="22"/>
        </w:rPr>
        <w:t xml:space="preserve">Chasing vanity metrics, such as raw pageviews, instead of metrics tied to real business outcomes.</w:t>
      </w:r>
    </w:p>
    <w:p>
      <w:pPr>
        <w:pStyle w:val="ListParagraph"/>
        <w:numPr>
          <w:ilvl w:val="0"/>
          <w:numId w:val="3"/>
        </w:numPr>
        <w:spacing w:after="90"/>
      </w:pPr>
      <w:r>
        <w:rPr>
          <w:rFonts w:ascii="Calibri" w:cs="Calibri" w:eastAsia="Calibri" w:hAnsi="Calibri"/>
          <w:color w:val="1B2A41"/>
          <w:sz w:val="22"/>
          <w:szCs w:val="22"/>
        </w:rPr>
        <w:t xml:space="preserve">Skipping regular audits of tracking implementation, allowing broken tags or misconfigured events to silently corrupt data over time.</w:t>
      </w:r>
    </w:p>
    <w:p>
      <w:pPr>
        <w:pStyle w:val="Heading1"/>
        <w:pBdr>
          <w:bottom w:val="single" w:color="E8F1FB" w:sz="6" w:space="6"/>
        </w:pBdr>
        <w:spacing w:after="180" w:before="420"/>
      </w:pPr>
      <w:r>
        <w:rPr>
          <w:rFonts w:ascii="Cambria" w:cs="Cambria" w:eastAsia="Cambria" w:hAnsi="Cambria"/>
          <w:b/>
          <w:bCs/>
          <w:color w:val="0B3D6B"/>
          <w:sz w:val="32"/>
          <w:szCs w:val="32"/>
        </w:rPr>
        <w:t xml:space="preserve">12. The Future of Google Analytics</w:t>
      </w:r>
    </w:p>
    <w:p>
      <w:pPr>
        <w:spacing w:after="160" w:line="300"/>
        <w:jc w:val="both"/>
      </w:pPr>
      <w:r>
        <w:rPr>
          <w:rFonts w:ascii="Calibri" w:cs="Calibri" w:eastAsia="Calibri" w:hAnsi="Calibri"/>
          <w:color w:val="1B2A41"/>
          <w:sz w:val="22"/>
          <w:szCs w:val="22"/>
        </w:rPr>
        <w:t xml:space="preserve">Google Analytics continues to evolve rapidly, shaped by advances in artificial intelligence, tightening privacy regulation, and the growing need for unified, cross-platform measurement.</w:t>
      </w:r>
    </w:p>
    <w:p>
      <w:pPr>
        <w:spacing w:after="100"/>
      </w:pPr>
      <w:r>
        <w:rPr>
          <w:rFonts w:ascii="Calibri" w:cs="Calibri" w:eastAsia="Calibri" w:hAnsi="Calibri"/>
          <w:b/>
          <w:bCs/>
          <w:color w:val="0B3D6B"/>
          <w:sz w:val="22"/>
          <w:szCs w:val="22"/>
        </w:rPr>
        <w:t xml:space="preserve">AI-Powered Insights — </w:t>
      </w:r>
      <w:r>
        <w:rPr>
          <w:rFonts w:ascii="Calibri" w:cs="Calibri" w:eastAsia="Calibri" w:hAnsi="Calibri"/>
          <w:color w:val="1B2A41"/>
          <w:sz w:val="22"/>
          <w:szCs w:val="22"/>
        </w:rPr>
        <w:t xml:space="preserve">GA4 already surfaces predictive metrics such as purchase probability and churn probability, generated automatically through machine learning. Future iterations are expected to expand this predictive capability significantly, surfacing recommendations rather than just raw numbers.</w:t>
      </w:r>
    </w:p>
    <w:p>
      <w:pPr>
        <w:spacing w:after="100"/>
      </w:pPr>
      <w:r>
        <w:rPr>
          <w:rFonts w:ascii="Calibri" w:cs="Calibri" w:eastAsia="Calibri" w:hAnsi="Calibri"/>
          <w:b/>
          <w:bCs/>
          <w:color w:val="0B3D6B"/>
          <w:sz w:val="22"/>
          <w:szCs w:val="22"/>
        </w:rPr>
        <w:t xml:space="preserve">Privacy-First Analytics — </w:t>
      </w:r>
      <w:r>
        <w:rPr>
          <w:rFonts w:ascii="Calibri" w:cs="Calibri" w:eastAsia="Calibri" w:hAnsi="Calibri"/>
          <w:color w:val="1B2A41"/>
          <w:sz w:val="22"/>
          <w:szCs w:val="22"/>
        </w:rPr>
        <w:t xml:space="preserve">As third-party cookies are phased out and privacy regulation tightens globally, GA4's behavioural modeling is designed to fill data gaps while still respecting user consent choices, ensuring measurement remains reliable in a more privacy-conscious environment.</w:t>
      </w:r>
    </w:p>
    <w:p>
      <w:pPr>
        <w:spacing w:after="100"/>
      </w:pPr>
      <w:r>
        <w:rPr>
          <w:rFonts w:ascii="Calibri" w:cs="Calibri" w:eastAsia="Calibri" w:hAnsi="Calibri"/>
          <w:b/>
          <w:bCs/>
          <w:color w:val="0B3D6B"/>
          <w:sz w:val="22"/>
          <w:szCs w:val="22"/>
        </w:rPr>
        <w:t xml:space="preserve">Unified Cross-Platform Data — </w:t>
      </w:r>
      <w:r>
        <w:rPr>
          <w:rFonts w:ascii="Calibri" w:cs="Calibri" w:eastAsia="Calibri" w:hAnsi="Calibri"/>
          <w:color w:val="1B2A41"/>
          <w:sz w:val="22"/>
          <w:szCs w:val="22"/>
        </w:rPr>
        <w:t xml:space="preserve">Deeper integration with BigQuery and other data warehousing tools is enabling richer blending of web, app, and offline data sources into a single, unified customer view.</w:t>
      </w:r>
    </w:p>
    <w:p>
      <w:pPr>
        <w:spacing w:after="100"/>
      </w:pPr>
      <w:r>
        <w:rPr>
          <w:rFonts w:ascii="Calibri" w:cs="Calibri" w:eastAsia="Calibri" w:hAnsi="Calibri"/>
          <w:b/>
          <w:bCs/>
          <w:color w:val="0B3D6B"/>
          <w:sz w:val="22"/>
          <w:szCs w:val="22"/>
        </w:rPr>
        <w:t xml:space="preserve">Automated, Natural-Language Reporting — </w:t>
      </w:r>
      <w:r>
        <w:rPr>
          <w:rFonts w:ascii="Calibri" w:cs="Calibri" w:eastAsia="Calibri" w:hAnsi="Calibri"/>
          <w:color w:val="1B2A41"/>
          <w:sz w:val="22"/>
          <w:szCs w:val="22"/>
        </w:rPr>
        <w:t xml:space="preserve">Emerging features aim to generate natural-language summaries and automatic anomaly alerts, substantially reducing the manual effort currently required to interpret dashboards and charts.</w:t>
      </w:r>
    </w:p>
    <w:p>
      <w:pPr>
        <w:pStyle w:val="Heading1"/>
        <w:pBdr>
          <w:bottom w:val="single" w:color="E8F1FB" w:sz="6" w:space="6"/>
        </w:pBdr>
        <w:spacing w:after="180" w:before="420"/>
      </w:pPr>
      <w:r>
        <w:rPr>
          <w:rFonts w:ascii="Cambria" w:cs="Cambria" w:eastAsia="Cambria" w:hAnsi="Cambria"/>
          <w:b/>
          <w:bCs/>
          <w:color w:val="0B3D6B"/>
          <w:sz w:val="32"/>
          <w:szCs w:val="32"/>
        </w:rPr>
        <w:t xml:space="preserve">13. Conclusion</w:t>
      </w:r>
    </w:p>
    <w:p>
      <w:pPr>
        <w:spacing w:after="160" w:line="300"/>
        <w:jc w:val="both"/>
      </w:pPr>
      <w:r>
        <w:rPr>
          <w:rFonts w:ascii="Calibri" w:cs="Calibri" w:eastAsia="Calibri" w:hAnsi="Calibri"/>
          <w:color w:val="1B2A41"/>
          <w:sz w:val="22"/>
          <w:szCs w:val="22"/>
        </w:rPr>
        <w:t xml:space="preserve">Google Analytics transforms raw website and app data into clear, actionable insights that would otherwise remain hidden within server logs and disconnected platform dashboards. Through its comprehensive feature set — spanning traffic monitoring, demographic analysis, event tracking, and conversion measurement — it empowers businesses to evaluate marketing strategies and audience behaviour with a level of precision that was simply not possible in earlier eras of digital marketing.</w:t>
      </w:r>
    </w:p>
    <w:p>
      <w:pPr>
        <w:spacing w:after="160" w:line="300"/>
        <w:jc w:val="both"/>
      </w:pPr>
      <w:r>
        <w:rPr>
          <w:rFonts w:ascii="Calibri" w:cs="Calibri" w:eastAsia="Calibri" w:hAnsi="Calibri"/>
          <w:color w:val="1B2A41"/>
          <w:sz w:val="22"/>
          <w:szCs w:val="22"/>
        </w:rPr>
        <w:t xml:space="preserve">Custom reports and dashboards enable precise, goal-oriented performance tracking tailored to each stakeholder's needs, while the underlying event-based architecture of GA4 ensures that this measurement remains consistent across web and mobile app experiences alike. As covered throughout this report, successful use of Google Analytics depends not just on technical setup, but on disciplined practices: defining meaningful goals, auditing data quality regularly, and interpreting trends rather than isolated data points.</w:t>
      </w:r>
    </w:p>
    <w:p>
      <w:pPr>
        <w:spacing w:after="160" w:line="300"/>
        <w:jc w:val="both"/>
      </w:pPr>
      <w:r>
        <w:rPr>
          <w:rFonts w:ascii="Calibri" w:cs="Calibri" w:eastAsia="Calibri" w:hAnsi="Calibri"/>
          <w:color w:val="1B2A41"/>
          <w:sz w:val="22"/>
          <w:szCs w:val="22"/>
        </w:rPr>
        <w:t xml:space="preserve">Ultimately, Google Analytics helps businesses of every size and industry improve website performance, refine marketing strategies, and make confident, data-driven decisions that support sustainable, long-term growth. As the platform continues to evolve with deeper AI integration and stronger privacy safeguards, its role as the backbone of digital measurement is likely to grow even further in the years ahead.</w:t>
      </w:r>
    </w:p>
    <w:p>
      <w:pPr>
        <w:pStyle w:val="Heading1"/>
        <w:pBdr>
          <w:bottom w:val="single" w:color="E8F1FB" w:sz="6" w:space="6"/>
        </w:pBdr>
        <w:spacing w:after="180" w:before="420"/>
      </w:pPr>
      <w:r>
        <w:rPr>
          <w:rFonts w:ascii="Cambria" w:cs="Cambria" w:eastAsia="Cambria" w:hAnsi="Cambria"/>
          <w:b/>
          <w:bCs/>
          <w:color w:val="0B3D6B"/>
          <w:sz w:val="32"/>
          <w:szCs w:val="32"/>
        </w:rPr>
        <w:t xml:space="preserve">14. References</w:t>
      </w:r>
    </w:p>
    <w:p>
      <w:pPr>
        <w:spacing w:after="90"/>
      </w:pPr>
      <w:r>
        <w:rPr>
          <w:rFonts w:ascii="Calibri" w:cs="Calibri" w:eastAsia="Calibri" w:hAnsi="Calibri"/>
          <w:color w:val="1B2A41"/>
          <w:sz w:val="22"/>
          <w:szCs w:val="22"/>
        </w:rPr>
        <w:t xml:space="preserve">Google Analytics Help Center  —  </w:t>
      </w:r>
      <w:r>
        <w:rPr>
          <w:rFonts w:ascii="Calibri" w:cs="Calibri" w:eastAsia="Calibri" w:hAnsi="Calibri"/>
          <w:i/>
          <w:iCs/>
          <w:color w:val="5B7185"/>
          <w:sz w:val="22"/>
          <w:szCs w:val="22"/>
        </w:rPr>
        <w:t xml:space="preserve">support.google.com/analytics</w:t>
      </w:r>
    </w:p>
    <w:p>
      <w:pPr>
        <w:spacing w:after="90"/>
      </w:pPr>
      <w:r>
        <w:rPr>
          <w:rFonts w:ascii="Calibri" w:cs="Calibri" w:eastAsia="Calibri" w:hAnsi="Calibri"/>
          <w:color w:val="1B2A41"/>
          <w:sz w:val="22"/>
          <w:szCs w:val="22"/>
        </w:rPr>
        <w:t xml:space="preserve">Google Analytics Academy (Skillshop)  —  </w:t>
      </w:r>
      <w:r>
        <w:rPr>
          <w:rFonts w:ascii="Calibri" w:cs="Calibri" w:eastAsia="Calibri" w:hAnsi="Calibri"/>
          <w:i/>
          <w:iCs/>
          <w:color w:val="5B7185"/>
          <w:sz w:val="22"/>
          <w:szCs w:val="22"/>
        </w:rPr>
        <w:t xml:space="preserve">skillshop.withgoogle.com</w:t>
      </w:r>
    </w:p>
    <w:p>
      <w:pPr>
        <w:spacing w:after="90"/>
      </w:pPr>
      <w:r>
        <w:rPr>
          <w:rFonts w:ascii="Calibri" w:cs="Calibri" w:eastAsia="Calibri" w:hAnsi="Calibri"/>
          <w:color w:val="1B2A41"/>
          <w:sz w:val="22"/>
          <w:szCs w:val="22"/>
        </w:rPr>
        <w:t xml:space="preserve">Google Developers – Analytics  —  </w:t>
      </w:r>
      <w:r>
        <w:rPr>
          <w:rFonts w:ascii="Calibri" w:cs="Calibri" w:eastAsia="Calibri" w:hAnsi="Calibri"/>
          <w:i/>
          <w:iCs/>
          <w:color w:val="5B7185"/>
          <w:sz w:val="22"/>
          <w:szCs w:val="22"/>
        </w:rPr>
        <w:t xml:space="preserve">developers.google.com/analytics</w:t>
      </w:r>
    </w:p>
    <w:p>
      <w:pPr>
        <w:spacing w:after="90"/>
      </w:pPr>
      <w:r>
        <w:rPr>
          <w:rFonts w:ascii="Calibri" w:cs="Calibri" w:eastAsia="Calibri" w:hAnsi="Calibri"/>
          <w:color w:val="1B2A41"/>
          <w:sz w:val="22"/>
          <w:szCs w:val="22"/>
        </w:rPr>
        <w:t xml:space="preserve">Think with Google – Marketing Insights  —  </w:t>
      </w:r>
      <w:r>
        <w:rPr>
          <w:rFonts w:ascii="Calibri" w:cs="Calibri" w:eastAsia="Calibri" w:hAnsi="Calibri"/>
          <w:i/>
          <w:iCs/>
          <w:color w:val="5B7185"/>
          <w:sz w:val="22"/>
          <w:szCs w:val="22"/>
        </w:rPr>
        <w:t xml:space="preserve">thinkwithgoogle.com</w:t>
      </w:r>
    </w:p>
    <w:p>
      <w:pPr>
        <w:spacing w:after="90"/>
      </w:pPr>
      <w:r>
        <w:rPr>
          <w:rFonts w:ascii="Calibri" w:cs="Calibri" w:eastAsia="Calibri" w:hAnsi="Calibri"/>
          <w:color w:val="1B2A41"/>
          <w:sz w:val="22"/>
          <w:szCs w:val="22"/>
        </w:rPr>
        <w:t xml:space="preserve">Google Tag Manager Documentation  —  </w:t>
      </w:r>
      <w:r>
        <w:rPr>
          <w:rFonts w:ascii="Calibri" w:cs="Calibri" w:eastAsia="Calibri" w:hAnsi="Calibri"/>
          <w:i/>
          <w:iCs/>
          <w:color w:val="5B7185"/>
          <w:sz w:val="22"/>
          <w:szCs w:val="22"/>
        </w:rPr>
        <w:t xml:space="preserve">support.google.com/tagmanager</w:t>
      </w:r>
    </w:p>
    <w:p>
      <w:pPr>
        <w:spacing w:after="90"/>
      </w:pPr>
      <w:r>
        <w:rPr>
          <w:rFonts w:ascii="Calibri" w:cs="Calibri" w:eastAsia="Calibri" w:hAnsi="Calibri"/>
          <w:color w:val="1B2A41"/>
          <w:sz w:val="22"/>
          <w:szCs w:val="22"/>
        </w:rPr>
        <w:t xml:space="preserve">Google Analytics 4 Migration Guide, Google  —  </w:t>
      </w:r>
      <w:r>
        <w:rPr>
          <w:rFonts w:ascii="Calibri" w:cs="Calibri" w:eastAsia="Calibri" w:hAnsi="Calibri"/>
          <w:i/>
          <w:iCs/>
          <w:color w:val="5B7185"/>
          <w:sz w:val="22"/>
          <w:szCs w:val="22"/>
        </w:rPr>
        <w:t xml:space="preserve">support.google.com/analytics/answer/10759417</w:t>
      </w:r>
    </w:p>
    <w:p>
      <w:pPr>
        <w:spacing w:after="90"/>
      </w:pPr>
      <w:r>
        <w:rPr>
          <w:rFonts w:ascii="Calibri" w:cs="Calibri" w:eastAsia="Calibri" w:hAnsi="Calibri"/>
          <w:color w:val="1B2A41"/>
          <w:sz w:val="22"/>
          <w:szCs w:val="22"/>
        </w:rPr>
        <w:t xml:space="preserve">CodTech IT Solutions – Internship Resources  —  </w:t>
      </w:r>
      <w:r>
        <w:rPr>
          <w:rFonts w:ascii="Calibri" w:cs="Calibri" w:eastAsia="Calibri" w:hAnsi="Calibri"/>
          <w:i/>
          <w:iCs/>
          <w:color w:val="5B7185"/>
          <w:sz w:val="22"/>
          <w:szCs w:val="22"/>
        </w:rPr>
        <w:t xml:space="preserve">codtech.in</w:t>
      </w:r>
    </w:p>
    <w:sectPr>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1FB" w:sz="4" w:space="4"/>
      </w:pBdr>
      <w:tabs>
        <w:tab w:val="right" w:pos="9026"/>
      </w:tabs>
    </w:pPr>
    <w:r>
      <w:rPr>
        <w:rFonts w:ascii="Calibri" w:cs="Calibri" w:eastAsia="Calibri" w:hAnsi="Calibri"/>
        <w:color w:val="5B7185"/>
        <w:sz w:val="16"/>
        <w:szCs w:val="16"/>
      </w:rPr>
      <w:t xml:space="preserve">Google Analytics Report Building  |  CodTech IT Solutions Pvt. Ltd.</w:t>
    </w:r>
    <w:r>
      <w:t xml:space="preserve">	</w:t>
    </w:r>
    <w:r>
      <w:rPr>
        <w:rFonts w:ascii="Calibri" w:cs="Calibri" w:eastAsia="Calibri" w:hAnsi="Calibri"/>
        <w:color w:val="5B718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1FB" w:sz="4" w:space="4"/>
      </w:pBdr>
      <w:tabs>
        <w:tab w:val="right" w:pos="9026"/>
      </w:tabs>
    </w:pPr>
    <w:r>
      <w:rPr>
        <w:rFonts w:ascii="Calibri" w:cs="Calibri" w:eastAsia="Calibri" w:hAnsi="Calibri"/>
        <w:color w:val="5B7185"/>
        <w:sz w:val="16"/>
        <w:szCs w:val="16"/>
      </w:rPr>
      <w:t xml:space="preserve">Google Analytics Report Building  |  CodTech IT Solutions Pvt. Ltd.</w:t>
    </w:r>
    <w:r>
      <w:t xml:space="preserve">	</w:t>
    </w:r>
    <w:r>
      <w:rPr>
        <w:rFonts w:ascii="Calibri" w:cs="Calibri" w:eastAsia="Calibri" w:hAnsi="Calibri"/>
        <w:color w:val="5B71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Analytics Report Building</dc:title>
  <dc:creator>Satyam</dc:creator>
  <cp:lastModifiedBy>Un-named</cp:lastModifiedBy>
  <cp:revision>1</cp:revision>
  <dcterms:created xsi:type="dcterms:W3CDTF">2026-07-04T10:57:12.899Z</dcterms:created>
  <dcterms:modified xsi:type="dcterms:W3CDTF">2026-07-04T10:57:12.908Z</dcterms:modified>
</cp:coreProperties>
</file>

<file path=docProps/custom.xml><?xml version="1.0" encoding="utf-8"?>
<Properties xmlns="http://schemas.openxmlformats.org/officeDocument/2006/custom-properties" xmlns:vt="http://schemas.openxmlformats.org/officeDocument/2006/docPropsVTypes"/>
</file>