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Clinical Decision Support System</w:t>
      </w:r>
    </w:p>
    <w:p>
      <w:r>
        <w:t>Requirements Specification | Internal R&amp;D Project | Q4 2026</w:t>
      </w:r>
    </w:p>
    <w:p>
      <w:pPr>
        <w:pStyle w:val="Heading1"/>
      </w:pPr>
      <w:r>
        <w:rPr>
          <w:color w:val="1E40AF"/>
        </w:rPr>
        <w:t>1. Background &amp; Objectives</w:t>
      </w:r>
    </w:p>
    <w:p>
      <w:r>
        <w:t>The clinical informatics team proposes an AI-assisted decision support tool embedded within the existing EHR workflow. The system will analyze patient vitals, lab trends, medication history, and clinical notes to surface evidence-based alerts and treatment suggestions to attending physicians.</w:t>
      </w:r>
    </w:p>
    <w:p>
      <w:r>
        <w:t>Primary objective: reduce diagnostic errors by 20% in ICU settings within 12 months of deployment. The AI must be explainable (SHAP values displayed) and must never autonomously modify patient records.</w:t>
      </w:r>
    </w:p>
    <w:p>
      <w:pPr>
        <w:pStyle w:val="Heading1"/>
      </w:pPr>
      <w:r>
        <w:rPr>
          <w:color w:val="1E40AF"/>
        </w:rPr>
        <w:t>2. User Roles</w:t>
      </w:r>
    </w:p>
    <w:p>
      <w:pPr>
        <w:pStyle w:val="ListBullet"/>
      </w:pPr>
      <w:r>
        <w:rPr>
          <w:b/>
        </w:rPr>
        <w:t xml:space="preserve">Attending Physician: </w:t>
      </w:r>
      <w:r>
        <w:t>Reviews AI recommendations, accepts or dismisses alerts with reason.</w:t>
      </w:r>
    </w:p>
    <w:p>
      <w:pPr>
        <w:pStyle w:val="ListBullet"/>
      </w:pPr>
      <w:r>
        <w:rPr>
          <w:b/>
        </w:rPr>
        <w:t xml:space="preserve">Resident / Intern: </w:t>
      </w:r>
      <w:r>
        <w:t>Receives learning prompts explaining the AI's reasoning for educational value.</w:t>
      </w:r>
    </w:p>
    <w:p>
      <w:pPr>
        <w:pStyle w:val="ListBullet"/>
      </w:pPr>
      <w:r>
        <w:rPr>
          <w:b/>
        </w:rPr>
        <w:t xml:space="preserve">Clinical Informatics Team: </w:t>
      </w:r>
      <w:r>
        <w:t>Monitors model performance, triggers retraining, manages alert thresholds.</w:t>
      </w:r>
    </w:p>
    <w:p>
      <w:pPr>
        <w:pStyle w:val="ListBullet"/>
      </w:pPr>
      <w:r>
        <w:rPr>
          <w:b/>
        </w:rPr>
        <w:t xml:space="preserve">Patient Safety Officer: </w:t>
      </w:r>
      <w:r>
        <w:t>Reviews dismissed alerts and near-miss events monthly.</w:t>
      </w:r>
    </w:p>
    <w:p>
      <w:pPr>
        <w:pStyle w:val="Heading1"/>
      </w:pPr>
      <w:r>
        <w:rPr>
          <w:color w:val="1E40AF"/>
        </w:rPr>
        <w:t>3. Functional Requirements</w:t>
      </w:r>
    </w:p>
    <w:p>
      <w:pPr>
        <w:pStyle w:val="ListBullet"/>
      </w:pPr>
      <w:r>
        <w:rPr>
          <w:b/>
        </w:rPr>
        <w:t xml:space="preserve">[FR-01] [High] </w:t>
      </w:r>
      <w:r>
        <w:t>System shall analyze new lab results within 60 seconds of EHR entry and surface sepsis risk score (SOFA/qSOFA) if criteria met.</w:t>
      </w:r>
    </w:p>
    <w:p>
      <w:pPr>
        <w:pStyle w:val="ListBullet"/>
      </w:pPr>
      <w:r>
        <w:rPr>
          <w:b/>
        </w:rPr>
        <w:t xml:space="preserve">[FR-02] [High] </w:t>
      </w:r>
      <w:r>
        <w:t>Physicians shall see a ranked list of differential diagnoses with supporting evidence links for each recommendation.</w:t>
      </w:r>
    </w:p>
    <w:p>
      <w:pPr>
        <w:pStyle w:val="ListBullet"/>
      </w:pPr>
      <w:r>
        <w:rPr>
          <w:b/>
        </w:rPr>
        <w:t xml:space="preserve">[FR-03] [High] </w:t>
      </w:r>
      <w:r>
        <w:t>All AI alerts must include explainability panel showing top 5 contributing factors (SHAP).</w:t>
      </w:r>
    </w:p>
    <w:p>
      <w:pPr>
        <w:pStyle w:val="ListBullet"/>
      </w:pPr>
      <w:r>
        <w:rPr>
          <w:b/>
        </w:rPr>
        <w:t xml:space="preserve">[FR-04] [High] </w:t>
      </w:r>
      <w:r>
        <w:t>Physicians shall dismiss alerts with a mandatory reason code; dismissed alerts log to audit trail.</w:t>
      </w:r>
    </w:p>
    <w:p>
      <w:pPr>
        <w:pStyle w:val="ListBullet"/>
      </w:pPr>
      <w:r>
        <w:rPr>
          <w:b/>
        </w:rPr>
        <w:t xml:space="preserve">[FR-05] [Medium] </w:t>
      </w:r>
      <w:r>
        <w:t>System shall flag drug-drug interactions not caught by the existing pharmacy system.</w:t>
      </w:r>
    </w:p>
    <w:p>
      <w:pPr>
        <w:pStyle w:val="ListBullet"/>
      </w:pPr>
      <w:r>
        <w:rPr>
          <w:b/>
        </w:rPr>
        <w:t xml:space="preserve">[FR-06] [Medium] </w:t>
      </w:r>
      <w:r>
        <w:t>Clinical informatics team shall adjust alert sensitivity thresholds without code deployment.</w:t>
      </w:r>
    </w:p>
    <w:p>
      <w:pPr>
        <w:pStyle w:val="ListBullet"/>
      </w:pPr>
      <w:r>
        <w:rPr>
          <w:b/>
        </w:rPr>
        <w:t xml:space="preserve">[FR-07] [Medium] </w:t>
      </w:r>
      <w:r>
        <w:t>System shall generate weekly performance reports: alert accuracy, dismissal rates, outcome correlation.</w:t>
      </w:r>
    </w:p>
    <w:p>
      <w:pPr>
        <w:pStyle w:val="ListBullet"/>
      </w:pPr>
      <w:r>
        <w:rPr>
          <w:b/>
        </w:rPr>
        <w:t xml:space="preserve">[FR-08] [Low] </w:t>
      </w:r>
      <w:r>
        <w:t>Residents shall access a "why did the AI flag this?" educational mode with literature citations.</w:t>
      </w:r>
    </w:p>
    <w:p>
      <w:pPr>
        <w:pStyle w:val="Heading1"/>
      </w:pPr>
      <w:r>
        <w:rPr>
          <w:color w:val="1E40AF"/>
        </w:rPr>
        <w:t>4. Compliance &amp; Ethical Requirements</w:t>
      </w:r>
    </w:p>
    <w:p>
      <w:pPr>
        <w:pStyle w:val="ListBullet"/>
      </w:pPr>
      <w:r>
        <w:t>The AI model must be FDA Class II Software as a Medical Device (SaMD) compliant.</w:t>
      </w:r>
    </w:p>
    <w:p>
      <w:pPr>
        <w:pStyle w:val="ListBullet"/>
      </w:pPr>
      <w:r>
        <w:t>Model training data must be de-identified per HIPAA Safe Harbor method.</w:t>
      </w:r>
    </w:p>
    <w:p>
      <w:pPr>
        <w:pStyle w:val="ListBullet"/>
      </w:pPr>
      <w:r>
        <w:t>The system must support model versioning with rollback capability.</w:t>
      </w:r>
    </w:p>
    <w:p>
      <w:pPr>
        <w:pStyle w:val="ListBullet"/>
      </w:pPr>
      <w:r>
        <w:t>Bias audit required quarterly across age, gender, and ethnicity cohorts.</w:t>
      </w:r>
    </w:p>
    <w:p>
      <w:pPr>
        <w:pStyle w:val="ListBullet"/>
      </w:pPr>
      <w:r>
        <w:t>No autonomous treatment decisions — all outputs are advisory only.</w:t>
      </w:r>
    </w:p>
    <w:p>
      <w:pPr>
        <w:pStyle w:val="Heading1"/>
      </w:pPr>
      <w:r>
        <w:rPr>
          <w:color w:val="1E40AF"/>
        </w:rPr>
        <w:t>5. Technical Stack Preference</w:t>
      </w:r>
    </w:p>
    <w:p>
      <w:r>
        <w:t>Preferred: Python (FastAPI) microservice integrated via HL7 FHIR R4 with the EHR. Model: fine-tuned clinical BERT or GPT-4o with RAG over hospital knowledge base. Infrastructure: on-premise GPU cluster (no patient data leaves the hospital network). Monitoring: MLflow for experiment tracking, Grafana for real-time alert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