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Performance Prediction System</w:t>
      </w:r>
    </w:p>
    <w:p>
      <w:pPr>
        <w:jc w:val="center"/>
      </w:pPr>
      <w:r>
        <w:t>Project Report — Satyam</w:t>
        <w:br/>
        <w:t>Version 1.0.0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  <w:br/>
        <w:t>2. Dataset &amp; Preprocessing</w:t>
        <w:br/>
        <w:t>3. Exploratory Data Analysis</w:t>
        <w:br/>
        <w:t>4. Statistical Analysis</w:t>
        <w:br/>
        <w:t>5. Model Development &amp; Evaluation</w:t>
        <w:br/>
        <w:t>6. Explainability (SHAP)</w:t>
        <w:br/>
        <w:t>7. Counterfactual Explanations</w:t>
        <w:br/>
        <w:t>8. Fairness Audit</w:t>
        <w:br/>
        <w:t>9. Cohort Simulator</w:t>
        <w:br/>
        <w:t>10. Dashboard &amp; API</w:t>
        <w:br/>
        <w:t>11. Deployment</w:t>
        <w:br/>
        <w:t>12. Conclusion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project builds a machine learning system that predicts student academic performance (High / Medium / Low) from behavioural engagement data collected through a learning management system. The system goes beyond simple prediction to provide:</w:t>
        <w:br/>
        <w:br/>
        <w:t>• SHAP-based explanations of why each prediction was made</w:t>
        <w:br/>
        <w:t>• Counterfactual suggestions for how to improve outcomes</w:t>
        <w:br/>
        <w:t>• A fairness audit across gender and nationality</w:t>
        <w:br/>
        <w:t>• A Monte Carlo cohort simulator for policy-level decisions</w:t>
        <w:br/>
        <w:br/>
        <w:t>We deliberately avoided deep learning — with a dataset of 478 students, tree ensembles generalize better, stay interpretable, and are appropriate for a decision-support tool in an educational setting.</w:t>
      </w:r>
    </w:p>
    <w:p>
      <w:pPr>
        <w:pStyle w:val="Heading1"/>
      </w:pPr>
      <w:r>
        <w:t>2. Dataset &amp; Preprocessing</w:t>
      </w:r>
    </w:p>
    <w:p>
      <w:r>
        <w:t>Dataset: xAPI-Edu-Data (Amrieh, Hamtini &amp; Aljarah, 2016)</w:t>
        <w:br/>
        <w:t>• Rows (original): 480</w:t>
        <w:br/>
        <w:t>• Rows (after cleaning): 478</w:t>
        <w:br/>
        <w:t>• Duplicates removed: 2</w:t>
        <w:br/>
        <w:t>• Target: Class (L/M/H — Low/Medium/High performance)</w:t>
        <w:br/>
        <w:br/>
        <w:t>Preprocessing steps: whitespace trimming, duplicate removal, missing value imputation (median for numeric, mode for categorical), numeric range validation and clipping.</w:t>
      </w:r>
    </w:p>
    <w:p>
      <w:pPr>
        <w:pStyle w:val="Heading1"/>
      </w:pPr>
      <w:r>
        <w:t>3. Exploratory Data Analysis</w:t>
      </w:r>
    </w:p>
    <w:p>
      <w:r>
        <w:t>See reports/figures/ for the complete set of EDA visualisations. Key findings: high-performing students consistently show higher engagement across all four behavioural metrics (hands raised, resources visited, announcements read, discussion posts). Attendance (StudentAbsenceDays) shows the clearest separation between performance bands.</w:t>
      </w:r>
    </w:p>
    <w:p>
      <w:r>
        <w:drawing>
          <wp:inline xmlns:a="http://schemas.openxmlformats.org/drawingml/2006/main" xmlns:pic="http://schemas.openxmlformats.org/drawingml/2006/picture">
            <wp:extent cx="5029200" cy="31749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74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01 Class Distribution</w:t>
      </w:r>
    </w:p>
    <w:p>
      <w:r>
        <w:drawing>
          <wp:inline xmlns:a="http://schemas.openxmlformats.org/drawingml/2006/main" xmlns:pic="http://schemas.openxmlformats.org/drawingml/2006/picture">
            <wp:extent cx="5029200" cy="31620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umeric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62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02 Numeric Distributions</w:t>
      </w:r>
    </w:p>
    <w:p>
      <w:r>
        <w:drawing>
          <wp:inline xmlns:a="http://schemas.openxmlformats.org/drawingml/2006/main" xmlns:pic="http://schemas.openxmlformats.org/drawingml/2006/picture">
            <wp:extent cx="5029200" cy="16400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oxplots_by_cla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40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03 Boxplots By Class</w:t>
      </w:r>
    </w:p>
    <w:p>
      <w:r>
        <w:drawing>
          <wp:inline xmlns:a="http://schemas.openxmlformats.org/drawingml/2006/main" xmlns:pic="http://schemas.openxmlformats.org/drawingml/2006/picture">
            <wp:extent cx="5029200" cy="38351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rrela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35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04 Correlation Heatmap</w:t>
      </w:r>
    </w:p>
    <w:p>
      <w:r>
        <w:drawing>
          <wp:inline xmlns:a="http://schemas.openxmlformats.org/drawingml/2006/main" xmlns:pic="http://schemas.openxmlformats.org/drawingml/2006/picture">
            <wp:extent cx="5029200" cy="15216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bsence_vs_cla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21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05 Absence Vs Class</w:t>
      </w:r>
    </w:p>
    <w:p>
      <w:r>
        <w:drawing>
          <wp:inline xmlns:a="http://schemas.openxmlformats.org/drawingml/2006/main" xmlns:pic="http://schemas.openxmlformats.org/drawingml/2006/picture">
            <wp:extent cx="5029200" cy="2983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ategorical_pa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06 Categorical Panel</w:t>
      </w:r>
    </w:p>
    <w:p>
      <w:r>
        <w:drawing>
          <wp:inline xmlns:a="http://schemas.openxmlformats.org/drawingml/2006/main" xmlns:pic="http://schemas.openxmlformats.org/drawingml/2006/picture">
            <wp:extent cx="5029200" cy="30079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ffect_size_rank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7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07 Effect Size Ranking</w:t>
      </w:r>
    </w:p>
    <w:p>
      <w:r>
        <w:drawing>
          <wp:inline xmlns:a="http://schemas.openxmlformats.org/drawingml/2006/main" xmlns:pic="http://schemas.openxmlformats.org/drawingml/2006/picture">
            <wp:extent cx="5029200" cy="38953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ngagement_scat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95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08 Engagement Scatter</w:t>
      </w:r>
    </w:p>
    <w:p>
      <w:r>
        <w:drawing>
          <wp:inline xmlns:a="http://schemas.openxmlformats.org/drawingml/2006/main" xmlns:pic="http://schemas.openxmlformats.org/drawingml/2006/picture">
            <wp:extent cx="5029200" cy="269888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group_mea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8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09 Group Means</w:t>
      </w:r>
    </w:p>
    <w:p>
      <w:r>
        <w:drawing>
          <wp:inline xmlns:a="http://schemas.openxmlformats.org/drawingml/2006/main" xmlns:pic="http://schemas.openxmlformats.org/drawingml/2006/picture">
            <wp:extent cx="5029200" cy="28200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opic_break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0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10 Topic Breakdown</w:t>
      </w:r>
    </w:p>
    <w:p>
      <w:r>
        <w:drawing>
          <wp:inline xmlns:a="http://schemas.openxmlformats.org/drawingml/2006/main" xmlns:pic="http://schemas.openxmlformats.org/drawingml/2006/picture">
            <wp:extent cx="5029200" cy="17083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data_qual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08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11 Data Quality</w:t>
      </w:r>
    </w:p>
    <w:p>
      <w:r>
        <w:drawing>
          <wp:inline xmlns:a="http://schemas.openxmlformats.org/drawingml/2006/main" xmlns:pic="http://schemas.openxmlformats.org/drawingml/2006/picture">
            <wp:extent cx="5029200" cy="43769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hap_global_importa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76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12 Shap Global Importance</w:t>
      </w:r>
    </w:p>
    <w:p>
      <w:r>
        <w:drawing>
          <wp:inline xmlns:a="http://schemas.openxmlformats.org/drawingml/2006/main" xmlns:pic="http://schemas.openxmlformats.org/drawingml/2006/picture">
            <wp:extent cx="5029200" cy="32292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hap_local_examp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29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13 Shap Local Example</w:t>
      </w:r>
    </w:p>
    <w:p>
      <w:pPr>
        <w:pStyle w:val="Heading1"/>
      </w:pPr>
      <w:r>
        <w:t>4. Statistical Analysis</w:t>
      </w:r>
    </w:p>
    <w:p>
      <w:r>
        <w:t>We ran ANOVA for continuous features and chi-square tests for categorical features, with Holm-Bonferroni correction for multiple testing. 12 features showed statistically significant association with performance class.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Effect Size</w:t>
            </w:r>
          </w:p>
        </w:tc>
      </w:tr>
      <w:tr>
        <w:tc>
          <w:tcPr>
            <w:tcW w:type="dxa" w:w="2160"/>
          </w:tcPr>
          <w:p>
            <w:r>
              <w:t>StudentAbsenceDays</w:t>
            </w:r>
          </w:p>
        </w:tc>
        <w:tc>
          <w:tcPr>
            <w:tcW w:type="dxa" w:w="2160"/>
          </w:tcPr>
          <w:p>
            <w:r>
              <w:t>Chi-Square</w:t>
            </w:r>
          </w:p>
        </w:tc>
        <w:tc>
          <w:tcPr>
            <w:tcW w:type="dxa" w:w="2160"/>
          </w:tcPr>
          <w:p>
            <w:r>
              <w:t>4.35e-49</w:t>
            </w:r>
          </w:p>
        </w:tc>
        <w:tc>
          <w:tcPr>
            <w:tcW w:type="dxa" w:w="2160"/>
          </w:tcPr>
          <w:p>
            <w:r>
              <w:t>0.683</w:t>
            </w:r>
          </w:p>
        </w:tc>
      </w:tr>
      <w:tr>
        <w:tc>
          <w:tcPr>
            <w:tcW w:type="dxa" w:w="2160"/>
          </w:tcPr>
          <w:p>
            <w:r>
              <w:t>VisITedResources</w:t>
            </w:r>
          </w:p>
        </w:tc>
        <w:tc>
          <w:tcPr>
            <w:tcW w:type="dxa" w:w="2160"/>
          </w:tcPr>
          <w:p>
            <w:r>
              <w:t>ANOVA</w:t>
            </w:r>
          </w:p>
        </w:tc>
        <w:tc>
          <w:tcPr>
            <w:tcW w:type="dxa" w:w="2160"/>
          </w:tcPr>
          <w:p>
            <w:r>
              <w:t>8.64e-70</w:t>
            </w:r>
          </w:p>
        </w:tc>
        <w:tc>
          <w:tcPr>
            <w:tcW w:type="dxa" w:w="2160"/>
          </w:tcPr>
          <w:p>
            <w:r>
              <w:t>0.488</w:t>
            </w:r>
          </w:p>
        </w:tc>
      </w:tr>
      <w:tr>
        <w:tc>
          <w:tcPr>
            <w:tcW w:type="dxa" w:w="2160"/>
          </w:tcPr>
          <w:p>
            <w:r>
              <w:t>ParentAnsweringSurvey</w:t>
            </w:r>
          </w:p>
        </w:tc>
        <w:tc>
          <w:tcPr>
            <w:tcW w:type="dxa" w:w="2160"/>
          </w:tcPr>
          <w:p>
            <w:r>
              <w:t>Chi-Square</w:t>
            </w:r>
          </w:p>
        </w:tc>
        <w:tc>
          <w:tcPr>
            <w:tcW w:type="dxa" w:w="2160"/>
          </w:tcPr>
          <w:p>
            <w:r>
              <w:t>5.50e-21</w:t>
            </w:r>
          </w:p>
        </w:tc>
        <w:tc>
          <w:tcPr>
            <w:tcW w:type="dxa" w:w="2160"/>
          </w:tcPr>
          <w:p>
            <w:r>
              <w:t>0.442</w:t>
            </w:r>
          </w:p>
        </w:tc>
      </w:tr>
      <w:tr>
        <w:tc>
          <w:tcPr>
            <w:tcW w:type="dxa" w:w="2160"/>
          </w:tcPr>
          <w:p>
            <w:r>
              <w:t>raisedhands</w:t>
            </w:r>
          </w:p>
        </w:tc>
        <w:tc>
          <w:tcPr>
            <w:tcW w:type="dxa" w:w="2160"/>
          </w:tcPr>
          <w:p>
            <w:r>
              <w:t>ANOVA</w:t>
            </w:r>
          </w:p>
        </w:tc>
        <w:tc>
          <w:tcPr>
            <w:tcW w:type="dxa" w:w="2160"/>
          </w:tcPr>
          <w:p>
            <w:r>
              <w:t>1.52e-57</w:t>
            </w:r>
          </w:p>
        </w:tc>
        <w:tc>
          <w:tcPr>
            <w:tcW w:type="dxa" w:w="2160"/>
          </w:tcPr>
          <w:p>
            <w:r>
              <w:t>0.423</w:t>
            </w:r>
          </w:p>
        </w:tc>
      </w:tr>
      <w:tr>
        <w:tc>
          <w:tcPr>
            <w:tcW w:type="dxa" w:w="2160"/>
          </w:tcPr>
          <w:p>
            <w:r>
              <w:t>Relation</w:t>
            </w:r>
          </w:p>
        </w:tc>
        <w:tc>
          <w:tcPr>
            <w:tcW w:type="dxa" w:w="2160"/>
          </w:tcPr>
          <w:p>
            <w:r>
              <w:t>Chi-Square</w:t>
            </w:r>
          </w:p>
        </w:tc>
        <w:tc>
          <w:tcPr>
            <w:tcW w:type="dxa" w:w="2160"/>
          </w:tcPr>
          <w:p>
            <w:r>
              <w:t>3.96e-18</w:t>
            </w:r>
          </w:p>
        </w:tc>
        <w:tc>
          <w:tcPr>
            <w:tcW w:type="dxa" w:w="2160"/>
          </w:tcPr>
          <w:p>
            <w:r>
              <w:t>0.409</w:t>
            </w:r>
          </w:p>
        </w:tc>
      </w:tr>
      <w:tr>
        <w:tc>
          <w:tcPr>
            <w:tcW w:type="dxa" w:w="2160"/>
          </w:tcPr>
          <w:p>
            <w:r>
              <w:t>ParentschoolSatisfaction</w:t>
            </w:r>
          </w:p>
        </w:tc>
        <w:tc>
          <w:tcPr>
            <w:tcW w:type="dxa" w:w="2160"/>
          </w:tcPr>
          <w:p>
            <w:r>
              <w:t>Chi-Square</w:t>
            </w:r>
          </w:p>
        </w:tc>
        <w:tc>
          <w:tcPr>
            <w:tcW w:type="dxa" w:w="2160"/>
          </w:tcPr>
          <w:p>
            <w:r>
              <w:t>3.66e-15</w:t>
            </w:r>
          </w:p>
        </w:tc>
        <w:tc>
          <w:tcPr>
            <w:tcW w:type="dxa" w:w="2160"/>
          </w:tcPr>
          <w:p>
            <w:r>
              <w:t>0.373</w:t>
            </w:r>
          </w:p>
        </w:tc>
      </w:tr>
      <w:tr>
        <w:tc>
          <w:tcPr>
            <w:tcW w:type="dxa" w:w="2160"/>
          </w:tcPr>
          <w:p>
            <w:r>
              <w:t>AnnouncementsView</w:t>
            </w:r>
          </w:p>
        </w:tc>
        <w:tc>
          <w:tcPr>
            <w:tcW w:type="dxa" w:w="2160"/>
          </w:tcPr>
          <w:p>
            <w:r>
              <w:t>ANOVA</w:t>
            </w:r>
          </w:p>
        </w:tc>
        <w:tc>
          <w:tcPr>
            <w:tcW w:type="dxa" w:w="2160"/>
          </w:tcPr>
          <w:p>
            <w:r>
              <w:t>3.87e-36</w:t>
            </w:r>
          </w:p>
        </w:tc>
        <w:tc>
          <w:tcPr>
            <w:tcW w:type="dxa" w:w="2160"/>
          </w:tcPr>
          <w:p>
            <w:r>
              <w:t>0.291</w:t>
            </w:r>
          </w:p>
        </w:tc>
      </w:tr>
      <w:tr>
        <w:tc>
          <w:tcPr>
            <w:tcW w:type="dxa" w:w="2160"/>
          </w:tcPr>
          <w:p>
            <w:r>
              <w:t>PlaceofBirth</w:t>
            </w:r>
          </w:p>
        </w:tc>
        <w:tc>
          <w:tcPr>
            <w:tcW w:type="dxa" w:w="2160"/>
          </w:tcPr>
          <w:p>
            <w:r>
              <w:t>Chi-Square</w:t>
            </w:r>
          </w:p>
        </w:tc>
        <w:tc>
          <w:tcPr>
            <w:tcW w:type="dxa" w:w="2160"/>
          </w:tcPr>
          <w:p>
            <w:r>
              <w:t>6.03e-07</w:t>
            </w:r>
          </w:p>
        </w:tc>
        <w:tc>
          <w:tcPr>
            <w:tcW w:type="dxa" w:w="2160"/>
          </w:tcPr>
          <w:p>
            <w:r>
              <w:t>0.284</w:t>
            </w:r>
          </w:p>
        </w:tc>
      </w:tr>
      <w:tr>
        <w:tc>
          <w:tcPr>
            <w:tcW w:type="dxa" w:w="2160"/>
          </w:tcPr>
          <w:p>
            <w:r>
              <w:t>NationalITy</w:t>
            </w:r>
          </w:p>
        </w:tc>
        <w:tc>
          <w:tcPr>
            <w:tcW w:type="dxa" w:w="2160"/>
          </w:tcPr>
          <w:p>
            <w:r>
              <w:t>Chi-Square</w:t>
            </w:r>
          </w:p>
        </w:tc>
        <w:tc>
          <w:tcPr>
            <w:tcW w:type="dxa" w:w="2160"/>
          </w:tcPr>
          <w:p>
            <w:r>
              <w:t>1.21e-06</w:t>
            </w:r>
          </w:p>
        </w:tc>
        <w:tc>
          <w:tcPr>
            <w:tcW w:type="dxa" w:w="2160"/>
          </w:tcPr>
          <w:p>
            <w:r>
              <w:t>0.280</w:t>
            </w:r>
          </w:p>
        </w:tc>
      </w:tr>
      <w:t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Chi-Square</w:t>
            </w:r>
          </w:p>
        </w:tc>
        <w:tc>
          <w:tcPr>
            <w:tcW w:type="dxa" w:w="2160"/>
          </w:tcPr>
          <w:p>
            <w:r>
              <w:t>9.08e-08</w:t>
            </w:r>
          </w:p>
        </w:tc>
        <w:tc>
          <w:tcPr>
            <w:tcW w:type="dxa" w:w="2160"/>
          </w:tcPr>
          <w:p>
            <w:r>
              <w:t>0.261</w:t>
            </w:r>
          </w:p>
        </w:tc>
      </w:tr>
    </w:tbl>
    <w:p>
      <w:pPr>
        <w:pStyle w:val="Heading1"/>
      </w:pPr>
      <w:r>
        <w:t>5. Model Development &amp; Evaluation</w:t>
      </w:r>
    </w:p>
    <w:p>
      <w:r>
        <w:t>Models trained: Logistic Regression, Decision Tree, Random Forest, Gradient Boosting (XGBoost).</w:t>
        <w:br/>
        <w:br/>
        <w:t>Best model: random_forest</w:t>
        <w:br/>
        <w:t>• Test accuracy: 0.8229</w:t>
        <w:br/>
        <w:t>• Test macro-F1: 0.8282</w:t>
        <w:br/>
        <w:br/>
        <w:t>Selection was validated with bootstrapped confidence intervals (2000 resamples) and McNemar's test to confirm the winning model is statistically distinguishable from the runner-up.</w:t>
      </w:r>
    </w:p>
    <w:p>
      <w:pPr>
        <w:pStyle w:val="Heading1"/>
      </w:pPr>
      <w:r>
        <w:t>6. Explainability (SHAP)</w:t>
      </w:r>
    </w:p>
    <w:p>
      <w:r>
        <w:t>SHAP values provide both global feature importance and per-student local explanations.</w:t>
      </w:r>
    </w:p>
    <w:p>
      <w:r>
        <w:t>See reports/artifacts/ for full results.</w:t>
      </w:r>
    </w:p>
    <w:p>
      <w:pPr>
        <w:pStyle w:val="Heading1"/>
      </w:pPr>
      <w:r>
        <w:t>7. Counterfactual Explanations</w:t>
      </w:r>
    </w:p>
    <w:p>
      <w:r>
        <w:t>For students predicted Medium or Low, the dice-ml engine identifies the minimal realistic changes that would move them to a higher band.</w:t>
      </w:r>
    </w:p>
    <w:p>
      <w:r>
        <w:t>See reports/artifacts/ for full results.</w:t>
      </w:r>
    </w:p>
    <w:p>
      <w:pPr>
        <w:pStyle w:val="Heading1"/>
      </w:pPr>
      <w:r>
        <w:t>8. Fairness Audit</w:t>
      </w:r>
    </w:p>
    <w:p>
      <w:r>
        <w:t>Demographic parity and equalized odds were checked across gender and nationality using fairlearn.</w:t>
      </w:r>
    </w:p>
    <w:p>
      <w:r>
        <w:t>See reports/artifacts/ for full results.</w:t>
      </w:r>
    </w:p>
    <w:p>
      <w:pPr>
        <w:pStyle w:val="Heading1"/>
      </w:pPr>
      <w:r>
        <w:t>9. Cohort Simulator</w:t>
      </w:r>
    </w:p>
    <w:p>
      <w:r>
        <w:t>Monte Carlo simulation models the effect of class-wide interventions on the L/M/H distribution.</w:t>
      </w:r>
    </w:p>
    <w:p>
      <w:r>
        <w:t>See reports/artifacts/ for full results.</w:t>
      </w:r>
    </w:p>
    <w:p>
      <w:pPr>
        <w:pStyle w:val="Heading1"/>
      </w:pPr>
      <w:r>
        <w:t>10. Dashboard &amp; API</w:t>
      </w:r>
    </w:p>
    <w:p>
      <w:r>
        <w:t>The Streamlit dashboard provides four pages: Overview, Individual Predictor, What-If Simulator, and Cohort Simulator. A FastAPI REST endpoint serves the same model via POST /predict.</w:t>
      </w:r>
    </w:p>
    <w:p>
      <w:pPr>
        <w:pStyle w:val="Heading1"/>
      </w:pPr>
      <w:r>
        <w:t>11. Deployment</w:t>
      </w:r>
    </w:p>
    <w:p>
      <w:r>
        <w:t>Dashboard: Streamlit Community Cloud</w:t>
        <w:br/>
        <w:t>API: Render</w:t>
        <w:br/>
        <w:t>CI: GitHub Actions (pytest on every push)</w:t>
      </w:r>
    </w:p>
    <w:p>
      <w:pPr>
        <w:pStyle w:val="Heading1"/>
      </w:pPr>
      <w:r>
        <w:t>12. Conclusion</w:t>
      </w:r>
    </w:p>
    <w:p>
      <w:r>
        <w:t>This system demonstrates that a rigorous classical ML approach — without deep learning — can deliver a production-quality prediction tool with explainability, fairness auditing, and actionable recommendations. The key differentiators are statistical rigor (bootstrapped CIs, McNemar's test), counterfactual explanations, and the cohort simulator for policy-level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