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14:paraId="2F4337B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1. Summary of Predictive Insights</w:t>
      </w:r>
    </w:p>
    <w:p w14:paraId="60F471FE" w14:textId="3EB13684" w:rsidR="007D72C2" w:rsidRDefault="00702E80" w:rsidP="00702E80">
      <w:pPr>
        <w:jc w:val="both"/>
        <w:rPr>
          <w:rFonts w:ascii="Arial" w:hAnsi="Arial" w:cs="Arial"/>
          <w:color w:val="000000" w:themeColor="text1"/>
        </w:rPr>
      </w:pPr>
      <w:r w:rsidRPr="00702E80">
        <w:rPr>
          <w:rFonts w:ascii="Arial" w:hAnsi="Arial" w:cs="Arial"/>
          <w:color w:val="000000" w:themeColor="text1"/>
        </w:rPr>
        <w:t xml:space="preserve">The analysis identifies </w:t>
      </w:r>
      <w:r w:rsidRPr="00702E80">
        <w:rPr>
          <w:rFonts w:ascii="Arial" w:hAnsi="Arial" w:cs="Arial"/>
          <w:b/>
          <w:bCs/>
          <w:color w:val="000000" w:themeColor="text1"/>
        </w:rPr>
        <w:t>delinquency as a multi-factor issue</w:t>
      </w:r>
      <w:r w:rsidRPr="00702E80">
        <w:rPr>
          <w:rFonts w:ascii="Arial" w:hAnsi="Arial" w:cs="Arial"/>
          <w:color w:val="000000" w:themeColor="text1"/>
        </w:rPr>
        <w:t xml:space="preserve"> driven primarily by financial stress, employment instability, and credit behavior patterns. Customers with </w:t>
      </w:r>
      <w:r w:rsidRPr="00702E80">
        <w:rPr>
          <w:rFonts w:ascii="Arial" w:hAnsi="Arial" w:cs="Arial"/>
          <w:b/>
          <w:bCs/>
          <w:color w:val="000000" w:themeColor="text1"/>
        </w:rPr>
        <w:t>high debt-to-income ratios</w:t>
      </w:r>
      <w:r w:rsidRPr="00702E80">
        <w:rPr>
          <w:rFonts w:ascii="Arial" w:hAnsi="Arial" w:cs="Arial"/>
          <w:color w:val="000000" w:themeColor="text1"/>
        </w:rPr>
        <w:t xml:space="preserve"> are more likely to default due to excessive financial obligations relative to income. Similarly, individuals with </w:t>
      </w:r>
      <w:r w:rsidRPr="00702E80">
        <w:rPr>
          <w:rFonts w:ascii="Arial" w:hAnsi="Arial" w:cs="Arial"/>
          <w:b/>
          <w:bCs/>
          <w:color w:val="000000" w:themeColor="text1"/>
        </w:rPr>
        <w:t>unstable or no employment</w:t>
      </w:r>
      <w:r w:rsidRPr="00702E80">
        <w:rPr>
          <w:rFonts w:ascii="Arial" w:hAnsi="Arial" w:cs="Arial"/>
          <w:color w:val="000000" w:themeColor="text1"/>
        </w:rPr>
        <w:t xml:space="preserve"> face irregular cash flow, increasing the likelihood of missed payments. Additionally, </w:t>
      </w:r>
      <w:r w:rsidRPr="00702E80">
        <w:rPr>
          <w:rFonts w:ascii="Arial" w:hAnsi="Arial" w:cs="Arial"/>
          <w:b/>
          <w:bCs/>
          <w:color w:val="000000" w:themeColor="text1"/>
        </w:rPr>
        <w:t>credit product type</w:t>
      </w:r>
      <w:r w:rsidRPr="00702E80">
        <w:rPr>
          <w:rFonts w:ascii="Arial" w:hAnsi="Arial" w:cs="Arial"/>
          <w:color w:val="000000" w:themeColor="text1"/>
        </w:rPr>
        <w:t xml:space="preserve"> plays a significant role, with Business and Student card users showing higher delinquency due to riskier spending and repayment behavior. Interestingly, credit score alone is not a strong linear predictor, suggesting that </w:t>
      </w:r>
      <w:r w:rsidRPr="00702E80">
        <w:rPr>
          <w:rFonts w:ascii="Arial" w:hAnsi="Arial" w:cs="Arial"/>
          <w:b/>
          <w:bCs/>
          <w:color w:val="000000" w:themeColor="text1"/>
        </w:rPr>
        <w:t>behavioral and situational factors</w:t>
      </w:r>
      <w:r w:rsidRPr="00702E80">
        <w:rPr>
          <w:rFonts w:ascii="Arial" w:hAnsi="Arial" w:cs="Arial"/>
          <w:color w:val="000000" w:themeColor="text1"/>
        </w:rPr>
        <w:t xml:space="preserve"> are equally important in determining delinquency risk.</w:t>
      </w:r>
    </w:p>
    <w:tbl>
      <w:tblPr>
        <w:tblStyle w:val="TableGrid"/>
        <w:tblW w:w="0" w:type="auto"/>
        <w:tblLook w:val="04A0" w:firstRow="1" w:lastRow="0" w:firstColumn="1" w:lastColumn="0" w:noHBand="0" w:noVBand="1"/>
      </w:tblPr>
      <w:tblGrid>
        <w:gridCol w:w="1534"/>
        <w:gridCol w:w="1170"/>
        <w:gridCol w:w="1892"/>
        <w:gridCol w:w="1644"/>
        <w:gridCol w:w="2390"/>
      </w:tblGrid>
      <w:tr w:rsidR="00702E80" w:rsidRPr="00702E80" w14:paraId="5EE7F431" w14:textId="77777777" w:rsidTr="00702E80">
        <w:tc>
          <w:tcPr>
            <w:tcW w:w="0" w:type="auto"/>
            <w:hideMark/>
          </w:tcPr>
          <w:p w14:paraId="116A444B" w14:textId="77777777" w:rsidR="00702E80" w:rsidRPr="00702E80" w:rsidRDefault="00702E80" w:rsidP="00702E80">
            <w:pPr>
              <w:spacing w:after="200" w:line="276" w:lineRule="auto"/>
              <w:rPr>
                <w:rFonts w:ascii="Arial" w:hAnsi="Arial" w:cs="Arial"/>
                <w:b/>
                <w:bCs/>
                <w:color w:val="000000" w:themeColor="text1"/>
                <w:lang w:val="en-IN"/>
              </w:rPr>
            </w:pPr>
            <w:r w:rsidRPr="00702E80">
              <w:rPr>
                <w:rFonts w:ascii="Arial" w:hAnsi="Arial" w:cs="Arial"/>
                <w:b/>
                <w:bCs/>
                <w:color w:val="000000" w:themeColor="text1"/>
                <w:lang w:val="en-IN"/>
              </w:rPr>
              <w:t>Predictor Variable</w:t>
            </w:r>
          </w:p>
        </w:tc>
        <w:tc>
          <w:tcPr>
            <w:tcW w:w="0" w:type="auto"/>
            <w:hideMark/>
          </w:tcPr>
          <w:p w14:paraId="34CAAB6E" w14:textId="77777777" w:rsidR="00702E80" w:rsidRPr="00702E80" w:rsidRDefault="00702E80" w:rsidP="00702E80">
            <w:pPr>
              <w:spacing w:after="200" w:line="276" w:lineRule="auto"/>
              <w:rPr>
                <w:rFonts w:ascii="Arial" w:hAnsi="Arial" w:cs="Arial"/>
                <w:b/>
                <w:bCs/>
                <w:color w:val="000000" w:themeColor="text1"/>
                <w:lang w:val="en-IN"/>
              </w:rPr>
            </w:pPr>
            <w:r w:rsidRPr="00702E80">
              <w:rPr>
                <w:rFonts w:ascii="Arial" w:hAnsi="Arial" w:cs="Arial"/>
                <w:b/>
                <w:bCs/>
                <w:color w:val="000000" w:themeColor="text1"/>
                <w:lang w:val="en-IN"/>
              </w:rPr>
              <w:t>Risk Level</w:t>
            </w:r>
          </w:p>
        </w:tc>
        <w:tc>
          <w:tcPr>
            <w:tcW w:w="0" w:type="auto"/>
            <w:hideMark/>
          </w:tcPr>
          <w:p w14:paraId="5E1F634D" w14:textId="77777777" w:rsidR="00702E80" w:rsidRPr="00702E80" w:rsidRDefault="00702E80" w:rsidP="00702E80">
            <w:pPr>
              <w:spacing w:after="200" w:line="276" w:lineRule="auto"/>
              <w:rPr>
                <w:rFonts w:ascii="Arial" w:hAnsi="Arial" w:cs="Arial"/>
                <w:b/>
                <w:bCs/>
                <w:color w:val="000000" w:themeColor="text1"/>
                <w:lang w:val="en-IN"/>
              </w:rPr>
            </w:pPr>
            <w:r w:rsidRPr="00702E80">
              <w:rPr>
                <w:rFonts w:ascii="Arial" w:hAnsi="Arial" w:cs="Arial"/>
                <w:b/>
                <w:bCs/>
                <w:color w:val="000000" w:themeColor="text1"/>
                <w:lang w:val="en-IN"/>
              </w:rPr>
              <w:t>Key Insight</w:t>
            </w:r>
          </w:p>
        </w:tc>
        <w:tc>
          <w:tcPr>
            <w:tcW w:w="0" w:type="auto"/>
            <w:hideMark/>
          </w:tcPr>
          <w:p w14:paraId="75317C57" w14:textId="77777777" w:rsidR="00702E80" w:rsidRPr="00702E80" w:rsidRDefault="00702E80" w:rsidP="00702E80">
            <w:pPr>
              <w:spacing w:after="200" w:line="276" w:lineRule="auto"/>
              <w:rPr>
                <w:rFonts w:ascii="Arial" w:hAnsi="Arial" w:cs="Arial"/>
                <w:b/>
                <w:bCs/>
                <w:color w:val="000000" w:themeColor="text1"/>
                <w:lang w:val="en-IN"/>
              </w:rPr>
            </w:pPr>
            <w:r w:rsidRPr="00702E80">
              <w:rPr>
                <w:rFonts w:ascii="Arial" w:hAnsi="Arial" w:cs="Arial"/>
                <w:b/>
                <w:bCs/>
                <w:color w:val="000000" w:themeColor="text1"/>
                <w:lang w:val="en-IN"/>
              </w:rPr>
              <w:t>Impact on Delinquency</w:t>
            </w:r>
          </w:p>
        </w:tc>
        <w:tc>
          <w:tcPr>
            <w:tcW w:w="0" w:type="auto"/>
            <w:hideMark/>
          </w:tcPr>
          <w:p w14:paraId="067C0567" w14:textId="77777777" w:rsidR="00702E80" w:rsidRPr="00702E80" w:rsidRDefault="00702E80" w:rsidP="00702E80">
            <w:pPr>
              <w:spacing w:after="200" w:line="276" w:lineRule="auto"/>
              <w:rPr>
                <w:rFonts w:ascii="Arial" w:hAnsi="Arial" w:cs="Arial"/>
                <w:b/>
                <w:bCs/>
                <w:color w:val="000000" w:themeColor="text1"/>
                <w:lang w:val="en-IN"/>
              </w:rPr>
            </w:pPr>
            <w:r w:rsidRPr="00702E80">
              <w:rPr>
                <w:rFonts w:ascii="Arial" w:hAnsi="Arial" w:cs="Arial"/>
                <w:b/>
                <w:bCs/>
                <w:color w:val="000000" w:themeColor="text1"/>
                <w:lang w:val="en-IN"/>
              </w:rPr>
              <w:t>Reason</w:t>
            </w:r>
          </w:p>
        </w:tc>
      </w:tr>
      <w:tr w:rsidR="00702E80" w:rsidRPr="00702E80" w14:paraId="04EFEA61" w14:textId="77777777" w:rsidTr="00702E80">
        <w:tc>
          <w:tcPr>
            <w:tcW w:w="0" w:type="auto"/>
            <w:hideMark/>
          </w:tcPr>
          <w:p w14:paraId="038FE95A"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Debt-to-Income Ratio</w:t>
            </w:r>
          </w:p>
        </w:tc>
        <w:tc>
          <w:tcPr>
            <w:tcW w:w="0" w:type="auto"/>
            <w:hideMark/>
          </w:tcPr>
          <w:p w14:paraId="42F7C43D"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High</w:t>
            </w:r>
          </w:p>
        </w:tc>
        <w:tc>
          <w:tcPr>
            <w:tcW w:w="0" w:type="auto"/>
            <w:hideMark/>
          </w:tcPr>
          <w:p w14:paraId="363027E3"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Higher DTI → Higher default risk</w:t>
            </w:r>
          </w:p>
        </w:tc>
        <w:tc>
          <w:tcPr>
            <w:tcW w:w="0" w:type="auto"/>
            <w:hideMark/>
          </w:tcPr>
          <w:p w14:paraId="7076ED21"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Strong</w:t>
            </w:r>
          </w:p>
        </w:tc>
        <w:tc>
          <w:tcPr>
            <w:tcW w:w="0" w:type="auto"/>
            <w:hideMark/>
          </w:tcPr>
          <w:p w14:paraId="1D73F7A3"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Indicates financial overburden and reduced repayment capacity</w:t>
            </w:r>
          </w:p>
        </w:tc>
      </w:tr>
      <w:tr w:rsidR="00702E80" w:rsidRPr="00702E80" w14:paraId="3308673D" w14:textId="77777777" w:rsidTr="00702E80">
        <w:tc>
          <w:tcPr>
            <w:tcW w:w="0" w:type="auto"/>
            <w:hideMark/>
          </w:tcPr>
          <w:p w14:paraId="02FF4DA1"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Employment Status</w:t>
            </w:r>
          </w:p>
        </w:tc>
        <w:tc>
          <w:tcPr>
            <w:tcW w:w="0" w:type="auto"/>
            <w:hideMark/>
          </w:tcPr>
          <w:p w14:paraId="1751CA6B"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High</w:t>
            </w:r>
          </w:p>
        </w:tc>
        <w:tc>
          <w:tcPr>
            <w:tcW w:w="0" w:type="auto"/>
            <w:hideMark/>
          </w:tcPr>
          <w:p w14:paraId="37CF35CD"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Unemployed / unstable → more delinquency</w:t>
            </w:r>
          </w:p>
        </w:tc>
        <w:tc>
          <w:tcPr>
            <w:tcW w:w="0" w:type="auto"/>
            <w:hideMark/>
          </w:tcPr>
          <w:p w14:paraId="234FDC88"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Strong</w:t>
            </w:r>
          </w:p>
        </w:tc>
        <w:tc>
          <w:tcPr>
            <w:tcW w:w="0" w:type="auto"/>
            <w:hideMark/>
          </w:tcPr>
          <w:p w14:paraId="49CC05D4"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Lack of steady income leads to missed payments</w:t>
            </w:r>
          </w:p>
        </w:tc>
      </w:tr>
      <w:tr w:rsidR="00702E80" w:rsidRPr="00702E80" w14:paraId="58FC92DE" w14:textId="77777777" w:rsidTr="00702E80">
        <w:tc>
          <w:tcPr>
            <w:tcW w:w="0" w:type="auto"/>
            <w:hideMark/>
          </w:tcPr>
          <w:p w14:paraId="646D651A"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Credit Card Type</w:t>
            </w:r>
          </w:p>
        </w:tc>
        <w:tc>
          <w:tcPr>
            <w:tcW w:w="0" w:type="auto"/>
            <w:hideMark/>
          </w:tcPr>
          <w:p w14:paraId="53CC7D65"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Medium–High</w:t>
            </w:r>
          </w:p>
        </w:tc>
        <w:tc>
          <w:tcPr>
            <w:tcW w:w="0" w:type="auto"/>
            <w:hideMark/>
          </w:tcPr>
          <w:p w14:paraId="66F37B8F"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Business &amp; Student cards show higher defaults</w:t>
            </w:r>
          </w:p>
        </w:tc>
        <w:tc>
          <w:tcPr>
            <w:tcW w:w="0" w:type="auto"/>
            <w:hideMark/>
          </w:tcPr>
          <w:p w14:paraId="25D7FE0F"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Moderate–Strong</w:t>
            </w:r>
          </w:p>
        </w:tc>
        <w:tc>
          <w:tcPr>
            <w:tcW w:w="0" w:type="auto"/>
            <w:hideMark/>
          </w:tcPr>
          <w:p w14:paraId="6A3A4882"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Associated with risky usage and less disciplined repayment behavior</w:t>
            </w:r>
          </w:p>
        </w:tc>
      </w:tr>
      <w:tr w:rsidR="00702E80" w:rsidRPr="00702E80" w14:paraId="708A3B97" w14:textId="77777777" w:rsidTr="00702E80">
        <w:tc>
          <w:tcPr>
            <w:tcW w:w="0" w:type="auto"/>
            <w:hideMark/>
          </w:tcPr>
          <w:p w14:paraId="6C9B4136"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Credit Score</w:t>
            </w:r>
          </w:p>
        </w:tc>
        <w:tc>
          <w:tcPr>
            <w:tcW w:w="0" w:type="auto"/>
            <w:hideMark/>
          </w:tcPr>
          <w:p w14:paraId="1B21AA68"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Medium</w:t>
            </w:r>
          </w:p>
        </w:tc>
        <w:tc>
          <w:tcPr>
            <w:tcW w:w="0" w:type="auto"/>
            <w:hideMark/>
          </w:tcPr>
          <w:p w14:paraId="75931FEF"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Non-linear effect on delinquency</w:t>
            </w:r>
          </w:p>
        </w:tc>
        <w:tc>
          <w:tcPr>
            <w:tcW w:w="0" w:type="auto"/>
            <w:hideMark/>
          </w:tcPr>
          <w:p w14:paraId="283D10F5"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Moderate</w:t>
            </w:r>
          </w:p>
        </w:tc>
        <w:tc>
          <w:tcPr>
            <w:tcW w:w="0" w:type="auto"/>
            <w:hideMark/>
          </w:tcPr>
          <w:p w14:paraId="49C047AB" w14:textId="77777777" w:rsidR="00702E80" w:rsidRPr="00702E80" w:rsidRDefault="00702E80" w:rsidP="00702E80">
            <w:pPr>
              <w:spacing w:after="200" w:line="276" w:lineRule="auto"/>
              <w:rPr>
                <w:rFonts w:ascii="Arial" w:hAnsi="Arial" w:cs="Arial"/>
                <w:color w:val="000000" w:themeColor="text1"/>
                <w:lang w:val="en-IN"/>
              </w:rPr>
            </w:pPr>
            <w:proofErr w:type="spellStart"/>
            <w:r w:rsidRPr="00702E80">
              <w:rPr>
                <w:rFonts w:ascii="Arial" w:hAnsi="Arial" w:cs="Arial"/>
                <w:color w:val="000000" w:themeColor="text1"/>
                <w:lang w:val="en-IN"/>
              </w:rPr>
              <w:t>Behavioral</w:t>
            </w:r>
            <w:proofErr w:type="spellEnd"/>
            <w:r w:rsidRPr="00702E80">
              <w:rPr>
                <w:rFonts w:ascii="Arial" w:hAnsi="Arial" w:cs="Arial"/>
                <w:color w:val="000000" w:themeColor="text1"/>
                <w:lang w:val="en-IN"/>
              </w:rPr>
              <w:t xml:space="preserve"> factors reduce predictive strength</w:t>
            </w:r>
          </w:p>
        </w:tc>
      </w:tr>
      <w:tr w:rsidR="00702E80" w:rsidRPr="00702E80" w14:paraId="0919A4D8" w14:textId="77777777" w:rsidTr="00702E80">
        <w:tc>
          <w:tcPr>
            <w:tcW w:w="0" w:type="auto"/>
            <w:hideMark/>
          </w:tcPr>
          <w:p w14:paraId="021D1335"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Income Level</w:t>
            </w:r>
          </w:p>
        </w:tc>
        <w:tc>
          <w:tcPr>
            <w:tcW w:w="0" w:type="auto"/>
            <w:hideMark/>
          </w:tcPr>
          <w:p w14:paraId="30769BC4"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Medium</w:t>
            </w:r>
          </w:p>
        </w:tc>
        <w:tc>
          <w:tcPr>
            <w:tcW w:w="0" w:type="auto"/>
            <w:hideMark/>
          </w:tcPr>
          <w:p w14:paraId="51427AEE"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Moderate income groups show higher risk</w:t>
            </w:r>
          </w:p>
        </w:tc>
        <w:tc>
          <w:tcPr>
            <w:tcW w:w="0" w:type="auto"/>
            <w:hideMark/>
          </w:tcPr>
          <w:p w14:paraId="7E72ED4D"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Moderate</w:t>
            </w:r>
          </w:p>
        </w:tc>
        <w:tc>
          <w:tcPr>
            <w:tcW w:w="0" w:type="auto"/>
            <w:hideMark/>
          </w:tcPr>
          <w:p w14:paraId="1A0691F2"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Income may not match financial obligations</w:t>
            </w:r>
          </w:p>
        </w:tc>
      </w:tr>
      <w:tr w:rsidR="00702E80" w:rsidRPr="00702E80" w14:paraId="5F55D6F0" w14:textId="77777777" w:rsidTr="00702E80">
        <w:tc>
          <w:tcPr>
            <w:tcW w:w="0" w:type="auto"/>
            <w:hideMark/>
          </w:tcPr>
          <w:p w14:paraId="37D5A13A"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lastRenderedPageBreak/>
              <w:t>Spending Behavior</w:t>
            </w:r>
          </w:p>
        </w:tc>
        <w:tc>
          <w:tcPr>
            <w:tcW w:w="0" w:type="auto"/>
            <w:hideMark/>
          </w:tcPr>
          <w:p w14:paraId="1996EEBC"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Medium–High</w:t>
            </w:r>
          </w:p>
        </w:tc>
        <w:tc>
          <w:tcPr>
            <w:tcW w:w="0" w:type="auto"/>
            <w:hideMark/>
          </w:tcPr>
          <w:p w14:paraId="4E5172C5"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High/irregular spending → higher delinquency</w:t>
            </w:r>
          </w:p>
        </w:tc>
        <w:tc>
          <w:tcPr>
            <w:tcW w:w="0" w:type="auto"/>
            <w:hideMark/>
          </w:tcPr>
          <w:p w14:paraId="25ACCC8E"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Moderate–Strong</w:t>
            </w:r>
          </w:p>
        </w:tc>
        <w:tc>
          <w:tcPr>
            <w:tcW w:w="0" w:type="auto"/>
            <w:hideMark/>
          </w:tcPr>
          <w:p w14:paraId="71302705" w14:textId="77777777" w:rsidR="00702E80" w:rsidRPr="00702E80" w:rsidRDefault="00702E80" w:rsidP="00702E80">
            <w:pPr>
              <w:spacing w:after="200" w:line="276" w:lineRule="auto"/>
              <w:rPr>
                <w:rFonts w:ascii="Arial" w:hAnsi="Arial" w:cs="Arial"/>
                <w:color w:val="000000" w:themeColor="text1"/>
                <w:lang w:val="en-IN"/>
              </w:rPr>
            </w:pPr>
            <w:r w:rsidRPr="00702E80">
              <w:rPr>
                <w:rFonts w:ascii="Arial" w:hAnsi="Arial" w:cs="Arial"/>
                <w:color w:val="000000" w:themeColor="text1"/>
                <w:lang w:val="en-IN"/>
              </w:rPr>
              <w:t>Poor financial discipline and cash flow mismanagement</w:t>
            </w:r>
          </w:p>
        </w:tc>
      </w:tr>
    </w:tbl>
    <w:p w14:paraId="72833B3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2. Recommendation Framework</w:t>
      </w:r>
    </w:p>
    <w:p w14:paraId="15F4D6C8" w14:textId="41394C64" w:rsidR="007D72C2" w:rsidRPr="00A537D1" w:rsidRDefault="00702E80" w:rsidP="00702E80">
      <w:pPr>
        <w:jc w:val="both"/>
        <w:rPr>
          <w:rFonts w:ascii="Arial" w:hAnsi="Arial" w:cs="Arial"/>
          <w:color w:val="000000" w:themeColor="text1"/>
        </w:rPr>
      </w:pPr>
      <w:r w:rsidRPr="00702E80">
        <w:rPr>
          <w:rFonts w:ascii="Arial" w:hAnsi="Arial" w:cs="Arial"/>
          <w:color w:val="000000" w:themeColor="text1"/>
        </w:rPr>
        <w:t xml:space="preserve">Reduce delinquency rates among customers with </w:t>
      </w:r>
      <w:r w:rsidRPr="00702E80">
        <w:rPr>
          <w:rFonts w:ascii="Arial" w:hAnsi="Arial" w:cs="Arial"/>
          <w:b/>
          <w:bCs/>
          <w:color w:val="000000" w:themeColor="text1"/>
        </w:rPr>
        <w:t>credit utilization above 70%</w:t>
      </w:r>
      <w:r w:rsidRPr="00702E80">
        <w:rPr>
          <w:rFonts w:ascii="Arial" w:hAnsi="Arial" w:cs="Arial"/>
          <w:color w:val="000000" w:themeColor="text1"/>
        </w:rPr>
        <w:t xml:space="preserve"> by </w:t>
      </w:r>
      <w:r w:rsidRPr="00702E80">
        <w:rPr>
          <w:rFonts w:ascii="Arial" w:hAnsi="Arial" w:cs="Arial"/>
          <w:b/>
          <w:bCs/>
          <w:color w:val="000000" w:themeColor="text1"/>
        </w:rPr>
        <w:t>15% within the next 6 months</w:t>
      </w:r>
      <w:r w:rsidRPr="00702E80">
        <w:rPr>
          <w:rFonts w:ascii="Arial" w:hAnsi="Arial" w:cs="Arial"/>
          <w:color w:val="000000" w:themeColor="text1"/>
        </w:rPr>
        <w:t xml:space="preserve"> by implementing </w:t>
      </w:r>
      <w:r w:rsidRPr="00702E80">
        <w:rPr>
          <w:rFonts w:ascii="Arial" w:hAnsi="Arial" w:cs="Arial"/>
          <w:b/>
          <w:bCs/>
          <w:color w:val="000000" w:themeColor="text1"/>
        </w:rPr>
        <w:t>automated early-warning alerts, personalized repayment nudges, and temporary credit limit controls</w:t>
      </w:r>
      <w:r w:rsidRPr="00702E80">
        <w:rPr>
          <w:rFonts w:ascii="Arial" w:hAnsi="Arial" w:cs="Arial"/>
          <w:color w:val="000000" w:themeColor="text1"/>
        </w:rPr>
        <w:t xml:space="preserve"> for high-utilization accounts.</w:t>
      </w:r>
      <w:r>
        <w:rPr>
          <w:rFonts w:ascii="Arial" w:hAnsi="Arial" w:cs="Arial"/>
          <w:color w:val="000000" w:themeColor="text1"/>
        </w:rPr>
        <w:t xml:space="preserve"> </w:t>
      </w:r>
      <w:r w:rsidR="00A537D1" w:rsidRPr="00A537D1">
        <w:rPr>
          <w:rFonts w:ascii="Arial" w:hAnsi="Arial" w:cs="Arial"/>
          <w:color w:val="000000" w:themeColor="text1"/>
        </w:rPr>
        <w:t>Use the following subheadings to guide your structure:</w:t>
      </w:r>
    </w:p>
    <w:p w14:paraId="6CE07FC9" w14:textId="5461E61C" w:rsidR="007D72C2" w:rsidRDefault="00702E80">
      <w:pPr>
        <w:pStyle w:val="ListBullet"/>
        <w:rPr>
          <w:rFonts w:ascii="Arial" w:hAnsi="Arial" w:cs="Arial"/>
          <w:color w:val="000000" w:themeColor="text1"/>
        </w:rPr>
      </w:pPr>
      <w:r>
        <w:rPr>
          <w:rFonts w:ascii="Arial" w:hAnsi="Arial" w:cs="Arial"/>
          <w:color w:val="000000" w:themeColor="text1"/>
        </w:rPr>
        <w:t>Executed Summary:</w:t>
      </w:r>
    </w:p>
    <w:p w14:paraId="1CA354E1" w14:textId="02C47ED6" w:rsidR="00702E80" w:rsidRDefault="00702E80" w:rsidP="00702E80">
      <w:pPr>
        <w:pStyle w:val="ListBullet"/>
        <w:numPr>
          <w:ilvl w:val="0"/>
          <w:numId w:val="0"/>
        </w:numPr>
        <w:ind w:left="360"/>
        <w:jc w:val="both"/>
        <w:rPr>
          <w:rFonts w:ascii="Arial" w:hAnsi="Arial" w:cs="Arial"/>
          <w:color w:val="000000" w:themeColor="text1"/>
        </w:rPr>
      </w:pPr>
      <w:r w:rsidRPr="00702E80">
        <w:rPr>
          <w:rFonts w:ascii="Arial" w:hAnsi="Arial" w:cs="Arial"/>
          <w:color w:val="000000" w:themeColor="text1"/>
        </w:rPr>
        <w:t xml:space="preserve">High credit utilization is a strong indicator of financial stress and a leading driver of delinquency. By proactively identifying customers who exceed safe utilization thresholds and engaging them with timely interventions—such as alerts, repayment reminders, and controlled credit exposure—Geldium can reduce default risk before it escalates. This approach is </w:t>
      </w:r>
      <w:r w:rsidRPr="00702E80">
        <w:rPr>
          <w:rFonts w:ascii="Arial" w:hAnsi="Arial" w:cs="Arial"/>
          <w:b/>
          <w:bCs/>
          <w:color w:val="000000" w:themeColor="text1"/>
        </w:rPr>
        <w:t>cost-effective, scalable, and aligned with risk management and customer retention goals</w:t>
      </w:r>
      <w:r w:rsidRPr="00702E80">
        <w:rPr>
          <w:rFonts w:ascii="Arial" w:hAnsi="Arial" w:cs="Arial"/>
          <w:color w:val="000000" w:themeColor="text1"/>
        </w:rPr>
        <w:t>, ensuring healthier credit behavior while minimizing financial losses.</w:t>
      </w:r>
    </w:p>
    <w:p w14:paraId="5DCFB2B9" w14:textId="1D1D8874" w:rsidR="00702E80" w:rsidRDefault="00702E80" w:rsidP="00702E80">
      <w:pPr>
        <w:pStyle w:val="ListBullet"/>
        <w:numPr>
          <w:ilvl w:val="0"/>
          <w:numId w:val="11"/>
        </w:numPr>
        <w:jc w:val="both"/>
        <w:rPr>
          <w:rFonts w:ascii="Arial" w:hAnsi="Arial" w:cs="Arial"/>
          <w:color w:val="000000" w:themeColor="text1"/>
        </w:rPr>
      </w:pPr>
      <w:r>
        <w:rPr>
          <w:rFonts w:ascii="Arial" w:hAnsi="Arial" w:cs="Arial"/>
          <w:color w:val="000000" w:themeColor="text1"/>
        </w:rPr>
        <w:t>Stakeholders:</w:t>
      </w:r>
    </w:p>
    <w:p w14:paraId="44CC8255" w14:textId="09A712EC" w:rsidR="00702E80" w:rsidRPr="00A537D1" w:rsidRDefault="00702E80" w:rsidP="00702E80">
      <w:pPr>
        <w:pStyle w:val="ListBullet"/>
        <w:numPr>
          <w:ilvl w:val="0"/>
          <w:numId w:val="0"/>
        </w:numPr>
        <w:ind w:left="360"/>
        <w:jc w:val="both"/>
        <w:rPr>
          <w:rFonts w:ascii="Arial" w:hAnsi="Arial" w:cs="Arial"/>
          <w:color w:val="000000" w:themeColor="text1"/>
        </w:rPr>
      </w:pPr>
      <w:r w:rsidRPr="00702E80">
        <w:rPr>
          <w:rFonts w:ascii="Arial" w:hAnsi="Arial" w:cs="Arial"/>
          <w:color w:val="000000" w:themeColor="text1"/>
        </w:rPr>
        <w:t>This strategy targets high-risk customers early, helping them manage debt before default occurs, which reduces losses and improves portfolio health. It’s a practical, data-driven intervention that balances risk control with customer support.</w:t>
      </w:r>
    </w:p>
    <w:p w14:paraId="08E6A272"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3. Ethical and Responsible AI Considerations</w:t>
      </w:r>
    </w:p>
    <w:p w14:paraId="6A3F7E68" w14:textId="77777777" w:rsidR="00702E80" w:rsidRPr="00702E80" w:rsidRDefault="00702E80" w:rsidP="00702E80">
      <w:pPr>
        <w:rPr>
          <w:rFonts w:ascii="Arial" w:hAnsi="Arial" w:cs="Arial"/>
          <w:color w:val="000000" w:themeColor="text1"/>
          <w:lang w:val="en-IN"/>
        </w:rPr>
      </w:pPr>
      <w:r w:rsidRPr="00702E80">
        <w:rPr>
          <w:rFonts w:ascii="Arial" w:hAnsi="Arial" w:cs="Arial"/>
          <w:b/>
          <w:bCs/>
          <w:color w:val="000000" w:themeColor="text1"/>
          <w:lang w:val="en-IN"/>
        </w:rPr>
        <w:t>1. Bias against vulnerable groups (e.g., low-income or unstable employment customers)</w:t>
      </w:r>
    </w:p>
    <w:p w14:paraId="20E13E64" w14:textId="77777777" w:rsidR="00702E80" w:rsidRPr="00702E80" w:rsidRDefault="00702E80" w:rsidP="00702E80">
      <w:pPr>
        <w:numPr>
          <w:ilvl w:val="0"/>
          <w:numId w:val="12"/>
        </w:numPr>
        <w:jc w:val="both"/>
        <w:rPr>
          <w:rFonts w:ascii="Arial" w:hAnsi="Arial" w:cs="Arial"/>
          <w:color w:val="000000" w:themeColor="text1"/>
          <w:lang w:val="en-IN"/>
        </w:rPr>
      </w:pPr>
      <w:r w:rsidRPr="00702E80">
        <w:rPr>
          <w:rFonts w:ascii="Arial" w:hAnsi="Arial" w:cs="Arial"/>
          <w:b/>
          <w:bCs/>
          <w:color w:val="000000" w:themeColor="text1"/>
          <w:lang w:val="en-IN"/>
        </w:rPr>
        <w:t>Risk:</w:t>
      </w:r>
      <w:r w:rsidRPr="00702E80">
        <w:rPr>
          <w:rFonts w:ascii="Arial" w:hAnsi="Arial" w:cs="Arial"/>
          <w:color w:val="000000" w:themeColor="text1"/>
          <w:lang w:val="en-IN"/>
        </w:rPr>
        <w:t xml:space="preserve"> The model may disproportionately flag these groups as high-risk, limiting their access to credit. </w:t>
      </w:r>
    </w:p>
    <w:p w14:paraId="7C23374D" w14:textId="77777777" w:rsidR="00702E80" w:rsidRPr="00702E80" w:rsidRDefault="00702E80" w:rsidP="00702E80">
      <w:pPr>
        <w:numPr>
          <w:ilvl w:val="0"/>
          <w:numId w:val="12"/>
        </w:numPr>
        <w:jc w:val="both"/>
        <w:rPr>
          <w:rFonts w:ascii="Arial" w:hAnsi="Arial" w:cs="Arial"/>
          <w:color w:val="000000" w:themeColor="text1"/>
          <w:lang w:val="en-IN"/>
        </w:rPr>
      </w:pPr>
      <w:r w:rsidRPr="00702E80">
        <w:rPr>
          <w:rFonts w:ascii="Arial" w:hAnsi="Arial" w:cs="Arial"/>
          <w:b/>
          <w:bCs/>
          <w:color w:val="000000" w:themeColor="text1"/>
          <w:lang w:val="en-IN"/>
        </w:rPr>
        <w:t>Mitigation:</w:t>
      </w:r>
      <w:r w:rsidRPr="00702E80">
        <w:rPr>
          <w:rFonts w:ascii="Arial" w:hAnsi="Arial" w:cs="Arial"/>
          <w:color w:val="000000" w:themeColor="text1"/>
          <w:lang w:val="en-IN"/>
        </w:rPr>
        <w:t xml:space="preserve"> </w:t>
      </w:r>
    </w:p>
    <w:p w14:paraId="6E0D6EEB" w14:textId="77777777" w:rsidR="00702E80" w:rsidRPr="00702E80" w:rsidRDefault="00702E80" w:rsidP="00702E80">
      <w:pPr>
        <w:numPr>
          <w:ilvl w:val="1"/>
          <w:numId w:val="12"/>
        </w:numPr>
        <w:jc w:val="both"/>
        <w:rPr>
          <w:rFonts w:ascii="Arial" w:hAnsi="Arial" w:cs="Arial"/>
          <w:color w:val="000000" w:themeColor="text1"/>
          <w:lang w:val="en-IN"/>
        </w:rPr>
      </w:pPr>
      <w:r w:rsidRPr="00702E80">
        <w:rPr>
          <w:rFonts w:ascii="Arial" w:hAnsi="Arial" w:cs="Arial"/>
          <w:color w:val="000000" w:themeColor="text1"/>
          <w:lang w:val="en-IN"/>
        </w:rPr>
        <w:t xml:space="preserve">Regularly audit model outputs for </w:t>
      </w:r>
      <w:r w:rsidRPr="00702E80">
        <w:rPr>
          <w:rFonts w:ascii="Arial" w:hAnsi="Arial" w:cs="Arial"/>
          <w:b/>
          <w:bCs/>
          <w:color w:val="000000" w:themeColor="text1"/>
          <w:lang w:val="en-IN"/>
        </w:rPr>
        <w:t>disparate impact across segments</w:t>
      </w:r>
      <w:r w:rsidRPr="00702E80">
        <w:rPr>
          <w:rFonts w:ascii="Arial" w:hAnsi="Arial" w:cs="Arial"/>
          <w:color w:val="000000" w:themeColor="text1"/>
          <w:lang w:val="en-IN"/>
        </w:rPr>
        <w:t xml:space="preserve"> </w:t>
      </w:r>
    </w:p>
    <w:p w14:paraId="14652795" w14:textId="77777777" w:rsidR="00702E80" w:rsidRPr="00702E80" w:rsidRDefault="00702E80" w:rsidP="00702E80">
      <w:pPr>
        <w:numPr>
          <w:ilvl w:val="1"/>
          <w:numId w:val="12"/>
        </w:numPr>
        <w:jc w:val="both"/>
        <w:rPr>
          <w:rFonts w:ascii="Arial" w:hAnsi="Arial" w:cs="Arial"/>
          <w:color w:val="000000" w:themeColor="text1"/>
          <w:lang w:val="en-IN"/>
        </w:rPr>
      </w:pPr>
      <w:r w:rsidRPr="00702E80">
        <w:rPr>
          <w:rFonts w:ascii="Arial" w:hAnsi="Arial" w:cs="Arial"/>
          <w:color w:val="000000" w:themeColor="text1"/>
          <w:lang w:val="en-IN"/>
        </w:rPr>
        <w:t xml:space="preserve">Use </w:t>
      </w:r>
      <w:r w:rsidRPr="00702E80">
        <w:rPr>
          <w:rFonts w:ascii="Arial" w:hAnsi="Arial" w:cs="Arial"/>
          <w:b/>
          <w:bCs/>
          <w:color w:val="000000" w:themeColor="text1"/>
          <w:lang w:val="en-IN"/>
        </w:rPr>
        <w:t>fairness-aware modeling techniques</w:t>
      </w:r>
      <w:r w:rsidRPr="00702E80">
        <w:rPr>
          <w:rFonts w:ascii="Arial" w:hAnsi="Arial" w:cs="Arial"/>
          <w:color w:val="000000" w:themeColor="text1"/>
          <w:lang w:val="en-IN"/>
        </w:rPr>
        <w:t xml:space="preserve"> (e.g., reweighting, bias correction) </w:t>
      </w:r>
    </w:p>
    <w:p w14:paraId="07AC3C80" w14:textId="77777777" w:rsidR="00702E80" w:rsidRPr="00702E80" w:rsidRDefault="00702E80" w:rsidP="00702E80">
      <w:pPr>
        <w:numPr>
          <w:ilvl w:val="1"/>
          <w:numId w:val="12"/>
        </w:numPr>
        <w:jc w:val="both"/>
        <w:rPr>
          <w:rFonts w:ascii="Arial" w:hAnsi="Arial" w:cs="Arial"/>
          <w:color w:val="000000" w:themeColor="text1"/>
          <w:lang w:val="en-IN"/>
        </w:rPr>
      </w:pPr>
      <w:r w:rsidRPr="00702E80">
        <w:rPr>
          <w:rFonts w:ascii="Arial" w:hAnsi="Arial" w:cs="Arial"/>
          <w:color w:val="000000" w:themeColor="text1"/>
          <w:lang w:val="en-IN"/>
        </w:rPr>
        <w:t xml:space="preserve">Include alternative data (e.g., repayment history) to avoid over-reliance on income alone </w:t>
      </w:r>
    </w:p>
    <w:p w14:paraId="7599A4E8" w14:textId="77777777" w:rsidR="00702E80" w:rsidRPr="00702E80" w:rsidRDefault="00702E80" w:rsidP="00702E80">
      <w:pPr>
        <w:jc w:val="both"/>
        <w:rPr>
          <w:rFonts w:ascii="Arial" w:hAnsi="Arial" w:cs="Arial"/>
          <w:color w:val="000000" w:themeColor="text1"/>
          <w:lang w:val="en-IN"/>
        </w:rPr>
      </w:pPr>
      <w:r w:rsidRPr="00702E80">
        <w:rPr>
          <w:rFonts w:ascii="Arial" w:hAnsi="Arial" w:cs="Arial"/>
          <w:b/>
          <w:bCs/>
          <w:color w:val="000000" w:themeColor="text1"/>
          <w:lang w:val="en-IN"/>
        </w:rPr>
        <w:t>2. Proxy bias from correlated variables (e.g., location or spending patterns acting as indirect indicators)</w:t>
      </w:r>
    </w:p>
    <w:p w14:paraId="22585125" w14:textId="77777777" w:rsidR="00702E80" w:rsidRPr="00702E80" w:rsidRDefault="00702E80" w:rsidP="00702E80">
      <w:pPr>
        <w:numPr>
          <w:ilvl w:val="0"/>
          <w:numId w:val="13"/>
        </w:numPr>
        <w:jc w:val="both"/>
        <w:rPr>
          <w:rFonts w:ascii="Arial" w:hAnsi="Arial" w:cs="Arial"/>
          <w:color w:val="000000" w:themeColor="text1"/>
          <w:lang w:val="en-IN"/>
        </w:rPr>
      </w:pPr>
      <w:r w:rsidRPr="00702E80">
        <w:rPr>
          <w:rFonts w:ascii="Arial" w:hAnsi="Arial" w:cs="Arial"/>
          <w:b/>
          <w:bCs/>
          <w:color w:val="000000" w:themeColor="text1"/>
          <w:lang w:val="en-IN"/>
        </w:rPr>
        <w:t>Risk:</w:t>
      </w:r>
      <w:r w:rsidRPr="00702E80">
        <w:rPr>
          <w:rFonts w:ascii="Arial" w:hAnsi="Arial" w:cs="Arial"/>
          <w:color w:val="000000" w:themeColor="text1"/>
          <w:lang w:val="en-IN"/>
        </w:rPr>
        <w:t xml:space="preserve"> Even if sensitive attributes are excluded, proxy variables may unintentionally introduce discrimination. </w:t>
      </w:r>
    </w:p>
    <w:p w14:paraId="312DAB78" w14:textId="77777777" w:rsidR="00702E80" w:rsidRPr="00702E80" w:rsidRDefault="00702E80" w:rsidP="00702E80">
      <w:pPr>
        <w:numPr>
          <w:ilvl w:val="0"/>
          <w:numId w:val="13"/>
        </w:numPr>
        <w:jc w:val="both"/>
        <w:rPr>
          <w:rFonts w:ascii="Arial" w:hAnsi="Arial" w:cs="Arial"/>
          <w:color w:val="000000" w:themeColor="text1"/>
          <w:lang w:val="en-IN"/>
        </w:rPr>
      </w:pPr>
      <w:r w:rsidRPr="00702E80">
        <w:rPr>
          <w:rFonts w:ascii="Arial" w:hAnsi="Arial" w:cs="Arial"/>
          <w:b/>
          <w:bCs/>
          <w:color w:val="000000" w:themeColor="text1"/>
          <w:lang w:val="en-IN"/>
        </w:rPr>
        <w:t>Mitigation:</w:t>
      </w:r>
      <w:r w:rsidRPr="00702E80">
        <w:rPr>
          <w:rFonts w:ascii="Arial" w:hAnsi="Arial" w:cs="Arial"/>
          <w:color w:val="000000" w:themeColor="text1"/>
          <w:lang w:val="en-IN"/>
        </w:rPr>
        <w:t xml:space="preserve"> </w:t>
      </w:r>
    </w:p>
    <w:p w14:paraId="4017E8D2" w14:textId="77777777" w:rsidR="00702E80" w:rsidRPr="00702E80" w:rsidRDefault="00702E80" w:rsidP="00702E80">
      <w:pPr>
        <w:numPr>
          <w:ilvl w:val="1"/>
          <w:numId w:val="13"/>
        </w:numPr>
        <w:jc w:val="both"/>
        <w:rPr>
          <w:rFonts w:ascii="Arial" w:hAnsi="Arial" w:cs="Arial"/>
          <w:color w:val="000000" w:themeColor="text1"/>
          <w:lang w:val="en-IN"/>
        </w:rPr>
      </w:pPr>
      <w:r w:rsidRPr="00702E80">
        <w:rPr>
          <w:rFonts w:ascii="Arial" w:hAnsi="Arial" w:cs="Arial"/>
          <w:color w:val="000000" w:themeColor="text1"/>
          <w:lang w:val="en-IN"/>
        </w:rPr>
        <w:t xml:space="preserve">Perform </w:t>
      </w:r>
      <w:r w:rsidRPr="00702E80">
        <w:rPr>
          <w:rFonts w:ascii="Arial" w:hAnsi="Arial" w:cs="Arial"/>
          <w:b/>
          <w:bCs/>
          <w:color w:val="000000" w:themeColor="text1"/>
          <w:lang w:val="en-IN"/>
        </w:rPr>
        <w:t>feature importance and correlation checks</w:t>
      </w:r>
      <w:r w:rsidRPr="00702E80">
        <w:rPr>
          <w:rFonts w:ascii="Arial" w:hAnsi="Arial" w:cs="Arial"/>
          <w:color w:val="000000" w:themeColor="text1"/>
          <w:lang w:val="en-IN"/>
        </w:rPr>
        <w:t xml:space="preserve"> to detect proxy variables </w:t>
      </w:r>
    </w:p>
    <w:p w14:paraId="704B8C0A" w14:textId="77777777" w:rsidR="00702E80" w:rsidRPr="00702E80" w:rsidRDefault="00702E80" w:rsidP="00702E80">
      <w:pPr>
        <w:numPr>
          <w:ilvl w:val="1"/>
          <w:numId w:val="13"/>
        </w:numPr>
        <w:jc w:val="both"/>
        <w:rPr>
          <w:rFonts w:ascii="Arial" w:hAnsi="Arial" w:cs="Arial"/>
          <w:color w:val="000000" w:themeColor="text1"/>
          <w:lang w:val="en-IN"/>
        </w:rPr>
      </w:pPr>
      <w:r w:rsidRPr="00702E80">
        <w:rPr>
          <w:rFonts w:ascii="Arial" w:hAnsi="Arial" w:cs="Arial"/>
          <w:color w:val="000000" w:themeColor="text1"/>
          <w:lang w:val="en-IN"/>
        </w:rPr>
        <w:t xml:space="preserve">Apply </w:t>
      </w:r>
      <w:r w:rsidRPr="00702E80">
        <w:rPr>
          <w:rFonts w:ascii="Arial" w:hAnsi="Arial" w:cs="Arial"/>
          <w:b/>
          <w:bCs/>
          <w:color w:val="000000" w:themeColor="text1"/>
          <w:lang w:val="en-IN"/>
        </w:rPr>
        <w:t>feature selection controls</w:t>
      </w:r>
      <w:r w:rsidRPr="00702E80">
        <w:rPr>
          <w:rFonts w:ascii="Arial" w:hAnsi="Arial" w:cs="Arial"/>
          <w:color w:val="000000" w:themeColor="text1"/>
          <w:lang w:val="en-IN"/>
        </w:rPr>
        <w:t xml:space="preserve"> to remove or reduce biased predictors </w:t>
      </w:r>
    </w:p>
    <w:p w14:paraId="1D484DFA" w14:textId="77777777" w:rsidR="00702E80" w:rsidRPr="00702E80" w:rsidRDefault="00702E80" w:rsidP="00702E80">
      <w:pPr>
        <w:numPr>
          <w:ilvl w:val="1"/>
          <w:numId w:val="13"/>
        </w:numPr>
        <w:jc w:val="both"/>
        <w:rPr>
          <w:rFonts w:ascii="Arial" w:hAnsi="Arial" w:cs="Arial"/>
          <w:color w:val="000000" w:themeColor="text1"/>
          <w:lang w:val="en-IN"/>
        </w:rPr>
      </w:pPr>
      <w:r w:rsidRPr="00702E80">
        <w:rPr>
          <w:rFonts w:ascii="Arial" w:hAnsi="Arial" w:cs="Arial"/>
          <w:color w:val="000000" w:themeColor="text1"/>
          <w:lang w:val="en-IN"/>
        </w:rPr>
        <w:t xml:space="preserve">Continuously monitor model decisions for unintended patterns </w:t>
      </w:r>
    </w:p>
    <w:p w14:paraId="33EC1793" w14:textId="35005EBE" w:rsidR="007D72C2" w:rsidRPr="00A537D1" w:rsidRDefault="007D72C2" w:rsidP="00702E80">
      <w:pPr>
        <w:jc w:val="both"/>
        <w:rPr>
          <w:rFonts w:ascii="Arial" w:hAnsi="Arial" w:cs="Arial"/>
          <w:color w:val="000000" w:themeColor="text1"/>
        </w:rPr>
      </w:pP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617C5B"/>
    <w:multiLevelType w:val="multilevel"/>
    <w:tmpl w:val="1F14C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E0EA1"/>
    <w:multiLevelType w:val="multilevel"/>
    <w:tmpl w:val="E052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DA38C2"/>
    <w:multiLevelType w:val="hybridMultilevel"/>
    <w:tmpl w:val="4E7C4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1C52F1"/>
    <w:multiLevelType w:val="hybridMultilevel"/>
    <w:tmpl w:val="70FE3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1557936181">
    <w:abstractNumId w:val="12"/>
  </w:num>
  <w:num w:numId="11" w16cid:durableId="1169977871">
    <w:abstractNumId w:val="11"/>
  </w:num>
  <w:num w:numId="12" w16cid:durableId="348916006">
    <w:abstractNumId w:val="10"/>
  </w:num>
  <w:num w:numId="13" w16cid:durableId="16125146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4A0B"/>
    <w:rsid w:val="0029639D"/>
    <w:rsid w:val="00326F90"/>
    <w:rsid w:val="00702E80"/>
    <w:rsid w:val="007D72C2"/>
    <w:rsid w:val="008237CA"/>
    <w:rsid w:val="00A537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Satyanarayan Baral</cp:lastModifiedBy>
  <cp:revision>2</cp:revision>
  <dcterms:created xsi:type="dcterms:W3CDTF">2026-05-01T14:17:00Z</dcterms:created>
  <dcterms:modified xsi:type="dcterms:W3CDTF">2026-05-01T14:17:00Z</dcterms:modified>
  <cp:category/>
</cp:coreProperties>
</file>