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Calibri" w:hAnsi="Calibri"/>
          <w:b/>
          <w:i w:val="0"/>
          <w:color w:val="A06A00"/>
          <w:sz w:val="20"/>
        </w:rPr>
        <w:t>ARCHITECTURE REFERENCE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58"/>
        </w:rPr>
        <w:t>PredictiveEdge Hybrid Intelligence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1F4D78"/>
          <w:sz w:val="30"/>
        </w:rPr>
        <w:t>Business Capabilities, Coordination, Events and Module Contracts</w:t>
      </w:r>
    </w:p>
    <w:p>
      <w:pPr>
        <w:spacing w:after="1400"/>
        <w:jc w:val="center"/>
      </w:pPr>
      <w:r>
        <w:rPr>
          <w:rFonts w:ascii="Calibri" w:hAnsi="Calibri"/>
          <w:b/>
          <w:i w:val="0"/>
          <w:color w:val="667085"/>
          <w:sz w:val="22"/>
        </w:rPr>
        <w:t>Market  |  Chart  |  Scanner  |  Strategy  |  Portfolio  |  Decision  |  Risk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8"/>
              </w:rPr>
              <w:t>Proposed baseline for incremental implementation</w:t>
            </w:r>
          </w:p>
        </w:tc>
      </w:tr>
      <w:t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Architecture decision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8"/>
              </w:rPr>
              <w:t>Every module publishes a governed conclusion from deterministic analysis plus optional AI input</w:t>
            </w:r>
          </w:p>
        </w:tc>
      </w:tr>
      <w:t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Default AI provider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8"/>
              </w:rPr>
              <w:t>Ollama; OpenAI API and other providers remain optional adapters</w:t>
            </w:r>
          </w:p>
        </w:tc>
      </w:tr>
      <w:t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Product boundary</w:t>
            </w:r>
          </w:p>
        </w:tc>
        <w:tc>
          <w:tcPr>
            <w:tcW w:type="dxa" w:w="71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8"/>
              </w:rPr>
              <w:t>AI recommends. The trader decides. PredictiveEdge never places live broker orders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Architecture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AF5EE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57A4A"/>
                <w:sz w:val="18"/>
              </w:rPr>
              <w:t xml:space="preserve">DECISION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Each bounded intelligence context first produces a deterministic system assessment. When AI is enabled and available, the module requests a structured AI insight over the same frozen evidence. A module-owned policy then resolves agreement, conflict, timeout or invalid output and publishes one governed conclusion that preserves both components.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63238"/>
          <w:sz w:val="21"/>
        </w:rPr>
        <w:t>This document restores the original PredictiveEdge intent while making the authority boundary explicit: AI is part of the analytical conclusion process, not an external narrative-only afterthought. Deterministic facts, quality gates, risk limits and the human-in-control boundary remain authoritative.</w:t>
      </w:r>
    </w:p>
    <w:p>
      <w:pPr>
        <w:pStyle w:val="Heading2"/>
        <w:keepNext/>
      </w:pPr>
      <w:r>
        <w:t>Constitutional boundaries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Brokers execute trades. PredictiveEdge provides intelligence.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AI recommends. The trader decides.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Every published conclusion is explainable, auditable, point-in-time correct and replayable.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Ollama is the default offline-first provider; commercial providers such as OpenAI are optional and user-configured.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No intelligence or AI adapter exposes broker order placement, modification or cancellation.</w:t>
      </w:r>
    </w:p>
    <w:p>
      <w:pPr>
        <w:pStyle w:val="Heading2"/>
        <w:keepNext/>
      </w:pPr>
      <w:r>
        <w:t>Document map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Architecture decision and common hybrid lifecycle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Intelligence coordination and cross-module contracts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Market, Chart, Scanner, Strategy, Portfolio, Decision and Risk capability definitions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Shared AI capability and provider-neutral integration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Event catalogue, end-to-end processing and delivery roadmap</w:t>
      </w:r>
    </w:p>
    <w:p>
      <w:pPr>
        <w:pStyle w:val="Heading1"/>
        <w:keepNext/>
      </w:pPr>
      <w:r>
        <w:t>2. Common hybrid intelligence lifecycle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i w:val="0"/>
          <w:color w:val="263238"/>
          <w:sz w:val="20"/>
        </w:rPr>
        <w:t>Freeze inputs.</w:t>
      </w:r>
      <w:r>
        <w:rPr>
          <w:rFonts w:ascii="Calibri" w:hAnsi="Calibri"/>
          <w:b w:val="0"/>
          <w:i w:val="0"/>
          <w:color w:val="263238"/>
          <w:sz w:val="20"/>
        </w:rPr>
        <w:t xml:space="preserve"> Select exact aggregate versions, cutoffs, manifests, policies and model eligibility before analysis begins.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i w:val="0"/>
          <w:color w:val="263238"/>
          <w:sz w:val="20"/>
        </w:rPr>
        <w:t>Calculate system assessment.</w:t>
      </w:r>
      <w:r>
        <w:rPr>
          <w:rFonts w:ascii="Calibri" w:hAnsi="Calibri"/>
          <w:b w:val="0"/>
          <w:i w:val="0"/>
          <w:color w:val="263238"/>
          <w:sz w:val="20"/>
        </w:rPr>
        <w:t xml:space="preserve"> Run deterministic calculations, rules, quality gates and reason codes.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i w:val="0"/>
          <w:color w:val="263238"/>
          <w:sz w:val="20"/>
        </w:rPr>
        <w:t>Request optional AI insight.</w:t>
      </w:r>
      <w:r>
        <w:rPr>
          <w:rFonts w:ascii="Calibri" w:hAnsi="Calibri"/>
          <w:b w:val="0"/>
          <w:i w:val="0"/>
          <w:color w:val="263238"/>
          <w:sz w:val="20"/>
        </w:rPr>
        <w:t xml:space="preserve"> Send a module-specific structured request through AiInsightPort with a strict deadline.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i w:val="0"/>
          <w:color w:val="263238"/>
          <w:sz w:val="20"/>
        </w:rPr>
        <w:t>Validate AI output.</w:t>
      </w:r>
      <w:r>
        <w:rPr>
          <w:rFonts w:ascii="Calibri" w:hAnsi="Calibri"/>
          <w:b w:val="0"/>
          <w:i w:val="0"/>
          <w:color w:val="263238"/>
          <w:sz w:val="20"/>
        </w:rPr>
        <w:t xml:space="preserve"> Enforce JSON/schema compatibility, allowed actions, evidence references and content safety.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i w:val="0"/>
          <w:color w:val="263238"/>
          <w:sz w:val="20"/>
        </w:rPr>
        <w:t>Resolve the conclusion.</w:t>
      </w:r>
      <w:r>
        <w:rPr>
          <w:rFonts w:ascii="Calibri" w:hAnsi="Calibri"/>
          <w:b w:val="0"/>
          <w:i w:val="0"/>
          <w:color w:val="263238"/>
          <w:sz w:val="20"/>
        </w:rPr>
        <w:t xml:space="preserve"> Apply module policy to agreement, conflict, missing AI, timeout or invalid output.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i w:val="0"/>
          <w:color w:val="263238"/>
          <w:sz w:val="20"/>
        </w:rPr>
        <w:t>Persist and publish atomically.</w:t>
      </w:r>
      <w:r>
        <w:rPr>
          <w:rFonts w:ascii="Calibri" w:hAnsi="Calibri"/>
          <w:b w:val="0"/>
          <w:i w:val="0"/>
          <w:color w:val="263238"/>
          <w:sz w:val="20"/>
        </w:rPr>
        <w:t xml:space="preserve"> Store the assessment, optional AI artifact, resolution and final conclusion with an outbox event.</w:t>
      </w:r>
    </w:p>
    <w:p>
      <w:pPr>
        <w:pStyle w:val="Heading2"/>
        <w:keepNext/>
      </w:pPr>
      <w:r>
        <w:t>Common conclusion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50"/>
        <w:gridCol w:w="4750"/>
        <w:gridCol w:w="2960"/>
      </w:tblGrid>
      <w:tr>
        <w:trPr>
          <w:tblHeader w:val="true"/>
        </w:trPr>
        <w:tc>
          <w:tcPr>
            <w:tcW w:type="dxa" w:w="16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 group</w:t>
            </w:r>
          </w:p>
        </w:tc>
        <w:tc>
          <w:tcPr>
            <w:tcW w:type="dxa" w:w="47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content</w:t>
            </w:r>
          </w:p>
        </w:tc>
        <w:tc>
          <w:tcPr>
            <w:tcW w:type="dxa" w:w="29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Identity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conclusion ID, aggregate ID/version, schema and policy version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Ordering, idempotency and compatibility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Time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effective, available, analysis cutoff, knowledge cutoff and expiry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Point-in-time correctness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assessment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structured result, reason codes, confidence/quality and content hash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Authoritative deterministic baseline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 assessment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status, structured result, provider/model/prompt, latency and hash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advisory contribution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Resolution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agreement/conflict state, accepted/rejected AI fields and reason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Explainable finalization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Final conclusion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module-specific output and confidence, limits or abstention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Stable downstream contract</w:t>
            </w:r>
          </w:p>
        </w:tc>
      </w:tr>
      <w:tr>
        <w:tc>
          <w:tcPr>
            <w:tcW w:type="dxa" w:w="16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Lineage</w:t>
            </w:r>
          </w:p>
        </w:tc>
        <w:tc>
          <w:tcPr>
            <w:tcW w:type="dxa" w:w="47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context references, evidence manifest and correlation/causation IDs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Audit and exact replay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degradation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AVAILABILITY RULE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unavailability, timeout or invalid output must never prevent a deterministic module conclusion unless a separately approved product policy explicitly requires AI and therefore returns ABSTAIN. Degradation is visible in the conclusion and metrics.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Intelligence coordination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2666"/>
            <wp:docPr id="1" name="Picture 1" descr="Coordination flow across Market, Chart, Scanner, Strategy, Portfolio, Decision and Risk Intelligence with a shared optional AI lay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-intelligence-coordi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2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67085"/>
          <w:sz w:val="17"/>
        </w:rPr>
        <w:t>Figure 1. Governed coordination and optional AI participation across bounded intelligence contexts.</w:t>
      </w:r>
    </w:p>
    <w:p>
      <w:pPr>
        <w:pStyle w:val="Heading2"/>
        <w:keepNext/>
      </w:pPr>
      <w:r>
        <w:t>Primary coordination rules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Downstream modules consume published contracts and never read another module's private tables.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Context references are frozen by aggregate ID and version; consumers cannot silently substitute latest state.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AI output is tagged AI_ADVISORY and never reclassified as a market fact.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 Intelligence retains deterministic veto authority; an AI result may tighten but cannot relax hard controls.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 Intelligence publishes recommendations only; the trader executes outside PredictiveEdge.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Kafka provides event coordination; PostgreSQL plus transactional outbox remains authoritative.</w:t>
      </w:r>
    </w:p>
    <w:p>
      <w:pPr>
        <w:pStyle w:val="Heading2"/>
        <w:keepNext/>
      </w:pPr>
      <w:r>
        <w:t>Cross-module capability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50"/>
        <w:gridCol w:w="2150"/>
        <w:gridCol w:w="3100"/>
        <w:gridCol w:w="2660"/>
      </w:tblGrid>
      <w:tr>
        <w:trPr>
          <w:tblHeader w:val="true"/>
        </w:trPr>
        <w:tc>
          <w:tcPr>
            <w:tcW w:type="dxa" w:w="14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Producer</w:t>
            </w:r>
          </w:p>
        </w:tc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artifact</w:t>
            </w:r>
          </w:p>
        </w:tc>
        <w:tc>
          <w:tcPr>
            <w:tcW w:type="dxa" w:w="3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Main consumers</w:t>
            </w:r>
          </w:p>
        </w:tc>
        <w:tc>
          <w:tcPr>
            <w:tcW w:type="dxa" w:w="26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 contribution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MarketContext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Chart, Scanner, Strategy, Decision, Risk, Portfolio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permission and environment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ChartContext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Scanner, Strategy, Decision, Guardian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Instrument structure and levels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ScannerCandidate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Strategy, Decision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Eligible opportunity and rank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StrategySetup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Risk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Valid setup and invalidation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PortfolioSnapshot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Risk, Guardian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Existing exposure and constraints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TradeRecommendation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Risk, trader, Guardian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Proposed action and rationale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RiskAssessment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trader, Guardian</w:t>
            </w:r>
          </w:p>
        </w:tc>
        <w:tc>
          <w:tcPr>
            <w:tcW w:type="dxa" w:w="26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Approve, reduce, reject or reassess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Market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Create the authoritative, point-in-time description of the governed market environment. It explains market state; it does not recommend a trade.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Canonical trades, quotes, bars, sessions, reference series and effective-dated market facts.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Finality, corrections, dual analysis/knowledge cutoffs and exact replay manifests.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Trend, volatility, liquidity, breadth, sector leadership, event-risk and quality assessments.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Deterministic feature calculation, evidence fusion, regime classification and context confidence.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Materiality, hysteresis, context versioning, degradation, invalidation and revalidation.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observations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Broker/data adapters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Event time, received time, usable time, revision and source identity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Calendar and venue state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Session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Effective sessions, phases, halts, auctions and holidays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Reference and universe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Instrument master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Point-in-time instruments, sectors, constituents and eligibility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Alternative interpretation, contradiction detection and uncertainty narrative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MarketContext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Regime, dimensions, confidence, quality, evidence and immutable lineage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Chart, Scanner, Strategy, Decision, Risk, Portfolio,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MarketBarRevision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Final/corrected OHLCV with causal timing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Chart, features, replay and audit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assessment, AI status/contribution and governed final context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All downstream intelligence modules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may identify contradictions, propose an alternative interpretation or recommend a confidence reduction. It cannot alter prices, bar finality, cutoffs, manifests or calculated features, and it cannot increase confidence beyond deterministic quality caps.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MarketIntelligence.Assessment.Calculated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MarketIntelligence.MarketContext.Created / Updated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MarketIntelligence.Regime.Changed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MarketIntelligence.Volatility.Changed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MarketIntelligence.Confidence.Updated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MarketIntelligence.Context.Degraded / Invalidated / Revalidated</w:t>
      </w:r>
    </w:p>
    <w:p>
      <w:r>
        <w:br w:type="page"/>
      </w:r>
    </w:p>
    <w:p>
      <w:pPr>
        <w:pStyle w:val="Heading1"/>
        <w:keepNext/>
      </w:pPr>
      <w:r>
        <w:t>5. Chart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Convert immutable bars and market context into explainable instrument-level price structure across governed timeframes.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Swing highs/lows, trend structure and higher-high/lower-low state.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Support, resistance, supply/demand zones and prior-session reference levels.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Gaps, channels, compression, breakout, breakdown, retest and failed-break detection.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Pattern candidates with evidence, invalidation and maturity rather than visual certainty claims.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Multi-timeframe alignment, contradiction and structure-quality scoring.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Final/corrected bars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Instrument, timeframe, finality, revision and input manifest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MarketContext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Regime, volatility, liquidity, confidence and quality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Corporate/session events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Event/Session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Halt, split, gap explanation and session phase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Pattern critique, scenario interpretation and contradiction discovery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ChartContext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Levels, structure, patterns, scenarios, quality and lineage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Scanner, Strategy, Decision and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structure plus optional AI critique and resolved conclusion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 and 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can critique pattern interpretation, compare scenarios and explain conflicts. It cannot invent levels, alter finalized bars or turn an unconfirmed visual pattern into a confirmed fact.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ChartIntelligence.Assessment.Calculated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ChartIntelligence.ChartContext.Created / Updated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ChartIntelligence.Structure.Changed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ChartIntelligence.Level.Changed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ChartIntelligence.Breakout.Detected / Invalidated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ChartIntelligence.Pattern.Detected / Invalidated</w:t>
      </w:r>
    </w:p>
    <w:p>
      <w:r>
        <w:br w:type="page"/>
      </w:r>
    </w:p>
    <w:p>
      <w:pPr>
        <w:pStyle w:val="Heading1"/>
        <w:keepNext/>
      </w:pPr>
      <w:r>
        <w:t>6. Scanner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Continuously reduce the governed universe to explainable, point-in-time candidates that satisfy data, liquidity, market and chart eligibility.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Point-in-time universe selection and entitlement-aware data readiness.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Liquidity, spread, volatility, price, volume and session filters.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Market-regime and ChartContext compatibility filters.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Deterministic candidate scoring, rank stability, reason codes and expiry.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Candidate lifecycle tracking across detected, updated, promoted, demoted and removed states.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Universe snapshot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Reference/Market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Effective constituents and instrument eligibility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MarketContext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Permission, regime, quality and volatility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ChartContext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Structure, levels, patterns and timeframe alignment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Rerank eligible candidates and explain qualitative relevance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ScannerCandidate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Rank, score, eligibility, reasons, expiry and context references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and Decision Intelligence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rank plus optional AI rerank and governed final disposition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Intelligence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may rerank or explain candidates that already passed deterministic eligibility. It cannot restore an instrument rejected for quality, liquidity, entitlement, halt or governance reasons.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ScannerIntelligence.Scan.Started / Completed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ScannerIntelligence.AiInsight.Received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ScannerIntelligence.Candidate.Detected / Updated / Removed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ScannerIntelligence.Candidate.Promoted / Demoted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ScannerIntelligence.Rank.Changed</w:t>
      </w:r>
    </w:p>
    <w:p>
      <w:r>
        <w:br w:type="page"/>
      </w:r>
    </w:p>
    <w:p>
      <w:pPr>
        <w:pStyle w:val="Heading1"/>
        <w:keepNext/>
      </w:pPr>
      <w:r>
        <w:t>7. Strategy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Match eligible candidates with versioned strategy definitions and produce governed setups with explicit entry, invalidation and expiry conditions.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Versioned strategy definitions, parameters, supported instruments and session constraints.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Regime, volatility, liquidity and chart-structure compatibility.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Setup readiness, trigger, entry zone, invalidation, target feasibility and time stop.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Conflict detection between strategies and prevention of correlated evidence double counting.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Walk-forward governance, parameter approval, shadow mode and strategy suspension.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ScannerCandidate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Candidate score, reasons, expiry and evidence references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Market/Chart contexts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+ Chart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Regime, levels, volatility, quality and cutoffs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registry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Governance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Approved versions, parameters and applicability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Compare eligible strategy families and critique setup coherence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StrategySetup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version, direction, trigger, invalidation, targets and evidence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and Risk Intelligence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setup plus optional AI comparison and resolved eligibility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Intelligence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may compare already-eligible strategies, surface hidden contradictions and explain why a setup fits. It cannot bypass eligibility, change approved parameters or manufacture a trigger.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StrategyIntelligence.Assessment.Calculated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StrategyIntelligence.AiInsight.Received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StrategyIntelligence.Setup.Created / Updated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StrategyIntelligence.Setup.Invalidated / Expired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StrategyIntelligence.Eligibility.Changed</w:t>
      </w:r>
    </w:p>
    <w:p>
      <w:r>
        <w:br w:type="page"/>
      </w:r>
    </w:p>
    <w:p>
      <w:pPr>
        <w:pStyle w:val="Heading1"/>
        <w:keepNext/>
      </w:pPr>
      <w:r>
        <w:t>8. Portfolio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Maintain the authoritative analytical view of user-owned holdings, manually registered trades, cash, P&amp;L, concentration and exposure without controlling broker execution.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Position, holding, cash and manually registered fill lifecycle.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Realized/unrealized P&amp;L and valuation with explicit price-context references.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Instrument, sector, strategy, direction and correlated exposure.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Concentration, drawdown, risk-budget consumption and portfolio-level conflicts.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Read-only broker reconciliation and explainable rebalance candidates.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Manual/read-only position facts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Trader or broker observation adapter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No broker write authority; exact source and reconciliation state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MarketContext and prices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Point-in-time valuation, quality and market state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Recommendations and plans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Immutable intended exposure and evidence bundle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 interaction narrative and constrained rebalance suggestions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PortfolioSnapshot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Positions, cash, P&amp;L, exposure, concentration, freshness and lineage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Risk and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portfolio state plus optional AI interaction analysis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and Risk Intelligence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may explain portfolio interactions or propose rebalance candidates. It cannot change ledger facts, fabricate fills, submit orders or override ownership and reconciliation state.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PortfolioIntelligence.Snapshot.Created / Updated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PortfolioIntelligence.Position.Opened / Changed / Closed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PortfolioIntelligence.Exposure.Changed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PortfolioIntelligence.Concentration.Breached / Restored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PortfolioIntelligence.Rebalance.Proposed</w:t>
      </w:r>
    </w:p>
    <w:p>
      <w:r>
        <w:br w:type="page"/>
      </w:r>
    </w:p>
    <w:p>
      <w:pPr>
        <w:pStyle w:val="Heading1"/>
        <w:keepNext/>
      </w:pPr>
      <w:r>
        <w:t>9. Decision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Combine frozen market, chart, scanner, strategy and portfolio evidence into an explainable recommendation proposal, then validate the proposal against policy and Risk Intelligence.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Immutable DecisionEvidenceBundle assembly with complete context versions and cutoffs.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Evidence compatibility, contradiction, uncertainty, abstention and recommendation confidence.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BUY, SELL, HOLD, EXIT, WAIT or NO_TRADE recommendation lifecycle.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Proposed entry zone, invalidation, target and review conditions for trader consideration.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 response reconciliation and final recommendation publication without execution authority.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Context and candidate conclusions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Market, Chart and Scanner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Exact aggregate IDs, versions, hashes and cutoffs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StrategySetup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Approved strategy version, trigger and invalidation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PortfolioSnapshot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Existing exposure, cash, conflicts and freshness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RiskAssessment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Approve, reduce, reject or request reassessment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Qualitative synthesis and structured recommendation proposal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DecisionEvidenceBundle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Frozen inputs, manifests, policies and model references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Risk, audit and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TradeRecommendation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Action, confidence, rationale, conditions, risk status and expiry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Trader, Risk and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decision plus AI contribution, conflicts and resolution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 Intelligence and user experience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is most influential here: it may synthesize evidence and propose a recommendation. The response must be structured and policy validated; it cannot approve itself, bypass Risk Intelligence or send a broker order.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DecisionIntelligence.EvidenceBundle.Created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DecisionIntelligence.Recommendation.Drafted / Validated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DecisionIntelligence.Recommendation.Published / Updated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DecisionIntelligence.Recommendation.Rejected / Abstained / Expired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DecisionIntelligence.Reassessment.Requested</w:t>
      </w:r>
    </w:p>
    <w:p>
      <w:r>
        <w:br w:type="page"/>
      </w:r>
    </w:p>
    <w:p>
      <w:pPr>
        <w:pStyle w:val="Heading1"/>
        <w:keepNext/>
      </w:pPr>
      <w:r>
        <w:t>10. Risk Intelligence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MISSION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Independently enforce account, portfolio and recommendation risk policy and return an approve, reduce, reject or reassess conclusion.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Business capabilities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Position-size ceiling, maximum loss, stop-distance and reward/feasibility checks.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Portfolio, sector, instrument, strategy and directional exposure limits.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Liquidity, volatility, gap, event, session, concentration and drawdown controls.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Freshness, confidence and data-quality gates with deterministic veto authority.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Continuous risk-state evaluation for manually registered positions and Trade Guardian.</w:t>
      </w:r>
    </w:p>
    <w:p>
      <w:pPr>
        <w:pStyle w:val="Heading2"/>
        <w:keepNext/>
      </w:pPr>
      <w:r>
        <w:t>Inputs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667085"/>
          <w:sz w:val="19"/>
        </w:rPr>
        <w:t>Every input must carry immutable identity, version, effective/available time and lineage sufficient for live/replay parity.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Input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50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proposal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Recommendation, plan, evidence bundle and expiry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PortfolioSnapshot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Current positions, P&amp;L, exposure and risk budget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Market/Chart contexts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+ Chart Intelligence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Volatility, liquidity, levels, gaps, event and quality states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 policy registry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Governance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Approved limits, overrides, effective dates and kill switches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AI insight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Capability</w:t>
            </w:r>
          </w:p>
        </w:tc>
        <w:tc>
          <w:tcPr>
            <w:tcW w:type="dxa" w:w="50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Additional risk critique or recommendation to tighten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Outputs and consumers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50"/>
        <w:gridCol w:w="4350"/>
        <w:gridCol w:w="2860"/>
      </w:tblGrid>
      <w:tr>
        <w:trPr>
          <w:tblHeader w:val="true"/>
        </w:trPr>
        <w:tc>
          <w:tcPr>
            <w:tcW w:type="dxa" w:w="21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Output</w:t>
            </w:r>
          </w:p>
        </w:tc>
        <w:tc>
          <w:tcPr>
            <w:tcW w:type="dxa" w:w="43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Minimum content</w:t>
            </w:r>
          </w:p>
        </w:tc>
        <w:tc>
          <w:tcPr>
            <w:tcW w:type="dxa" w:w="28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RiskAssessment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APPROVE, REDUCE, REJECT or REASSESS with limits and reason codes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Intelligence, trader and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RiskState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Account/portfolio risk condition and breaches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Portfolio and Trade Guardian</w:t>
            </w:r>
          </w:p>
        </w:tc>
      </w:tr>
      <w:tr>
        <w:tc>
          <w:tcPr>
            <w:tcW w:type="dxa" w:w="21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RiskConclusion</w:t>
            </w:r>
          </w:p>
        </w:tc>
        <w:tc>
          <w:tcPr>
            <w:tcW w:type="dxa" w:w="43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enforcement plus optional AI critique and final governed result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Intelligence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 participation and authority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AI POLICY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AI may find overlooked risk, recommend tighter sizing or support rejection. It cannot relax hard limits, approve a deterministic failure, change portfolio facts or authorize execution.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Domain events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RiskIntelligence.Assessment.Calculated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RiskIntelligence.AiInsight.Received / Failed / TimedOut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RiskIntelligence.Recommendation.Approved / Reduced / Rejected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RiskIntelligence.Reassessment.Requested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RiskIntelligence.RiskState.Changed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RiskIntelligence.Limit.Breached / Restored</w:t>
      </w:r>
    </w:p>
    <w:p>
      <w:r>
        <w:br w:type="page"/>
      </w:r>
    </w:p>
    <w:p>
      <w:pPr>
        <w:pStyle w:val="Heading1"/>
        <w:keepNext/>
      </w:pPr>
      <w:r>
        <w:t>11. Shared AI capability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63238"/>
          <w:sz w:val="21"/>
        </w:rPr>
        <w:t>AI integration is a shared platform capability with module-owned policies. Intelligence modules depend on a provider-neutral port; they never depend directly on Ollama, OpenAI or provider DTOs.</w:t>
      </w:r>
    </w:p>
    <w:p>
      <w:pPr>
        <w:pStyle w:val="Heading2"/>
        <w:keepNext/>
      </w:pPr>
      <w:r>
        <w:t>Recommended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4700"/>
        <w:gridCol w:w="2460"/>
      </w:tblGrid>
      <w:tr>
        <w:trPr>
          <w:tblHeader w:val="true"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Module</w:t>
            </w:r>
          </w:p>
        </w:tc>
        <w:tc>
          <w:tcPr>
            <w:tcW w:type="dxa" w:w="47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Responsibility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Dependency boundary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ai-intelligence-contracts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Provider-neutral request/result envelopes, status and model metadata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Foundation contracts only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ai-intelligence-application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Deadlines, routing, validation, audit and provider selection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Contracts and provider SPI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ai-provider-spi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AiInsightPort and provider capability discovery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No bounded-context semantics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ai-ollama-adapter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Local Ollama HTTP adapter, model health and structured generation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Provider SPI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ai-openai-adapter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Optional OpenAI API adapter using the same port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Provider SPI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module AI policies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Typed prompts, response schema and conflict-resolution rules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Owned by each intelligence context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AiInsightPort contract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Request: module, task type, frozen evidence references, structured facts, permitted actions, constraints, prompt policy and deadline.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Result: status, structured advisory payload, supporting/opposing evidence references, uncertainty, provider/model/prompt metadata, latency, usage and hashes.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Validation: reject unknown actions, missing references, out-of-range values, schema mismatch, prompt injection and untrusted tool instructions.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Fallback: return an explicit failure/timeout result; never fabricate an empty successful response.</w:t>
      </w:r>
    </w:p>
    <w:p>
      <w:pPr>
        <w:pStyle w:val="Heading2"/>
        <w:keepNext/>
      </w:pPr>
      <w:r>
        <w:t>Provider selection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AF5EE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57A4A"/>
                <w:sz w:val="18"/>
              </w:rPr>
              <w:t xml:space="preserve">DEFAULT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Ollama is the default offline-first provider. OpenAI or another commercial provider is opt-in, requires user-supplied credentials, records exactly which fields were transmitted and follows data-classification policy.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Operational controls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Per-module timeout, concurrency limit, queue limit, circuit breaker and kill switch.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Model allowlist, digest/version pinning and prompt-template versioning.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Structured output schema validation and content-size limits.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Latency, timeout, invalid-response, fallback and system/AI disagreement metrics.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No raw broker credentials, licensed news bodies or unnecessary personal data in prompts.</w:t>
      </w:r>
    </w:p>
    <w:p>
      <w:r>
        <w:br w:type="page"/>
      </w:r>
    </w:p>
    <w:p>
      <w:pPr>
        <w:pStyle w:val="Heading1"/>
        <w:keepNext/>
      </w:pPr>
      <w:r>
        <w:t>12. Event architecture and catalogue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63238"/>
          <w:sz w:val="21"/>
        </w:rPr>
        <w:t>Each bounded context owns its event payloads. The shared event platform owns only transport-neutral envelope semantics. State and outbox records commit in one PostgreSQL transaction; Kafka delivery is at least once and consumers deduplicate by event ID and aggregate version.</w:t>
      </w:r>
    </w:p>
    <w:p>
      <w:pPr>
        <w:pStyle w:val="Heading2"/>
        <w:keepNext/>
      </w:pPr>
      <w:r>
        <w:t>Topic topology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50"/>
        <w:gridCol w:w="1900"/>
        <w:gridCol w:w="3710"/>
        <w:gridCol w:w="1700"/>
      </w:tblGrid>
      <w:tr>
        <w:trPr>
          <w:tblHeader w:val="true"/>
        </w:trPr>
        <w:tc>
          <w:tcPr>
            <w:tcW w:type="dxa" w:w="20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Topic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Producer</w:t>
            </w:r>
          </w:p>
        </w:tc>
        <w:tc>
          <w:tcPr>
            <w:tcW w:type="dxa" w:w="371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Primary consumers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Partition key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pe.market-context.v1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Chart, Scanner, Strategy, Decision, Risk, Portfolio, Guardian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scopeId:horizon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pe.chart-context.v1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Scanner, Strategy, Decision, Guardian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instrumentId:timeframe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pe.scanner-candidates.v1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and Decision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universeId:instrumentId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pe.strategy-setups.v1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and Risk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setupId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pe.portfolio.v1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Risk, Guardian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accountId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pe.decisions.v1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Risk, trader projection, Guardian and audit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recommendationId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pe.risk.v1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 Intelligence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Decision, Portfolio, Guardian and audit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accountId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pe.ai-insights.v1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Shared AI application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Owning module, audit and operations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analysisRequestId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Required event-envelope semantics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Globally unique event ID, versioned event type/schema, producer and data classification.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Aggregate ID/version and governed partition key for ordering and gap detection.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Occurred, effective, available, published, analysis-cutoff and knowledge-cutoff timestamps.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Correlation and causation IDs plus recommendation, account and context references where applicable.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Payload hash, evidence-manifest reference and provider/model/prompt metadata for AI-derived artifacts.</w:t>
      </w:r>
    </w:p>
    <w:p>
      <w:pPr>
        <w:pStyle w:val="Heading2"/>
        <w:keepNext/>
      </w:pPr>
      <w:r>
        <w:t>Event naming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7FB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CONVENTION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Use &lt;BoundedContext&gt;.&lt;AggregateOrCapability&gt;.&lt;PastTenseFact&gt;. Commands and requests are not disguised as completed facts. Created is the first aggregate version; Updated is a later version; specialized Changed events are emitted only when the named semantic dimension actually changes.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13. End-to-end recommendation sequence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50"/>
        <w:gridCol w:w="2300"/>
        <w:gridCol w:w="6210"/>
      </w:tblGrid>
      <w:tr>
        <w:trPr>
          <w:tblHeader w:val="true"/>
        </w:trPr>
        <w:tc>
          <w:tcPr>
            <w:tcW w:type="dxa" w:w="85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Step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621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Processing outcome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1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Market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Publishes MarketContext with system assessment, optional AI contribution and exact lineage.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2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Chart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Builds ChartContext from immutable bars and MarketContext; AI may critique structure.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3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Scanner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Filters the governed universe and publishes eligible candidates; AI may rerank survivors.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4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Strategy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Matches approved strategy versions and publishes valid setups; AI may compare eligible families.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5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Portfolio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Publishes current exposure, cash, P&amp;L and conflicts from user-owned facts.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6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Decision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Freezes a DecisionEvidenceBundle and publishes a structured recommendation proposal.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7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Risk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Approves, reduces, rejects or requests reassessment using deterministic veto controls.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8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Decision Intelligence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Publishes the final recommendation or abstention for trader review.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9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Trader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Decides and acts at the broker outside PredictiveEdge; may register the fill manually.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10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Trade Guardian</w:t>
            </w:r>
          </w:p>
        </w:tc>
        <w:tc>
          <w:tcPr>
            <w:tcW w:type="dxa" w:w="621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7"/>
              </w:rPr>
              <w:t>Monitors later contexts and registered position facts and publishes advisory reassessment events.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Conflict resolution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4100"/>
        <w:gridCol w:w="2760"/>
      </w:tblGrid>
      <w:tr>
        <w:trPr>
          <w:tblHeader w:val="true"/>
        </w:trPr>
        <w:tc>
          <w:tcPr>
            <w:tcW w:type="dxa" w:w="25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Condition</w:t>
            </w:r>
          </w:p>
        </w:tc>
        <w:tc>
          <w:tcPr>
            <w:tcW w:type="dxa" w:w="41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outcome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Audit requirement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System and AI agree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Publish within deterministic limits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Record agreement and both hashes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 is stricter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Module policy may tighten, reduce confidence or abstain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Record accepted AI fields and reason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 conflicts with facts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Reject conflicting AI fields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Record conflict and validation codes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 tries to relax risk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Ignore AI relaxation; retain deterministic risk result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Record policy rejection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 unavailable/timeout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Publish system-only conclusion with degraded AI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Record deadline and failure class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Both system and AI uncertain</w:t>
            </w:r>
          </w:p>
        </w:tc>
        <w:tc>
          <w:tcPr>
            <w:tcW w:type="dxa" w:w="41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ABSTAIN or defer until reevaluation trigger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Record unknowns and next trigger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Latency policy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63238"/>
          <w:sz w:val="21"/>
        </w:rPr>
        <w:t>AI invocation should be selective rather than unconditional at market-data frequency. Market and Chart use AI on material changes; Scanner uses AI only for shortlisted candidates; Strategy uses AI for valid setups; Decision uses AI for recommendation candidates; Risk uses AI for complex or elevated-risk cases; Portfolio uses AI on material exposure changes or scheduled reviews.</w:t>
      </w:r>
    </w:p>
    <w:p>
      <w:r>
        <w:br w:type="page"/>
      </w:r>
    </w:p>
    <w:p>
      <w:pPr>
        <w:pStyle w:val="Heading1"/>
        <w:keepNext/>
      </w:pPr>
      <w:r>
        <w:t>14. Incremental delivery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2800"/>
        <w:gridCol w:w="5260"/>
      </w:tblGrid>
      <w:tr>
        <w:trPr>
          <w:tblHeader w:val="true"/>
        </w:trPr>
        <w:tc>
          <w:tcPr>
            <w:tcW w:type="dxa" w:w="13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Increment</w:t>
            </w:r>
          </w:p>
        </w:tc>
        <w:tc>
          <w:tcPr>
            <w:tcW w:type="dxa" w:w="280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Deliverable</w:t>
            </w:r>
          </w:p>
        </w:tc>
        <w:tc>
          <w:tcPr>
            <w:tcW w:type="dxa" w:w="5260"/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Acceptance gate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HIA-0.1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Contracts and shared lifecycle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Conclusion envelope, AI statuses, conflict policy, event names and test fixtures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MI-1.1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MarketContext publication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Immutable store, latest projection, materiality and context/transition events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Provider-neutral AI platform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AiInsightPort, Ollama adapter, schema validation, timeout and audit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Chart vertical slice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Final bars to ChartContext with levels, structure and optional AI critique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Scanner vertical slice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NSE universe filters, deterministic rank and optional AI rerank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Strategy vertical slice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One governed intraday setup family with optional AI comparison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Portfolio baseline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Manual/read-only positions, cash, P&amp;L and exposure snapshot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Risk baseline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Sizing envelope, loss/exposure gates and approve/reduce/reject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DI-0.1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Decision vertical slice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Frozen bundle, AI-assisted proposal, risk resolution and recommendation-only output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HIA-1.0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End-to-end live/replay proof</w:t>
            </w:r>
          </w:p>
        </w:tc>
        <w:tc>
          <w:tcPr>
            <w:tcW w:type="dxa" w:w="5260"/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63238"/>
                <w:sz w:val="16"/>
              </w:rPr>
              <w:t>Same ordered inputs and versions reproduce every structured conclusion hash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Recommended first executable slice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AF5EE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257A4A"/>
                <w:sz w:val="18"/>
              </w:rPr>
              <w:t xml:space="preserve">VERTICAL SLICE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Final RELIANCE and NIFTY bars -&gt; MarketContext -&gt; RELIANCE ChartContext -&gt; ScannerCandidate -&gt; one StrategySetup -&gt; PortfolioSnapshot -&gt; DecisionEvidenceBundle -&gt; AI-assisted recommendation proposal -&gt; deterministic RiskAssessment -&gt; final SELL, WAIT or NO_TRADE recommendation -&gt; exact replay hashes.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Definition of done for every intelligence module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Domain-owned input/output contracts and versioned schemas are documented and tested.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Deterministic system path works with AI disabled and produces stable hashes under replay.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Optional AI request/response schema, provider deadline and invalid-output behavior are tested.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Module-owned conflict policy proves that AI cannot bypass authoritative constraints.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State, AI artifact, resolution and outbox event commit atomically.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Point-in-time queries require complete keys and both analysis and knowledge cutoffs.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Events are idempotent, ordered by aggregate and recoverable through replay.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Metrics cover latency, fallback, disagreement, abstention, invalid responses and outbox lag.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Security review confirms no secrets, restricted content or unnecessary personal data are transmitted.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Human-in-control and recommendation-only boundaries are verified end to end.</w:t>
      </w:r>
    </w:p>
    <w:p>
      <w:pPr>
        <w:pStyle w:val="Heading1"/>
        <w:keepNext/>
      </w:pPr>
      <w:r>
        <w:t>15. Architecture alignment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63238"/>
          <w:sz w:val="21"/>
        </w:rPr>
        <w:t>This baseline consolidates and clarifies the existing PredictiveEdge architecture. It should be read with the following repository decisions and references: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PredictiveEdge Constitution v1.0 - AI First, Offline First, Auditable AI and Human-in-Control.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Market Intelligence Developer Architecture v0.1 - authoritative MarketContext, point-in-time causality and bounded-context ownership.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ADR-0003 - Kafka event backbone, transactional outbox/inbox and immutable context references.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ADR-0004 - recommendation-only trading and human-executed orders.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263238"/>
          <w:sz w:val="20"/>
        </w:rPr>
        <w:t>Intraday Indicator Decision Profile v0.1 - governed feature ownership, non-duplication and risk veto authority.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FF6DD"/>
          </w:tcPr>
          <w:p>
            <w:pPr>
              <w:spacing w:before="40" w:after="40" w:line="276" w:lineRule="auto"/>
            </w:pPr>
            <w:r/>
            <w:r>
              <w:rPr>
                <w:rFonts w:ascii="Calibri" w:hAnsi="Calibri"/>
                <w:b/>
                <w:i w:val="0"/>
                <w:color w:val="A06A00"/>
                <w:sz w:val="18"/>
              </w:rPr>
              <w:t xml:space="preserve">INTERPRETATION  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Where earlier documents describe narrative generation as non-blocking, this baseline extends AI participation to structured advisory input before a module conclusion. The deterministic assessment remains independently publishable, and AI failure follows the explicit degradation policy in this document.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Architecture baseline v0.1  |  Page </w:t>
    </w:r>
    <w:r>
      <w:rPr>
        <w:rFonts w:ascii="Calibri" w:hAnsi="Calibri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7"/>
      </w:rPr>
      <w:t>PredictiveEdge architecture baseline v0.1  |  9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5" w:color="D7DEE8"/>
      </w:pBdr>
    </w:pPr>
    <w:r>
      <w:rPr>
        <w:rFonts w:ascii="Calibri" w:hAnsi="Calibri"/>
        <w:b/>
        <w:i w:val="0"/>
        <w:color w:val="667085"/>
        <w:sz w:val="16"/>
      </w:rPr>
      <w:t>PREDICTIVEEDGE  |  HYBRID INTELLIGENCE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PredictiveEdge Hybrid Intelligence Architecture</dc:title>
  <dc:subject>Business capabilities, coordination, events and module contracts</dc:subject>
  <dc:creator>PredictiveEdge Architecture</dc:creator>
  <cp:keywords>PredictiveEdge, Market Intelligence, Chart Intelligence, Scanner Intelligence, Strategy Intelligence, Portfolio Intelligence, Decision Intelligence, Risk Intelligence, Ollama, OpenAI</cp:keywords>
  <dc:description>Architecture baseline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