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r>
        <w:rPr>
          <w:rFonts w:ascii="Calibri" w:hAnsi="Calibri"/>
          <w:b w:val="0"/>
          <w:i w:val="0"/>
          <w:color w:val="16867A"/>
          <w:sz w:val="22"/>
        </w:rPr>
        <w:t>TECHNICAL DESIGN / RFC</w:t>
      </w:r>
    </w:p>
    <w:p>
      <w:pPr>
        <w:pStyle w:val="Title"/>
      </w:pPr>
      <w:r>
        <w:rPr>
          <w:rFonts w:ascii="Calibri" w:hAnsi="Calibri"/>
          <w:b w:val="0"/>
          <w:i w:val="0"/>
          <w:color w:val="243443"/>
          <w:sz w:val="60"/>
        </w:rPr>
        <w:t>PredictiveEdge Paper Trading Portal</w:t>
      </w:r>
    </w:p>
    <w:p>
      <w:pPr>
        <w:pStyle w:val="Subtitle"/>
      </w:pPr>
      <w:r>
        <w:rPr>
          <w:rFonts w:ascii="Calibri" w:hAnsi="Calibri"/>
          <w:b w:val="0"/>
          <w:i w:val="0"/>
          <w:color w:val="243443"/>
          <w:sz w:val="22"/>
        </w:rPr>
        <w:t>Durable simulation, CORE AI strategy learning, and trader-intent backtesting</w:t>
      </w:r>
    </w:p>
    <w:p>
      <w:pPr>
        <w:spacing w:after="360"/>
      </w:pPr>
    </w:p>
    <w:tbl>
      <w:tblPr>
        <w:tblStyle w:val="TableGrid"/>
        <w:tblW w:type="dxa" w:w="9360"/>
        <w:tblLayout w:type="fixed"/>
        <w:tblLook w:firstColumn="1" w:firstRow="1" w:lastColumn="0" w:lastRow="0" w:noHBand="0" w:noVBand="1" w:val="04A0"/>
        <w:jc w:val="left"/>
        <w:tblInd w:w="120" w:type="dxa"/>
      </w:tblPr>
      <w:tblGrid>
        <w:gridCol w:w="1500"/>
        <w:gridCol w:w="2300"/>
        <w:gridCol w:w="3160"/>
        <w:gridCol w:w="2400"/>
      </w:tblGrid>
      <w:tr>
        <w:trPr>
          <w:tblHeader w:val="1"/>
        </w:trPr>
        <w:tc>
          <w:tcPr>
            <w:tcW w:type="dxa" w:w="1500"/>
            <w:tcMar>
              <w:top w:w="80" w:type="dxa"/>
              <w:start w:w="120" w:type="dxa"/>
              <w:bottom w:w="80" w:type="dxa"/>
              <w:end w:w="120" w:type="dxa"/>
            </w:tcMar>
            <w:vAlign w:val="center"/>
            <w:shd w:fill="EAF2F8"/>
          </w:tcPr>
          <w:p>
            <w:r>
              <w:rPr>
                <w:rFonts w:ascii="Calibri" w:hAnsi="Calibri"/>
                <w:b/>
                <w:i w:val="0"/>
                <w:color w:val="17324D"/>
                <w:sz w:val="19"/>
              </w:rPr>
              <w:t>Version</w:t>
            </w:r>
          </w:p>
        </w:tc>
        <w:tc>
          <w:tcPr>
            <w:tcW w:type="dxa" w:w="2300"/>
            <w:tcMar>
              <w:top w:w="80" w:type="dxa"/>
              <w:start w:w="120" w:type="dxa"/>
              <w:bottom w:w="80" w:type="dxa"/>
              <w:end w:w="120" w:type="dxa"/>
            </w:tcMar>
            <w:vAlign w:val="center"/>
            <w:shd w:fill="EAF2F8"/>
          </w:tcPr>
          <w:p>
            <w:r>
              <w:rPr>
                <w:rFonts w:ascii="Calibri" w:hAnsi="Calibri"/>
                <w:b/>
                <w:i w:val="0"/>
                <w:color w:val="17324D"/>
                <w:sz w:val="19"/>
              </w:rPr>
              <w:t>Status</w:t>
            </w:r>
          </w:p>
        </w:tc>
        <w:tc>
          <w:tcPr>
            <w:tcW w:type="dxa" w:w="3160"/>
            <w:tcMar>
              <w:top w:w="80" w:type="dxa"/>
              <w:start w:w="120" w:type="dxa"/>
              <w:bottom w:w="80" w:type="dxa"/>
              <w:end w:w="120" w:type="dxa"/>
            </w:tcMar>
            <w:vAlign w:val="center"/>
            <w:shd w:fill="EAF2F8"/>
          </w:tcPr>
          <w:p>
            <w:r>
              <w:rPr>
                <w:rFonts w:ascii="Calibri" w:hAnsi="Calibri"/>
                <w:b/>
                <w:i w:val="0"/>
                <w:color w:val="17324D"/>
                <w:sz w:val="19"/>
              </w:rPr>
              <w:t>Owner</w:t>
            </w:r>
          </w:p>
        </w:tc>
        <w:tc>
          <w:tcPr>
            <w:tcW w:type="dxa" w:w="2400"/>
            <w:tcMar>
              <w:top w:w="80" w:type="dxa"/>
              <w:start w:w="120" w:type="dxa"/>
              <w:bottom w:w="80" w:type="dxa"/>
              <w:end w:w="120" w:type="dxa"/>
            </w:tcMar>
            <w:vAlign w:val="center"/>
            <w:shd w:fill="EAF2F8"/>
          </w:tcPr>
          <w:p>
            <w:r>
              <w:rPr>
                <w:rFonts w:ascii="Calibri" w:hAnsi="Calibri"/>
                <w:b/>
                <w:i w:val="0"/>
                <w:color w:val="17324D"/>
                <w:sz w:val="19"/>
              </w:rPr>
              <w:t>Updated</w:t>
            </w:r>
          </w:p>
        </w:tc>
      </w:tr>
      <w:tr>
        <w:tc>
          <w:tcPr>
            <w:tcW w:type="dxa" w:w="1500"/>
            <w:tcMar>
              <w:top w:w="80" w:type="dxa"/>
              <w:start w:w="120" w:type="dxa"/>
              <w:bottom w:w="80" w:type="dxa"/>
              <w:end w:w="120" w:type="dxa"/>
            </w:tcMar>
            <w:vAlign w:val="center"/>
          </w:tcPr>
          <w:p>
            <w:pPr>
              <w:spacing w:after="20"/>
            </w:pPr>
            <w:r>
              <w:rPr>
                <w:rFonts w:ascii="Calibri" w:hAnsi="Calibri"/>
                <w:b w:val="0"/>
                <w:i w:val="0"/>
                <w:color w:val="243443"/>
                <w:sz w:val="18"/>
              </w:rPr>
              <w:t>0.1</w:t>
            </w:r>
          </w:p>
        </w:tc>
        <w:tc>
          <w:tcPr>
            <w:tcW w:type="dxa" w:w="2300"/>
            <w:tcMar>
              <w:top w:w="80" w:type="dxa"/>
              <w:start w:w="120" w:type="dxa"/>
              <w:bottom w:w="80" w:type="dxa"/>
              <w:end w:w="120" w:type="dxa"/>
            </w:tcMar>
            <w:vAlign w:val="center"/>
          </w:tcPr>
          <w:p>
            <w:pPr>
              <w:spacing w:after="20"/>
            </w:pPr>
            <w:r>
              <w:rPr>
                <w:rFonts w:ascii="Calibri" w:hAnsi="Calibri"/>
                <w:b w:val="0"/>
                <w:i w:val="0"/>
                <w:color w:val="243443"/>
                <w:sz w:val="18"/>
              </w:rPr>
              <w:t>Ready for implementation review</w:t>
            </w:r>
          </w:p>
        </w:tc>
        <w:tc>
          <w:tcPr>
            <w:tcW w:type="dxa" w:w="3160"/>
            <w:tcMar>
              <w:top w:w="80" w:type="dxa"/>
              <w:start w:w="120" w:type="dxa"/>
              <w:bottom w:w="80" w:type="dxa"/>
              <w:end w:w="120" w:type="dxa"/>
            </w:tcMar>
            <w:vAlign w:val="center"/>
          </w:tcPr>
          <w:p>
            <w:pPr>
              <w:spacing w:after="20"/>
            </w:pPr>
            <w:r>
              <w:rPr>
                <w:rFonts w:ascii="Calibri" w:hAnsi="Calibri"/>
                <w:b w:val="0"/>
                <w:i w:val="0"/>
                <w:color w:val="243443"/>
                <w:sz w:val="18"/>
              </w:rPr>
              <w:t>PredictiveEdge Architecture</w:t>
            </w:r>
          </w:p>
        </w:tc>
        <w:tc>
          <w:tcPr>
            <w:tcW w:type="dxa" w:w="2400"/>
            <w:tcMar>
              <w:top w:w="80" w:type="dxa"/>
              <w:start w:w="120" w:type="dxa"/>
              <w:bottom w:w="80" w:type="dxa"/>
              <w:end w:w="120" w:type="dxa"/>
            </w:tcMar>
            <w:vAlign w:val="center"/>
          </w:tcPr>
          <w:p>
            <w:pPr>
              <w:spacing w:after="20"/>
            </w:pPr>
            <w:r>
              <w:rPr>
                <w:rFonts w:ascii="Calibri" w:hAnsi="Calibri"/>
                <w:b w:val="0"/>
                <w:i w:val="0"/>
                <w:color w:val="243443"/>
                <w:sz w:val="18"/>
              </w:rPr>
              <w:t>20 July 2026</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1"/>
        </w:trPr>
        <w:tc>
          <w:tcPr>
            <w:tcW w:type="dxa" w:w="9360"/>
            <w:tcMar>
              <w:top w:w="80" w:type="dxa"/>
              <w:start w:w="120" w:type="dxa"/>
              <w:bottom w:w="80" w:type="dxa"/>
              <w:end w:w="120" w:type="dxa"/>
            </w:tcMar>
            <w:vAlign w:val="center"/>
            <w:shd w:fill="F0EDFB"/>
          </w:tcPr>
          <w:p>
            <w:pPr>
              <w:spacing w:after="60"/>
            </w:pPr>
            <w:r>
              <w:rPr>
                <w:rFonts w:ascii="Calibri" w:hAnsi="Calibri"/>
                <w:b/>
                <w:i w:val="0"/>
                <w:color w:val="6D5BD0"/>
                <w:sz w:val="22"/>
              </w:rPr>
              <w:t xml:space="preserve">FOUNDATIONAL DECISION  </w:t>
            </w:r>
            <w:r>
              <w:rPr>
                <w:rFonts w:ascii="Calibri" w:hAnsi="Calibri"/>
                <w:b w:val="0"/>
                <w:i w:val="0"/>
                <w:color w:val="243443"/>
                <w:sz w:val="21"/>
              </w:rPr>
              <w:t>Paper trading is the CORE AI module's controlled training and correction environment. Backtests are also consumed by CORE AI, but may start only from explicit, recorded trader intent. AI may propose and explain; the trader grants authority and controls promotion.</w:t>
            </w:r>
          </w:p>
        </w:tc>
      </w:tr>
    </w:tbl>
    <w:p>
      <w:pPr>
        <w:spacing w:after="20"/>
      </w:pPr>
    </w:p>
    <w:p>
      <w:pPr>
        <w:pStyle w:val="Heading1"/>
      </w:pPr>
      <w:r>
        <w:rPr>
          <w:rFonts w:ascii="Calibri" w:hAnsi="Calibri"/>
          <w:b w:val="0"/>
          <w:i w:val="0"/>
          <w:color w:val="243443"/>
          <w:sz w:val="22"/>
        </w:rPr>
        <w:t>Purpose</w:t>
      </w:r>
    </w:p>
    <w:p>
      <w:r>
        <w:rPr>
          <w:rFonts w:ascii="Calibri" w:hAnsi="Calibri"/>
          <w:b w:val="0"/>
          <w:i w:val="0"/>
          <w:color w:val="243443"/>
          <w:sz w:val="22"/>
        </w:rPr>
        <w:t>This artifact is the development contract for the first paper trading portal. It translates the accepted broker framework into implementable frontend, application, domain, persistence, AI-integration, API, testing, and operating boundaries. It intentionally excludes live order execution.</w:t>
      </w:r>
    </w:p>
    <w:p>
      <w:pPr>
        <w:pStyle w:val="Heading2"/>
      </w:pPr>
      <w:r>
        <w:rPr>
          <w:rFonts w:ascii="Calibri" w:hAnsi="Calibri"/>
          <w:b w:val="0"/>
          <w:i w:val="0"/>
          <w:color w:val="243443"/>
          <w:sz w:val="22"/>
        </w:rPr>
        <w:t>Approval requested</w:t>
      </w:r>
    </w:p>
    <w:p>
      <w:pPr>
        <w:pStyle w:val="ListBullet"/>
        <w:spacing w:after="80" w:line="300" w:lineRule="auto"/>
        <w:ind w:left="540" w:hanging="271"/>
      </w:pPr>
      <w:r>
        <w:rPr>
          <w:rFonts w:ascii="Calibri" w:hAnsi="Calibri"/>
          <w:b w:val="0"/>
          <w:i w:val="0"/>
          <w:color w:val="243443"/>
          <w:sz w:val="22"/>
        </w:rPr>
        <w:t>Approve the MVP scope and safety invariants.</w:t>
      </w:r>
    </w:p>
    <w:p>
      <w:pPr>
        <w:pStyle w:val="ListBullet"/>
        <w:spacing w:after="80" w:line="300" w:lineRule="auto"/>
        <w:ind w:left="540" w:hanging="271"/>
      </w:pPr>
      <w:r>
        <w:rPr>
          <w:rFonts w:ascii="Calibri" w:hAnsi="Calibri"/>
          <w:b w:val="0"/>
          <w:i w:val="0"/>
          <w:color w:val="243443"/>
          <w:sz w:val="22"/>
        </w:rPr>
        <w:t>Approve trader-intent authorization as mandatory for backtest runs.</w:t>
      </w:r>
    </w:p>
    <w:p>
      <w:pPr>
        <w:pStyle w:val="ListBullet"/>
        <w:spacing w:after="80" w:line="300" w:lineRule="auto"/>
        <w:ind w:left="540" w:hanging="271"/>
      </w:pPr>
      <w:r>
        <w:rPr>
          <w:rFonts w:ascii="Calibri" w:hAnsi="Calibri"/>
          <w:b w:val="0"/>
          <w:i w:val="0"/>
          <w:color w:val="243443"/>
          <w:sz w:val="22"/>
        </w:rPr>
        <w:t>Approve immutable strategy-version and experiment lineage before CORE AI integration.</w:t>
      </w:r>
    </w:p>
    <w:p>
      <w:pPr>
        <w:pStyle w:val="ListBullet"/>
        <w:spacing w:after="80" w:line="300" w:lineRule="auto"/>
        <w:ind w:left="540" w:hanging="271"/>
      </w:pPr>
      <w:r>
        <w:rPr>
          <w:rFonts w:ascii="Calibri" w:hAnsi="Calibri"/>
          <w:b w:val="0"/>
          <w:i w:val="0"/>
          <w:color w:val="243443"/>
          <w:sz w:val="22"/>
        </w:rPr>
        <w:t>Resolve the market quote source for production-like paper fills before enabling them outside seeded or replay modes.</w:t>
      </w:r>
    </w:p>
    <w:p>
      <w:r>
        <w:br w:type="page"/>
      </w:r>
    </w:p>
    <w:p>
      <w:pPr>
        <w:pStyle w:val="Heading1"/>
      </w:pPr>
      <w:r>
        <w:rPr>
          <w:rFonts w:ascii="Calibri" w:hAnsi="Calibri"/>
          <w:b w:val="0"/>
          <w:i w:val="0"/>
          <w:color w:val="243443"/>
          <w:sz w:val="22"/>
        </w:rPr>
        <w:t>1. Executive summary</w:t>
      </w:r>
    </w:p>
    <w:p>
      <w:r>
        <w:rPr>
          <w:rFonts w:ascii="Calibri" w:hAnsi="Calibri"/>
          <w:b w:val="0"/>
          <w:i w:val="0"/>
          <w:color w:val="243443"/>
          <w:sz w:val="22"/>
        </w:rPr>
        <w:t>The portal is not a cosmetic wrapper around the existing in-memory adapter. It is a durable simulation subsystem that gives traders a safe workspace and gives CORE AI a governed environment in which strategies can learn from outcomes, diagnose errors, and propose corrected versions.</w:t>
      </w:r>
    </w:p>
    <w:tbl>
      <w:tblPr>
        <w:tblW w:type="dxa" w:w="9360"/>
        <w:jc w:val="left"/>
        <w:tblLayout w:type="fixed"/>
        <w:tblLook w:firstColumn="1" w:firstRow="1" w:lastColumn="0" w:lastRow="0" w:noHBand="0" w:noVBand="1" w:val="04A0"/>
        <w:tblInd w:w="120" w:type="dxa"/>
      </w:tblPr>
      <w:tblGrid>
        <w:gridCol w:w="9360"/>
      </w:tblGrid>
      <w:tr>
        <w:trPr>
          <w:tblHeader w:val="1"/>
        </w:trPr>
        <w:tc>
          <w:tcPr>
            <w:tcW w:type="dxa" w:w="9360"/>
            <w:tcMar>
              <w:top w:w="80" w:type="dxa"/>
              <w:start w:w="120" w:type="dxa"/>
              <w:bottom w:w="80" w:type="dxa"/>
              <w:end w:w="120" w:type="dxa"/>
            </w:tcMar>
            <w:vAlign w:val="center"/>
            <w:shd w:fill="E8F6F3"/>
          </w:tcPr>
          <w:p>
            <w:pPr>
              <w:spacing w:after="60"/>
            </w:pPr>
            <w:r>
              <w:rPr>
                <w:rFonts w:ascii="Calibri" w:hAnsi="Calibri"/>
                <w:b/>
                <w:i w:val="0"/>
                <w:color w:val="16867A"/>
                <w:sz w:val="22"/>
              </w:rPr>
              <w:t xml:space="preserve">Outcome  </w:t>
            </w:r>
            <w:r>
              <w:rPr>
                <w:rFonts w:ascii="Calibri" w:hAnsi="Calibri"/>
                <w:b w:val="0"/>
                <w:i w:val="0"/>
                <w:color w:val="243443"/>
                <w:sz w:val="21"/>
              </w:rPr>
              <w:t>Build a persistent, long-only, INR paper account with market orders, positions, cash ledger, order history, explicit quote freshness, and immutable evidence linking trader intent, strategy version, execution, and evaluation.</w:t>
            </w:r>
          </w:p>
        </w:tc>
      </w:tr>
    </w:tbl>
    <w:p>
      <w:pPr>
        <w:spacing w:after="20"/>
      </w:pPr>
    </w:p>
    <w:p>
      <w:r>
        <w:rPr>
          <w:rFonts w:ascii="Calibri" w:hAnsi="Calibri"/>
          <w:b w:val="0"/>
          <w:i w:val="0"/>
          <w:color w:val="243443"/>
          <w:sz w:val="22"/>
        </w:rPr>
        <w:t>The existing broker-domain, broker-spi, broker-paper-adapter, broker-backtest, and broker connection modules remain the baseline. The adapter's deterministic fill behavior is retained as the execution kernel, while persistence and orchestration move into dedicated application and infrastructure boundaries.</w:t>
      </w:r>
    </w:p>
    <w:p>
      <w:pPr>
        <w:keepNext/>
        <w:jc w:val="center"/>
      </w:pPr>
      <w:r>
        <w:drawing>
          <wp:inline xmlns:a="http://schemas.openxmlformats.org/drawingml/2006/main" xmlns:pic="http://schemas.openxmlformats.org/drawingml/2006/picture">
            <wp:extent cx="5897880" cy="3317558"/>
            <wp:docPr id="1" name="Picture 1" descr="Figure 1. CORE AI uses paper outcomes to learn and propose corrections; promotion remains human-governed."/>
            <wp:cNvGraphicFramePr>
              <a:graphicFrameLocks noChangeAspect="1"/>
            </wp:cNvGraphicFramePr>
            <a:graphic>
              <a:graphicData uri="http://schemas.openxmlformats.org/drawingml/2006/picture">
                <pic:pic>
                  <pic:nvPicPr>
                    <pic:cNvPr id="0" name="01-core-ai-learning-loop.png"/>
                    <pic:cNvPicPr/>
                  </pic:nvPicPr>
                  <pic:blipFill>
                    <a:blip r:embed="rId11"/>
                    <a:stretch>
                      <a:fillRect/>
                    </a:stretch>
                  </pic:blipFill>
                  <pic:spPr>
                    <a:xfrm>
                      <a:off x="0" y="0"/>
                      <a:ext cx="5897880" cy="3317558"/>
                    </a:xfrm>
                    <a:prstGeom prst="rect"/>
                  </pic:spPr>
                </pic:pic>
              </a:graphicData>
            </a:graphic>
          </wp:inline>
        </w:drawing>
      </w:r>
    </w:p>
    <w:p>
      <w:pPr>
        <w:pStyle w:val="Caption"/>
        <w:jc w:val="center"/>
      </w:pPr>
      <w:r>
        <w:t>Figure 1. CORE AI uses paper outcomes to learn and propose corrections; promotion remains human-governed.</w:t>
      </w:r>
    </w:p>
    <w:p>
      <w:pPr>
        <w:pStyle w:val="Heading1"/>
      </w:pPr>
      <w:r>
        <w:rPr>
          <w:rFonts w:ascii="Calibri" w:hAnsi="Calibri"/>
          <w:b w:val="0"/>
          <w:i w:val="0"/>
          <w:color w:val="243443"/>
          <w:sz w:val="22"/>
        </w:rPr>
        <w:t>2. Scope and boundaries</w:t>
      </w:r>
    </w:p>
    <w:p>
      <w:pPr>
        <w:pStyle w:val="Heading2"/>
      </w:pPr>
      <w:r>
        <w:rPr>
          <w:rFonts w:ascii="Calibri" w:hAnsi="Calibri"/>
          <w:b w:val="0"/>
          <w:i w:val="0"/>
          <w:color w:val="243443"/>
          <w:sz w:val="22"/>
        </w:rPr>
        <w:t>MVP capabilities</w:t>
      </w:r>
    </w:p>
    <w:p>
      <w:pPr>
        <w:pStyle w:val="ListBullet"/>
        <w:spacing w:after="80" w:line="300" w:lineRule="auto"/>
        <w:ind w:left="540" w:hanging="271"/>
      </w:pPr>
      <w:r>
        <w:rPr>
          <w:rFonts w:ascii="Calibri" w:hAnsi="Calibri"/>
          <w:b w:val="0"/>
          <w:i w:val="0"/>
          <w:color w:val="243443"/>
          <w:sz w:val="22"/>
        </w:rPr>
        <w:t>One durable paper account per user, base currency INR, configurable initial cash, and explicit reset history.</w:t>
      </w:r>
    </w:p>
    <w:p>
      <w:pPr>
        <w:pStyle w:val="ListBullet"/>
        <w:spacing w:after="80" w:line="300" w:lineRule="auto"/>
        <w:ind w:left="540" w:hanging="271"/>
      </w:pPr>
      <w:r>
        <w:rPr>
          <w:rFonts w:ascii="Calibri" w:hAnsi="Calibri"/>
          <w:b w:val="0"/>
          <w:i w:val="0"/>
          <w:color w:val="243443"/>
          <w:sz w:val="22"/>
        </w:rPr>
        <w:t>Long-only market BUY and SELL orders with immediate fill or rejection.</w:t>
      </w:r>
    </w:p>
    <w:p>
      <w:pPr>
        <w:pStyle w:val="ListBullet"/>
        <w:spacing w:after="80" w:line="300" w:lineRule="auto"/>
        <w:ind w:left="540" w:hanging="271"/>
      </w:pPr>
      <w:r>
        <w:rPr>
          <w:rFonts w:ascii="Calibri" w:hAnsi="Calibri"/>
          <w:b w:val="0"/>
          <w:i w:val="0"/>
          <w:color w:val="243443"/>
          <w:sz w:val="22"/>
        </w:rPr>
        <w:t>Positions, cash, cost basis, realized and unrealized P&amp;L, orders, fills, and activity ledger.</w:t>
      </w:r>
    </w:p>
    <w:p>
      <w:pPr>
        <w:pStyle w:val="ListBullet"/>
        <w:spacing w:after="80" w:line="300" w:lineRule="auto"/>
        <w:ind w:left="540" w:hanging="271"/>
      </w:pPr>
      <w:r>
        <w:rPr>
          <w:rFonts w:ascii="Calibri" w:hAnsi="Calibri"/>
          <w:b w:val="0"/>
          <w:i w:val="0"/>
          <w:color w:val="243443"/>
          <w:sz w:val="22"/>
        </w:rPr>
        <w:t>Seeded-development and replay quote sources; a provider-neutral fresh snapshot port for production-like paper trading.</w:t>
      </w:r>
    </w:p>
    <w:p>
      <w:pPr>
        <w:pStyle w:val="ListBullet"/>
        <w:spacing w:after="80" w:line="300" w:lineRule="auto"/>
        <w:ind w:left="540" w:hanging="271"/>
      </w:pPr>
      <w:r>
        <w:rPr>
          <w:rFonts w:ascii="Calibri" w:hAnsi="Calibri"/>
          <w:b w:val="0"/>
          <w:i w:val="0"/>
          <w:color w:val="243443"/>
          <w:sz w:val="22"/>
        </w:rPr>
        <w:t>CORE AI strategy candidates executed through the same paper order contract as manual portal orders.</w:t>
      </w:r>
    </w:p>
    <w:p>
      <w:pPr>
        <w:pStyle w:val="ListBullet"/>
        <w:spacing w:after="80" w:line="300" w:lineRule="auto"/>
        <w:ind w:left="540" w:hanging="271"/>
      </w:pPr>
      <w:r>
        <w:rPr>
          <w:rFonts w:ascii="Calibri" w:hAnsi="Calibri"/>
          <w:b w:val="0"/>
          <w:i w:val="0"/>
          <w:color w:val="243443"/>
          <w:sz w:val="22"/>
        </w:rPr>
        <w:t>Strategy version, model/runtime metadata, dataset hash, intent ID, parameters, order/fill lineage, metrics, and explanation evidence.</w:t>
      </w:r>
    </w:p>
    <w:p>
      <w:pPr>
        <w:pStyle w:val="ListBullet"/>
        <w:spacing w:after="80" w:line="300" w:lineRule="auto"/>
        <w:ind w:left="540" w:hanging="271"/>
      </w:pPr>
      <w:r>
        <w:rPr>
          <w:rFonts w:ascii="Calibri" w:hAnsi="Calibri"/>
          <w:b w:val="0"/>
          <w:i w:val="0"/>
          <w:color w:val="243443"/>
          <w:sz w:val="22"/>
        </w:rPr>
        <w:t>Backtest runs created only after explicit trader confirmation of scope, strategy, dataset, budget, and expiry.</w:t>
      </w:r>
    </w:p>
    <w:p>
      <w:pPr>
        <w:pStyle w:val="ListBullet"/>
        <w:spacing w:after="80" w:line="300" w:lineRule="auto"/>
        <w:ind w:left="540" w:hanging="271"/>
      </w:pPr>
      <w:r>
        <w:rPr>
          <w:rFonts w:ascii="Calibri" w:hAnsi="Calibri"/>
          <w:b w:val="0"/>
          <w:i w:val="0"/>
          <w:color w:val="243443"/>
          <w:sz w:val="22"/>
        </w:rPr>
        <w:t>Responsive web portal with visible PAPER mode, quote age/source, AI attribution, and LIVE LOCKED status.</w:t>
      </w:r>
    </w:p>
    <w:p>
      <w:pPr>
        <w:pStyle w:val="Heading2"/>
      </w:pPr>
      <w:r>
        <w:rPr>
          <w:rFonts w:ascii="Calibri" w:hAnsi="Calibri"/>
          <w:b w:val="0"/>
          <w:i w:val="0"/>
          <w:color w:val="243443"/>
          <w:sz w:val="22"/>
        </w:rPr>
        <w:t>Explicit non-goals</w:t>
      </w:r>
    </w:p>
    <w:p>
      <w:pPr>
        <w:pStyle w:val="ListBullet"/>
        <w:spacing w:after="80" w:line="300" w:lineRule="auto"/>
        <w:ind w:left="540" w:hanging="271"/>
      </w:pPr>
      <w:r>
        <w:rPr>
          <w:rFonts w:ascii="Calibri" w:hAnsi="Calibri"/>
          <w:b w:val="0"/>
          <w:i w:val="0"/>
          <w:color w:val="243443"/>
          <w:sz w:val="22"/>
        </w:rPr>
        <w:t>Live broker order placement or any transport capable of placing a Zerodha order.</w:t>
      </w:r>
    </w:p>
    <w:p>
      <w:pPr>
        <w:pStyle w:val="ListBullet"/>
        <w:spacing w:after="80" w:line="300" w:lineRule="auto"/>
        <w:ind w:left="540" w:hanging="271"/>
      </w:pPr>
      <w:r>
        <w:rPr>
          <w:rFonts w:ascii="Calibri" w:hAnsi="Calibri"/>
          <w:b w:val="0"/>
          <w:i w:val="0"/>
          <w:color w:val="243443"/>
          <w:sz w:val="22"/>
        </w:rPr>
        <w:t>Margin, short selling, derivatives, leverage, partial fills, limit/stop orders, corporate actions, or multi-currency accounting in v0.1.</w:t>
      </w:r>
    </w:p>
    <w:p>
      <w:pPr>
        <w:pStyle w:val="ListBullet"/>
        <w:spacing w:after="80" w:line="300" w:lineRule="auto"/>
        <w:ind w:left="540" w:hanging="271"/>
      </w:pPr>
      <w:r>
        <w:rPr>
          <w:rFonts w:ascii="Calibri" w:hAnsi="Calibri"/>
          <w:b w:val="0"/>
          <w:i w:val="0"/>
          <w:color w:val="243443"/>
          <w:sz w:val="22"/>
        </w:rPr>
        <w:t>Unattended AI authority to launch backtests, mutate approved intent, promote a strategy, or move a strategy to live execution.</w:t>
      </w:r>
    </w:p>
    <w:p>
      <w:pPr>
        <w:pStyle w:val="ListBullet"/>
        <w:spacing w:after="80" w:line="300" w:lineRule="auto"/>
        <w:ind w:left="540" w:hanging="271"/>
      </w:pPr>
      <w:r>
        <w:rPr>
          <w:rFonts w:ascii="Calibri" w:hAnsi="Calibri"/>
          <w:b w:val="0"/>
          <w:i w:val="0"/>
          <w:color w:val="243443"/>
          <w:sz w:val="22"/>
        </w:rPr>
        <w:t>Self-modifying production code or model weight training inside the transaction path. Learning means governed strategy/version iteration using captured evidence.</w:t>
      </w:r>
    </w:p>
    <w:p>
      <w:pPr>
        <w:pStyle w:val="Heading1"/>
      </w:pPr>
      <w:r>
        <w:rPr>
          <w:rFonts w:ascii="Calibri" w:hAnsi="Calibri"/>
          <w:b w:val="0"/>
          <w:i w:val="0"/>
          <w:color w:val="243443"/>
          <w:sz w:val="22"/>
        </w:rPr>
        <w:t>3. Architectural decisions</w:t>
      </w:r>
    </w:p>
    <w:p>
      <w:pPr>
        <w:keepNext/>
        <w:jc w:val="center"/>
      </w:pPr>
      <w:r>
        <w:drawing>
          <wp:inline xmlns:a="http://schemas.openxmlformats.org/drawingml/2006/main" xmlns:pic="http://schemas.openxmlformats.org/drawingml/2006/picture">
            <wp:extent cx="5897880" cy="3317558"/>
            <wp:docPr id="2" name="Picture 2" descr="Figure 2. Target modular-monolith architecture and ports for UI, CORE AI, quotes, persistence, and events."/>
            <wp:cNvGraphicFramePr>
              <a:graphicFrameLocks noChangeAspect="1"/>
            </wp:cNvGraphicFramePr>
            <a:graphic>
              <a:graphicData uri="http://schemas.openxmlformats.org/drawingml/2006/picture">
                <pic:pic>
                  <pic:nvPicPr>
                    <pic:cNvPr id="0" name="02-target-architecture.png"/>
                    <pic:cNvPicPr/>
                  </pic:nvPicPr>
                  <pic:blipFill>
                    <a:blip r:embed="rId12"/>
                    <a:stretch>
                      <a:fillRect/>
                    </a:stretch>
                  </pic:blipFill>
                  <pic:spPr>
                    <a:xfrm>
                      <a:off x="0" y="0"/>
                      <a:ext cx="5897880" cy="3317558"/>
                    </a:xfrm>
                    <a:prstGeom prst="rect"/>
                  </pic:spPr>
                </pic:pic>
              </a:graphicData>
            </a:graphic>
          </wp:inline>
        </w:drawing>
      </w:r>
    </w:p>
    <w:p>
      <w:pPr>
        <w:pStyle w:val="Caption"/>
        <w:jc w:val="center"/>
      </w:pPr>
      <w:r>
        <w:t>Figure 2. Target modular-monolith architecture and ports for UI, CORE AI, quotes, persistence, and events.</w:t>
      </w:r>
    </w:p>
    <w:tbl>
      <w:tblPr>
        <w:tblStyle w:val="TableGrid"/>
        <w:tblW w:type="dxa" w:w="9360"/>
        <w:tblLayout w:type="fixed"/>
        <w:tblLook w:firstColumn="1" w:firstRow="1" w:lastColumn="0" w:lastRow="0" w:noHBand="0" w:noVBand="1" w:val="04A0"/>
        <w:jc w:val="left"/>
        <w:tblInd w:w="120" w:type="dxa"/>
      </w:tblPr>
      <w:tblGrid>
        <w:gridCol w:w="2200"/>
        <w:gridCol w:w="3500"/>
        <w:gridCol w:w="3660"/>
      </w:tblGrid>
      <w:tr>
        <w:trPr>
          <w:tblHeader w:val="1"/>
        </w:trPr>
        <w:tc>
          <w:tcPr>
            <w:tcW w:type="dxa" w:w="2200"/>
            <w:tcMar>
              <w:top w:w="80" w:type="dxa"/>
              <w:start w:w="120" w:type="dxa"/>
              <w:bottom w:w="80" w:type="dxa"/>
              <w:end w:w="120" w:type="dxa"/>
            </w:tcMar>
            <w:vAlign w:val="center"/>
            <w:shd w:fill="EAF2F8"/>
          </w:tcPr>
          <w:p>
            <w:r>
              <w:rPr>
                <w:rFonts w:ascii="Calibri" w:hAnsi="Calibri"/>
                <w:b/>
                <w:i w:val="0"/>
                <w:color w:val="17324D"/>
                <w:sz w:val="19"/>
              </w:rPr>
              <w:t>Decision</w:t>
            </w:r>
          </w:p>
        </w:tc>
        <w:tc>
          <w:tcPr>
            <w:tcW w:type="dxa" w:w="3500"/>
            <w:tcMar>
              <w:top w:w="80" w:type="dxa"/>
              <w:start w:w="120" w:type="dxa"/>
              <w:bottom w:w="80" w:type="dxa"/>
              <w:end w:w="120" w:type="dxa"/>
            </w:tcMar>
            <w:vAlign w:val="center"/>
            <w:shd w:fill="EAF2F8"/>
          </w:tcPr>
          <w:p>
            <w:r>
              <w:rPr>
                <w:rFonts w:ascii="Calibri" w:hAnsi="Calibri"/>
                <w:b/>
                <w:i w:val="0"/>
                <w:color w:val="17324D"/>
                <w:sz w:val="19"/>
              </w:rPr>
              <w:t>Rationale</w:t>
            </w:r>
          </w:p>
        </w:tc>
        <w:tc>
          <w:tcPr>
            <w:tcW w:type="dxa" w:w="3660"/>
            <w:tcMar>
              <w:top w:w="80" w:type="dxa"/>
              <w:start w:w="120" w:type="dxa"/>
              <w:bottom w:w="80" w:type="dxa"/>
              <w:end w:w="120" w:type="dxa"/>
            </w:tcMar>
            <w:vAlign w:val="center"/>
            <w:shd w:fill="EAF2F8"/>
          </w:tcPr>
          <w:p>
            <w:r>
              <w:rPr>
                <w:rFonts w:ascii="Calibri" w:hAnsi="Calibri"/>
                <w:b/>
                <w:i w:val="0"/>
                <w:color w:val="17324D"/>
                <w:sz w:val="19"/>
              </w:rPr>
              <w:t>Consequence</w:t>
            </w:r>
          </w:p>
        </w:tc>
      </w:tr>
      <w:tr>
        <w:tc>
          <w:tcPr>
            <w:tcW w:type="dxa" w:w="2200"/>
            <w:tcMar>
              <w:top w:w="80" w:type="dxa"/>
              <w:start w:w="120" w:type="dxa"/>
              <w:bottom w:w="80" w:type="dxa"/>
              <w:end w:w="120" w:type="dxa"/>
            </w:tcMar>
            <w:vAlign w:val="center"/>
          </w:tcPr>
          <w:p>
            <w:pPr>
              <w:spacing w:after="20"/>
            </w:pPr>
            <w:r>
              <w:rPr>
                <w:rFonts w:ascii="Calibri" w:hAnsi="Calibri"/>
                <w:b w:val="0"/>
                <w:i w:val="0"/>
                <w:color w:val="243443"/>
                <w:sz w:val="18"/>
              </w:rPr>
              <w:t>Durable application layer around the paper adapter</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The current adapter owns in-memory state and is unsuitable for restart-safe user accounts.</w:t>
            </w:r>
          </w:p>
        </w:tc>
        <w:tc>
          <w:tcPr>
            <w:tcW w:type="dxa" w:w="3660"/>
            <w:tcMar>
              <w:top w:w="80" w:type="dxa"/>
              <w:start w:w="120" w:type="dxa"/>
              <w:bottom w:w="80" w:type="dxa"/>
              <w:end w:w="120" w:type="dxa"/>
            </w:tcMar>
            <w:vAlign w:val="center"/>
          </w:tcPr>
          <w:p>
            <w:pPr>
              <w:spacing w:after="20"/>
            </w:pPr>
            <w:r>
              <w:rPr>
                <w:rFonts w:ascii="Calibri" w:hAnsi="Calibri"/>
                <w:b w:val="0"/>
                <w:i w:val="0"/>
                <w:color w:val="243443"/>
                <w:sz w:val="18"/>
              </w:rPr>
              <w:t>Commands use repositories and a transaction boundary; the adapter remains a deterministic execution kernel.</w:t>
            </w:r>
          </w:p>
        </w:tc>
      </w:tr>
      <w:tr>
        <w:tc>
          <w:tcPr>
            <w:tcW w:type="dxa" w:w="2200"/>
            <w:tcMar>
              <w:top w:w="80" w:type="dxa"/>
              <w:start w:w="120" w:type="dxa"/>
              <w:bottom w:w="80" w:type="dxa"/>
              <w:end w:w="120" w:type="dxa"/>
            </w:tcMar>
            <w:vAlign w:val="center"/>
          </w:tcPr>
          <w:p>
            <w:pPr>
              <w:spacing w:after="20"/>
            </w:pPr>
            <w:r>
              <w:rPr>
                <w:rFonts w:ascii="Calibri" w:hAnsi="Calibri"/>
                <w:b w:val="0"/>
                <w:i w:val="0"/>
                <w:color w:val="243443"/>
                <w:sz w:val="18"/>
              </w:rPr>
              <w:t>CORE AI integrates through ports and events</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Trading Intelligence must not depend on UI, persistence, or broker details.</w:t>
            </w:r>
          </w:p>
        </w:tc>
        <w:tc>
          <w:tcPr>
            <w:tcW w:type="dxa" w:w="3660"/>
            <w:tcMar>
              <w:top w:w="80" w:type="dxa"/>
              <w:start w:w="120" w:type="dxa"/>
              <w:bottom w:w="80" w:type="dxa"/>
              <w:end w:w="120" w:type="dxa"/>
            </w:tcMar>
            <w:vAlign w:val="center"/>
          </w:tcPr>
          <w:p>
            <w:pPr>
              <w:spacing w:after="20"/>
            </w:pPr>
            <w:r>
              <w:rPr>
                <w:rFonts w:ascii="Calibri" w:hAnsi="Calibri"/>
                <w:b w:val="0"/>
                <w:i w:val="0"/>
                <w:color w:val="243443"/>
                <w:sz w:val="18"/>
              </w:rPr>
              <w:t>AI submits versioned strategy commands and consumes immutable outcome evidence.</w:t>
            </w:r>
          </w:p>
        </w:tc>
      </w:tr>
      <w:tr>
        <w:tc>
          <w:tcPr>
            <w:tcW w:type="dxa" w:w="2200"/>
            <w:tcMar>
              <w:top w:w="80" w:type="dxa"/>
              <w:start w:w="120" w:type="dxa"/>
              <w:bottom w:w="80" w:type="dxa"/>
              <w:end w:w="120" w:type="dxa"/>
            </w:tcMar>
            <w:vAlign w:val="center"/>
          </w:tcPr>
          <w:p>
            <w:pPr>
              <w:spacing w:after="20"/>
            </w:pPr>
            <w:r>
              <w:rPr>
                <w:rFonts w:ascii="Calibri" w:hAnsi="Calibri"/>
                <w:b w:val="0"/>
                <w:i w:val="0"/>
                <w:color w:val="243443"/>
                <w:sz w:val="18"/>
              </w:rPr>
              <w:t>Trader intent is an authorization artifact</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Human-in-control must be enforceable, not a UI convention.</w:t>
            </w:r>
          </w:p>
        </w:tc>
        <w:tc>
          <w:tcPr>
            <w:tcW w:type="dxa" w:w="3660"/>
            <w:tcMar>
              <w:top w:w="80" w:type="dxa"/>
              <w:start w:w="120" w:type="dxa"/>
              <w:bottom w:w="80" w:type="dxa"/>
              <w:end w:w="120" w:type="dxa"/>
            </w:tcMar>
            <w:vAlign w:val="center"/>
          </w:tcPr>
          <w:p>
            <w:pPr>
              <w:spacing w:after="20"/>
            </w:pPr>
            <w:r>
              <w:rPr>
                <w:rFonts w:ascii="Calibri" w:hAnsi="Calibri"/>
                <w:b w:val="0"/>
                <w:i w:val="0"/>
                <w:color w:val="243443"/>
                <w:sz w:val="18"/>
              </w:rPr>
              <w:t>Backtest jobs require a valid, confirmed, scoped intent token.</w:t>
            </w:r>
          </w:p>
        </w:tc>
      </w:tr>
      <w:tr>
        <w:tc>
          <w:tcPr>
            <w:tcW w:type="dxa" w:w="2200"/>
            <w:tcMar>
              <w:top w:w="80" w:type="dxa"/>
              <w:start w:w="120" w:type="dxa"/>
              <w:bottom w:w="80" w:type="dxa"/>
              <w:end w:w="120" w:type="dxa"/>
            </w:tcMar>
            <w:vAlign w:val="center"/>
          </w:tcPr>
          <w:p>
            <w:pPr>
              <w:spacing w:after="20"/>
            </w:pPr>
            <w:r>
              <w:rPr>
                <w:rFonts w:ascii="Calibri" w:hAnsi="Calibri"/>
                <w:b w:val="0"/>
                <w:i w:val="0"/>
                <w:color w:val="243443"/>
                <w:sz w:val="18"/>
              </w:rPr>
              <w:t>Ledger is authoritative</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Mutable balances alone cannot explain or reconstruct outcomes.</w:t>
            </w:r>
          </w:p>
        </w:tc>
        <w:tc>
          <w:tcPr>
            <w:tcW w:type="dxa" w:w="3660"/>
            <w:tcMar>
              <w:top w:w="80" w:type="dxa"/>
              <w:start w:w="120" w:type="dxa"/>
              <w:bottom w:w="80" w:type="dxa"/>
              <w:end w:w="120" w:type="dxa"/>
            </w:tcMar>
            <w:vAlign w:val="center"/>
          </w:tcPr>
          <w:p>
            <w:pPr>
              <w:spacing w:after="20"/>
            </w:pPr>
            <w:r>
              <w:rPr>
                <w:rFonts w:ascii="Calibri" w:hAnsi="Calibri"/>
                <w:b w:val="0"/>
                <w:i w:val="0"/>
                <w:color w:val="243443"/>
                <w:sz w:val="18"/>
              </w:rPr>
              <w:t>Cash movements and fills are append-only; positions and account snapshots are projections.</w:t>
            </w:r>
          </w:p>
        </w:tc>
      </w:tr>
      <w:tr>
        <w:tc>
          <w:tcPr>
            <w:tcW w:type="dxa" w:w="2200"/>
            <w:tcMar>
              <w:top w:w="80" w:type="dxa"/>
              <w:start w:w="120" w:type="dxa"/>
              <w:bottom w:w="80" w:type="dxa"/>
              <w:end w:w="120" w:type="dxa"/>
            </w:tcMar>
            <w:vAlign w:val="center"/>
          </w:tcPr>
          <w:p>
            <w:pPr>
              <w:spacing w:after="20"/>
            </w:pPr>
            <w:r>
              <w:rPr>
                <w:rFonts w:ascii="Calibri" w:hAnsi="Calibri"/>
                <w:b w:val="0"/>
                <w:i w:val="0"/>
                <w:color w:val="243443"/>
                <w:sz w:val="18"/>
              </w:rPr>
              <w:t>Quote freshness is server enforced</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Client prices are untrusted and stale fills corrupt learning.</w:t>
            </w:r>
          </w:p>
        </w:tc>
        <w:tc>
          <w:tcPr>
            <w:tcW w:type="dxa" w:w="3660"/>
            <w:tcMar>
              <w:top w:w="80" w:type="dxa"/>
              <w:start w:w="120" w:type="dxa"/>
              <w:bottom w:w="80" w:type="dxa"/>
              <w:end w:w="120" w:type="dxa"/>
            </w:tcMar>
            <w:vAlign w:val="center"/>
          </w:tcPr>
          <w:p>
            <w:pPr>
              <w:spacing w:after="20"/>
            </w:pPr>
            <w:r>
              <w:rPr>
                <w:rFonts w:ascii="Calibri" w:hAnsi="Calibri"/>
                <w:b w:val="0"/>
                <w:i w:val="0"/>
                <w:color w:val="243443"/>
                <w:sz w:val="18"/>
              </w:rPr>
              <w:t>Every fill stores source and as-of time; missing/stale prices reject without mutation.</w:t>
            </w:r>
          </w:p>
        </w:tc>
      </w:tr>
      <w:tr>
        <w:tc>
          <w:tcPr>
            <w:tcW w:type="dxa" w:w="2200"/>
            <w:tcMar>
              <w:top w:w="80" w:type="dxa"/>
              <w:start w:w="120" w:type="dxa"/>
              <w:bottom w:w="80" w:type="dxa"/>
              <w:end w:w="120" w:type="dxa"/>
            </w:tcMar>
            <w:vAlign w:val="center"/>
          </w:tcPr>
          <w:p>
            <w:pPr>
              <w:spacing w:after="20"/>
            </w:pPr>
            <w:r>
              <w:rPr>
                <w:rFonts w:ascii="Calibri" w:hAnsi="Calibri"/>
                <w:b w:val="0"/>
                <w:i w:val="0"/>
                <w:color w:val="243443"/>
                <w:sz w:val="18"/>
              </w:rPr>
              <w:t>Transactional outbox</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AI evaluation and UI updates must not be lost after a committed fill.</w:t>
            </w:r>
          </w:p>
        </w:tc>
        <w:tc>
          <w:tcPr>
            <w:tcW w:type="dxa" w:w="3660"/>
            <w:tcMar>
              <w:top w:w="80" w:type="dxa"/>
              <w:start w:w="120" w:type="dxa"/>
              <w:bottom w:w="80" w:type="dxa"/>
              <w:end w:w="120" w:type="dxa"/>
            </w:tcMar>
            <w:vAlign w:val="center"/>
          </w:tcPr>
          <w:p>
            <w:pPr>
              <w:spacing w:after="20"/>
            </w:pPr>
            <w:r>
              <w:rPr>
                <w:rFonts w:ascii="Calibri" w:hAnsi="Calibri"/>
                <w:b w:val="0"/>
                <w:i w:val="0"/>
                <w:color w:val="243443"/>
                <w:sz w:val="18"/>
              </w:rPr>
              <w:t>Events commit with aggregates and publish asynchronously.</w:t>
            </w:r>
          </w:p>
        </w:tc>
      </w:tr>
    </w:tbl>
    <w:p>
      <w:pPr>
        <w:spacing w:after="20"/>
      </w:pPr>
    </w:p>
    <w:p>
      <w:pPr>
        <w:pStyle w:val="Heading1"/>
      </w:pPr>
      <w:r>
        <w:rPr>
          <w:rFonts w:ascii="Calibri" w:hAnsi="Calibri"/>
          <w:b w:val="0"/>
          <w:i w:val="0"/>
          <w:color w:val="243443"/>
          <w:sz w:val="22"/>
        </w:rPr>
        <w:t>4. CORE AI contract and governance</w:t>
      </w:r>
    </w:p>
    <w:p>
      <w:pPr>
        <w:pStyle w:val="Heading2"/>
      </w:pPr>
      <w:r>
        <w:rPr>
          <w:rFonts w:ascii="Calibri" w:hAnsi="Calibri"/>
          <w:b w:val="0"/>
          <w:i w:val="0"/>
          <w:color w:val="243443"/>
          <w:sz w:val="22"/>
        </w:rPr>
        <w:t>Paper trading learning contract</w:t>
      </w:r>
    </w:p>
    <w:p>
      <w:pPr>
        <w:pStyle w:val="ListBullet"/>
        <w:spacing w:after="80" w:line="300" w:lineRule="auto"/>
        <w:ind w:left="540" w:hanging="271"/>
      </w:pPr>
      <w:r>
        <w:rPr>
          <w:rFonts w:ascii="Calibri" w:hAnsi="Calibri"/>
          <w:b w:val="0"/>
          <w:i w:val="0"/>
          <w:color w:val="243443"/>
          <w:sz w:val="22"/>
        </w:rPr>
        <w:t>A strategy is immutable once executed. Corrections create a new strategy_version with parent lineage.</w:t>
      </w:r>
    </w:p>
    <w:p>
      <w:pPr>
        <w:pStyle w:val="ListBullet"/>
        <w:spacing w:after="80" w:line="300" w:lineRule="auto"/>
        <w:ind w:left="540" w:hanging="271"/>
      </w:pPr>
      <w:r>
        <w:rPr>
          <w:rFonts w:ascii="Calibri" w:hAnsi="Calibri"/>
          <w:b w:val="0"/>
          <w:i w:val="0"/>
          <w:color w:val="243443"/>
          <w:sz w:val="22"/>
        </w:rPr>
        <w:t>Each order identifies actor type (TRADER or CORE_AI), strategy version when applicable, correlation ID, and originating intent or paper experiment.</w:t>
      </w:r>
    </w:p>
    <w:p>
      <w:pPr>
        <w:pStyle w:val="ListBullet"/>
        <w:spacing w:after="80" w:line="300" w:lineRule="auto"/>
        <w:ind w:left="540" w:hanging="271"/>
      </w:pPr>
      <w:r>
        <w:rPr>
          <w:rFonts w:ascii="Calibri" w:hAnsi="Calibri"/>
          <w:b w:val="0"/>
          <w:i w:val="0"/>
          <w:color w:val="243443"/>
          <w:sz w:val="22"/>
        </w:rPr>
        <w:t>CORE AI consumes normalized execution evidence: pre-trade context, quote evidence, decision explanation, order result, portfolio effects, and evaluation metrics.</w:t>
      </w:r>
    </w:p>
    <w:p>
      <w:pPr>
        <w:pStyle w:val="ListBullet"/>
        <w:spacing w:after="80" w:line="300" w:lineRule="auto"/>
        <w:ind w:left="540" w:hanging="271"/>
      </w:pPr>
      <w:r>
        <w:rPr>
          <w:rFonts w:ascii="Calibri" w:hAnsi="Calibri"/>
          <w:b w:val="0"/>
          <w:i w:val="0"/>
          <w:color w:val="243443"/>
          <w:sz w:val="22"/>
        </w:rPr>
        <w:t>Evaluation policies are versioned separately from strategies; a strategy cannot rewrite the criteria used to judge itself.</w:t>
      </w:r>
    </w:p>
    <w:p>
      <w:pPr>
        <w:pStyle w:val="ListBullet"/>
        <w:spacing w:after="80" w:line="300" w:lineRule="auto"/>
        <w:ind w:left="540" w:hanging="271"/>
      </w:pPr>
      <w:r>
        <w:rPr>
          <w:rFonts w:ascii="Calibri" w:hAnsi="Calibri"/>
          <w:b w:val="0"/>
          <w:i w:val="0"/>
          <w:color w:val="243443"/>
          <w:sz w:val="22"/>
        </w:rPr>
        <w:t>Promotion states are DRAFT, CANDIDATE, VALIDATED, and RETIRED. Only a trader or future authorized governance workflow can move a version between states.</w:t>
      </w:r>
    </w:p>
    <w:p>
      <w:pPr>
        <w:pStyle w:val="ListBullet"/>
        <w:spacing w:after="80" w:line="300" w:lineRule="auto"/>
        <w:ind w:left="540" w:hanging="271"/>
      </w:pPr>
      <w:r>
        <w:rPr>
          <w:rFonts w:ascii="Calibri" w:hAnsi="Calibri"/>
          <w:b w:val="0"/>
          <w:i w:val="0"/>
          <w:color w:val="243443"/>
          <w:sz w:val="22"/>
        </w:rPr>
        <w:t>Paper performance never implies live suitability; live enablement requires a separate architecture decision and execution-gateway controls.</w:t>
      </w:r>
    </w:p>
    <w:p>
      <w:pPr>
        <w:pStyle w:val="Heading2"/>
      </w:pPr>
      <w:r>
        <w:rPr>
          <w:rFonts w:ascii="Calibri" w:hAnsi="Calibri"/>
          <w:b w:val="0"/>
          <w:i w:val="0"/>
          <w:color w:val="243443"/>
          <w:sz w:val="22"/>
        </w:rPr>
        <w:t>Backtesting authorization</w:t>
      </w:r>
    </w:p>
    <w:p>
      <w:pPr>
        <w:keepNext/>
        <w:jc w:val="center"/>
      </w:pPr>
      <w:r>
        <w:drawing>
          <wp:inline xmlns:a="http://schemas.openxmlformats.org/drawingml/2006/main" xmlns:pic="http://schemas.openxmlformats.org/drawingml/2006/picture">
            <wp:extent cx="5897880" cy="3317558"/>
            <wp:docPr id="3" name="Picture 3" descr="Figure 3. Trader-intent sequence for an AI-assisted backtest request."/>
            <wp:cNvGraphicFramePr>
              <a:graphicFrameLocks noChangeAspect="1"/>
            </wp:cNvGraphicFramePr>
            <a:graphic>
              <a:graphicData uri="http://schemas.openxmlformats.org/drawingml/2006/picture">
                <pic:pic>
                  <pic:nvPicPr>
                    <pic:cNvPr id="0" name="03-trader-intent-sequence.png"/>
                    <pic:cNvPicPr/>
                  </pic:nvPicPr>
                  <pic:blipFill>
                    <a:blip r:embed="rId13"/>
                    <a:stretch>
                      <a:fillRect/>
                    </a:stretch>
                  </pic:blipFill>
                  <pic:spPr>
                    <a:xfrm>
                      <a:off x="0" y="0"/>
                      <a:ext cx="5897880" cy="3317558"/>
                    </a:xfrm>
                    <a:prstGeom prst="rect"/>
                  </pic:spPr>
                </pic:pic>
              </a:graphicData>
            </a:graphic>
          </wp:inline>
        </w:drawing>
      </w:r>
    </w:p>
    <w:p>
      <w:pPr>
        <w:pStyle w:val="Caption"/>
        <w:jc w:val="center"/>
      </w:pPr>
      <w:r>
        <w:t>Figure 3. Trader-intent sequence for an AI-assisted backtest request.</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1"/>
        </w:trPr>
        <w:tc>
          <w:tcPr>
            <w:tcW w:type="dxa" w:w="2500"/>
            <w:tcMar>
              <w:top w:w="80" w:type="dxa"/>
              <w:start w:w="120" w:type="dxa"/>
              <w:bottom w:w="80" w:type="dxa"/>
              <w:end w:w="120" w:type="dxa"/>
            </w:tcMar>
            <w:vAlign w:val="center"/>
            <w:shd w:fill="EAF2F8"/>
          </w:tcPr>
          <w:p>
            <w:r>
              <w:rPr>
                <w:rFonts w:ascii="Calibri" w:hAnsi="Calibri"/>
                <w:b/>
                <w:i w:val="0"/>
                <w:color w:val="17324D"/>
                <w:sz w:val="19"/>
              </w:rPr>
              <w:t>Intent field</w:t>
            </w:r>
          </w:p>
        </w:tc>
        <w:tc>
          <w:tcPr>
            <w:tcW w:type="dxa" w:w="6860"/>
            <w:tcMar>
              <w:top w:w="80" w:type="dxa"/>
              <w:start w:w="120" w:type="dxa"/>
              <w:bottom w:w="80" w:type="dxa"/>
              <w:end w:w="120" w:type="dxa"/>
            </w:tcMar>
            <w:vAlign w:val="center"/>
            <w:shd w:fill="EAF2F8"/>
          </w:tcPr>
          <w:p>
            <w:r>
              <w:rPr>
                <w:rFonts w:ascii="Calibri" w:hAnsi="Calibri"/>
                <w:b/>
                <w:i w:val="0"/>
                <w:color w:val="17324D"/>
                <w:sz w:val="19"/>
              </w:rPr>
              <w:t>Required meaning</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intent_id</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Immutable server-generated identifier.</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user_id</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Trader granting the authority.</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objective</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Natural-language goal plus normalized machine-readable objective.</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universe</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Allowed exchanges/instruments; no silent expansion.</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time_range / interval</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Dataset scope and candle granularity.</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strategy_version_id</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Exact strategy version, or explicit permission for AI to propose one before confirmation.</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compute_budget</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Maximum scenarios, duration, or resource envelope.</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confirmed_at / expires_at</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Proof of explicit confirmation and bounded validity.</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content_hash</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Tamper-evident hash of the normalized authorization payload.</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1"/>
        </w:trPr>
        <w:tc>
          <w:tcPr>
            <w:tcW w:type="dxa" w:w="9360"/>
            <w:tcMar>
              <w:top w:w="80" w:type="dxa"/>
              <w:start w:w="120" w:type="dxa"/>
              <w:bottom w:w="80" w:type="dxa"/>
              <w:end w:w="120" w:type="dxa"/>
            </w:tcMar>
            <w:vAlign w:val="center"/>
            <w:shd w:fill="FBECEA"/>
          </w:tcPr>
          <w:p>
            <w:pPr>
              <w:spacing w:after="60"/>
            </w:pPr>
            <w:r>
              <w:rPr>
                <w:rFonts w:ascii="Calibri" w:hAnsi="Calibri"/>
                <w:b/>
                <w:i w:val="0"/>
                <w:color w:val="A33A32"/>
                <w:sz w:val="22"/>
              </w:rPr>
              <w:t xml:space="preserve">DENY BY DEFAULT  </w:t>
            </w:r>
            <w:r>
              <w:rPr>
                <w:rFonts w:ascii="Calibri" w:hAnsi="Calibri"/>
                <w:b w:val="0"/>
                <w:i w:val="0"/>
                <w:color w:val="243443"/>
                <w:sz w:val="21"/>
              </w:rPr>
              <w:t>Missing, expired, mismatched, or materially changed intent blocks the run. Parameter changes outside the confirmed envelope require a new confirmation.</w:t>
            </w:r>
          </w:p>
        </w:tc>
      </w:tr>
    </w:tbl>
    <w:p>
      <w:pPr>
        <w:spacing w:after="20"/>
      </w:pPr>
    </w:p>
    <w:p>
      <w:pPr>
        <w:pStyle w:val="Heading1"/>
      </w:pPr>
      <w:r>
        <w:rPr>
          <w:rFonts w:ascii="Calibri" w:hAnsi="Calibri"/>
          <w:b w:val="0"/>
          <w:i w:val="0"/>
          <w:color w:val="243443"/>
          <w:sz w:val="22"/>
        </w:rPr>
        <w:t>5. Portal experience</w:t>
      </w:r>
    </w:p>
    <w:p>
      <w:pPr>
        <w:keepNext/>
        <w:jc w:val="center"/>
      </w:pPr>
      <w:r>
        <w:drawing>
          <wp:inline xmlns:a="http://schemas.openxmlformats.org/drawingml/2006/main" xmlns:pic="http://schemas.openxmlformats.org/drawingml/2006/picture">
            <wp:extent cx="5897880" cy="3317558"/>
            <wp:docPr id="4" name="Picture 4" descr="Figure 4. Portal navigation and persistent global safety context."/>
            <wp:cNvGraphicFramePr>
              <a:graphicFrameLocks noChangeAspect="1"/>
            </wp:cNvGraphicFramePr>
            <a:graphic>
              <a:graphicData uri="http://schemas.openxmlformats.org/drawingml/2006/picture">
                <pic:pic>
                  <pic:nvPicPr>
                    <pic:cNvPr id="0" name="04-portal-information-architecture.png"/>
                    <pic:cNvPicPr/>
                  </pic:nvPicPr>
                  <pic:blipFill>
                    <a:blip r:embed="rId14"/>
                    <a:stretch>
                      <a:fillRect/>
                    </a:stretch>
                  </pic:blipFill>
                  <pic:spPr>
                    <a:xfrm>
                      <a:off x="0" y="0"/>
                      <a:ext cx="5897880" cy="3317558"/>
                    </a:xfrm>
                    <a:prstGeom prst="rect"/>
                  </pic:spPr>
                </pic:pic>
              </a:graphicData>
            </a:graphic>
          </wp:inline>
        </w:drawing>
      </w:r>
    </w:p>
    <w:p>
      <w:pPr>
        <w:pStyle w:val="Caption"/>
        <w:jc w:val="center"/>
      </w:pPr>
      <w:r>
        <w:t>Figure 4. Portal navigation and persistent global safety context.</w:t>
      </w:r>
    </w:p>
    <w:tbl>
      <w:tblPr>
        <w:tblStyle w:val="TableGrid"/>
        <w:tblW w:type="dxa" w:w="9360"/>
        <w:tblLayout w:type="fixed"/>
        <w:tblLook w:firstColumn="1" w:firstRow="1" w:lastColumn="0" w:lastRow="0" w:noHBand="0" w:noVBand="1" w:val="04A0"/>
        <w:jc w:val="left"/>
        <w:tblInd w:w="120" w:type="dxa"/>
      </w:tblPr>
      <w:tblGrid>
        <w:gridCol w:w="2100"/>
        <w:gridCol w:w="3600"/>
        <w:gridCol w:w="3660"/>
      </w:tblGrid>
      <w:tr>
        <w:trPr>
          <w:tblHeader w:val="1"/>
        </w:trPr>
        <w:tc>
          <w:tcPr>
            <w:tcW w:type="dxa" w:w="2100"/>
            <w:tcMar>
              <w:top w:w="80" w:type="dxa"/>
              <w:start w:w="120" w:type="dxa"/>
              <w:bottom w:w="80" w:type="dxa"/>
              <w:end w:w="120" w:type="dxa"/>
            </w:tcMar>
            <w:vAlign w:val="center"/>
            <w:shd w:fill="EAF2F8"/>
          </w:tcPr>
          <w:p>
            <w:r>
              <w:rPr>
                <w:rFonts w:ascii="Calibri" w:hAnsi="Calibri"/>
                <w:b/>
                <w:i w:val="0"/>
                <w:color w:val="17324D"/>
                <w:sz w:val="19"/>
              </w:rPr>
              <w:t>Route</w:t>
            </w:r>
          </w:p>
        </w:tc>
        <w:tc>
          <w:tcPr>
            <w:tcW w:type="dxa" w:w="3600"/>
            <w:tcMar>
              <w:top w:w="80" w:type="dxa"/>
              <w:start w:w="120" w:type="dxa"/>
              <w:bottom w:w="80" w:type="dxa"/>
              <w:end w:w="120" w:type="dxa"/>
            </w:tcMar>
            <w:vAlign w:val="center"/>
            <w:shd w:fill="EAF2F8"/>
          </w:tcPr>
          <w:p>
            <w:r>
              <w:rPr>
                <w:rFonts w:ascii="Calibri" w:hAnsi="Calibri"/>
                <w:b/>
                <w:i w:val="0"/>
                <w:color w:val="17324D"/>
                <w:sz w:val="19"/>
              </w:rPr>
              <w:t>Primary job</w:t>
            </w:r>
          </w:p>
        </w:tc>
        <w:tc>
          <w:tcPr>
            <w:tcW w:type="dxa" w:w="3660"/>
            <w:tcMar>
              <w:top w:w="80" w:type="dxa"/>
              <w:start w:w="120" w:type="dxa"/>
              <w:bottom w:w="80" w:type="dxa"/>
              <w:end w:w="120" w:type="dxa"/>
            </w:tcMar>
            <w:vAlign w:val="center"/>
            <w:shd w:fill="EAF2F8"/>
          </w:tcPr>
          <w:p>
            <w:r>
              <w:rPr>
                <w:rFonts w:ascii="Calibri" w:hAnsi="Calibri"/>
                <w:b/>
                <w:i w:val="0"/>
                <w:color w:val="17324D"/>
                <w:sz w:val="19"/>
              </w:rPr>
              <w:t>Critical states</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/paper</w:t>
            </w:r>
          </w:p>
        </w:tc>
        <w:tc>
          <w:tcPr>
            <w:tcW w:type="dxa" w:w="3600"/>
            <w:tcMar>
              <w:top w:w="80" w:type="dxa"/>
              <w:start w:w="120" w:type="dxa"/>
              <w:bottom w:w="80" w:type="dxa"/>
              <w:end w:w="120" w:type="dxa"/>
            </w:tcMar>
            <w:vAlign w:val="center"/>
          </w:tcPr>
          <w:p>
            <w:pPr>
              <w:spacing w:after="20"/>
            </w:pPr>
            <w:r>
              <w:rPr>
                <w:rFonts w:ascii="Calibri" w:hAnsi="Calibri"/>
                <w:b w:val="0"/>
                <w:i w:val="0"/>
                <w:color w:val="243443"/>
                <w:sz w:val="18"/>
              </w:rPr>
              <w:t>Account and experiment overview</w:t>
            </w:r>
          </w:p>
        </w:tc>
        <w:tc>
          <w:tcPr>
            <w:tcW w:type="dxa" w:w="3660"/>
            <w:tcMar>
              <w:top w:w="80" w:type="dxa"/>
              <w:start w:w="120" w:type="dxa"/>
              <w:bottom w:w="80" w:type="dxa"/>
              <w:end w:w="120" w:type="dxa"/>
            </w:tcMar>
            <w:vAlign w:val="center"/>
          </w:tcPr>
          <w:p>
            <w:pPr>
              <w:spacing w:after="20"/>
            </w:pPr>
            <w:r>
              <w:rPr>
                <w:rFonts w:ascii="Calibri" w:hAnsi="Calibri"/>
                <w:b w:val="0"/>
                <w:i w:val="0"/>
                <w:color w:val="243443"/>
                <w:sz w:val="18"/>
              </w:rPr>
              <w:t>Loading, empty account, ready, degraded quote source.</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/paper/trade/:exchange/:symbol</w:t>
            </w:r>
          </w:p>
        </w:tc>
        <w:tc>
          <w:tcPr>
            <w:tcW w:type="dxa" w:w="3600"/>
            <w:tcMar>
              <w:top w:w="80" w:type="dxa"/>
              <w:start w:w="120" w:type="dxa"/>
              <w:bottom w:w="80" w:type="dxa"/>
              <w:end w:w="120" w:type="dxa"/>
            </w:tcMar>
            <w:vAlign w:val="center"/>
          </w:tcPr>
          <w:p>
            <w:pPr>
              <w:spacing w:after="20"/>
            </w:pPr>
            <w:r>
              <w:rPr>
                <w:rFonts w:ascii="Calibri" w:hAnsi="Calibri"/>
                <w:b w:val="0"/>
                <w:i w:val="0"/>
                <w:color w:val="243443"/>
                <w:sz w:val="18"/>
              </w:rPr>
              <w:t>Preview and submit a manual or AI-attributed paper order</w:t>
            </w:r>
          </w:p>
        </w:tc>
        <w:tc>
          <w:tcPr>
            <w:tcW w:type="dxa" w:w="3660"/>
            <w:tcMar>
              <w:top w:w="80" w:type="dxa"/>
              <w:start w:w="120" w:type="dxa"/>
              <w:bottom w:w="80" w:type="dxa"/>
              <w:end w:w="120" w:type="dxa"/>
            </w:tcMar>
            <w:vAlign w:val="center"/>
          </w:tcPr>
          <w:p>
            <w:pPr>
              <w:spacing w:after="20"/>
            </w:pPr>
            <w:r>
              <w:rPr>
                <w:rFonts w:ascii="Calibri" w:hAnsi="Calibri"/>
                <w:b w:val="0"/>
                <w:i w:val="0"/>
                <w:color w:val="243443"/>
                <w:sz w:val="18"/>
              </w:rPr>
              <w:t>Fresh/stale quote, insufficient cash/position, duplicate request.</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/paper/portfolio</w:t>
            </w:r>
          </w:p>
        </w:tc>
        <w:tc>
          <w:tcPr>
            <w:tcW w:type="dxa" w:w="3600"/>
            <w:tcMar>
              <w:top w:w="80" w:type="dxa"/>
              <w:start w:w="120" w:type="dxa"/>
              <w:bottom w:w="80" w:type="dxa"/>
              <w:end w:w="120" w:type="dxa"/>
            </w:tcMar>
            <w:vAlign w:val="center"/>
          </w:tcPr>
          <w:p>
            <w:pPr>
              <w:spacing w:after="20"/>
            </w:pPr>
            <w:r>
              <w:rPr>
                <w:rFonts w:ascii="Calibri" w:hAnsi="Calibri"/>
                <w:b w:val="0"/>
                <w:i w:val="0"/>
                <w:color w:val="243443"/>
                <w:sz w:val="18"/>
              </w:rPr>
              <w:t>Understand holdings and P&amp;L</w:t>
            </w:r>
          </w:p>
        </w:tc>
        <w:tc>
          <w:tcPr>
            <w:tcW w:type="dxa" w:w="3660"/>
            <w:tcMar>
              <w:top w:w="80" w:type="dxa"/>
              <w:start w:w="120" w:type="dxa"/>
              <w:bottom w:w="80" w:type="dxa"/>
              <w:end w:w="120" w:type="dxa"/>
            </w:tcMar>
            <w:vAlign w:val="center"/>
          </w:tcPr>
          <w:p>
            <w:pPr>
              <w:spacing w:after="20"/>
            </w:pPr>
            <w:r>
              <w:rPr>
                <w:rFonts w:ascii="Calibri" w:hAnsi="Calibri"/>
                <w:b w:val="0"/>
                <w:i w:val="0"/>
                <w:color w:val="243443"/>
                <w:sz w:val="18"/>
              </w:rPr>
              <w:t>No positions, stale valuation, reconciliation warning.</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/paper/orders</w:t>
            </w:r>
          </w:p>
        </w:tc>
        <w:tc>
          <w:tcPr>
            <w:tcW w:type="dxa" w:w="3600"/>
            <w:tcMar>
              <w:top w:w="80" w:type="dxa"/>
              <w:start w:w="120" w:type="dxa"/>
              <w:bottom w:w="80" w:type="dxa"/>
              <w:end w:w="120" w:type="dxa"/>
            </w:tcMar>
            <w:vAlign w:val="center"/>
          </w:tcPr>
          <w:p>
            <w:pPr>
              <w:spacing w:after="20"/>
            </w:pPr>
            <w:r>
              <w:rPr>
                <w:rFonts w:ascii="Calibri" w:hAnsi="Calibri"/>
                <w:b w:val="0"/>
                <w:i w:val="0"/>
                <w:color w:val="243443"/>
                <w:sz w:val="18"/>
              </w:rPr>
              <w:t>Inspect order and fill evidence</w:t>
            </w:r>
          </w:p>
        </w:tc>
        <w:tc>
          <w:tcPr>
            <w:tcW w:type="dxa" w:w="3660"/>
            <w:tcMar>
              <w:top w:w="80" w:type="dxa"/>
              <w:start w:w="120" w:type="dxa"/>
              <w:bottom w:w="80" w:type="dxa"/>
              <w:end w:w="120" w:type="dxa"/>
            </w:tcMar>
            <w:vAlign w:val="center"/>
          </w:tcPr>
          <w:p>
            <w:pPr>
              <w:spacing w:after="20"/>
            </w:pPr>
            <w:r>
              <w:rPr>
                <w:rFonts w:ascii="Calibri" w:hAnsi="Calibri"/>
                <w:b w:val="0"/>
                <w:i w:val="0"/>
                <w:color w:val="243443"/>
                <w:sz w:val="18"/>
              </w:rPr>
              <w:t>Filled, rejected, cancelled (future), idempotent replay.</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/paper/ai-lab</w:t>
            </w:r>
          </w:p>
        </w:tc>
        <w:tc>
          <w:tcPr>
            <w:tcW w:type="dxa" w:w="3600"/>
            <w:tcMar>
              <w:top w:w="80" w:type="dxa"/>
              <w:start w:w="120" w:type="dxa"/>
              <w:bottom w:w="80" w:type="dxa"/>
              <w:end w:w="120" w:type="dxa"/>
            </w:tcMar>
            <w:vAlign w:val="center"/>
          </w:tcPr>
          <w:p>
            <w:pPr>
              <w:spacing w:after="20"/>
            </w:pPr>
            <w:r>
              <w:rPr>
                <w:rFonts w:ascii="Calibri" w:hAnsi="Calibri"/>
                <w:b w:val="0"/>
                <w:i w:val="0"/>
                <w:color w:val="243443"/>
                <w:sz w:val="18"/>
              </w:rPr>
              <w:t>Review strategy versions, experiments, and proposed corrections</w:t>
            </w:r>
          </w:p>
        </w:tc>
        <w:tc>
          <w:tcPr>
            <w:tcW w:type="dxa" w:w="3660"/>
            <w:tcMar>
              <w:top w:w="80" w:type="dxa"/>
              <w:start w:w="120" w:type="dxa"/>
              <w:bottom w:w="80" w:type="dxa"/>
              <w:end w:w="120" w:type="dxa"/>
            </w:tcMar>
            <w:vAlign w:val="center"/>
          </w:tcPr>
          <w:p>
            <w:pPr>
              <w:spacing w:after="20"/>
            </w:pPr>
            <w:r>
              <w:rPr>
                <w:rFonts w:ascii="Calibri" w:hAnsi="Calibri"/>
                <w:b w:val="0"/>
                <w:i w:val="0"/>
                <w:color w:val="243443"/>
                <w:sz w:val="18"/>
              </w:rPr>
              <w:t>Intent required, running, evaluated, policy pass/fail.</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/paper/activity</w:t>
            </w:r>
          </w:p>
        </w:tc>
        <w:tc>
          <w:tcPr>
            <w:tcW w:type="dxa" w:w="3600"/>
            <w:tcMar>
              <w:top w:w="80" w:type="dxa"/>
              <w:start w:w="120" w:type="dxa"/>
              <w:bottom w:w="80" w:type="dxa"/>
              <w:end w:w="120" w:type="dxa"/>
            </w:tcMar>
            <w:vAlign w:val="center"/>
          </w:tcPr>
          <w:p>
            <w:pPr>
              <w:spacing w:after="20"/>
            </w:pPr>
            <w:r>
              <w:rPr>
                <w:rFonts w:ascii="Calibri" w:hAnsi="Calibri"/>
                <w:b w:val="0"/>
                <w:i w:val="0"/>
                <w:color w:val="243443"/>
                <w:sz w:val="18"/>
              </w:rPr>
              <w:t>Audit cash, fill, reset, and evaluation events</w:t>
            </w:r>
          </w:p>
        </w:tc>
        <w:tc>
          <w:tcPr>
            <w:tcW w:type="dxa" w:w="3660"/>
            <w:tcMar>
              <w:top w:w="80" w:type="dxa"/>
              <w:start w:w="120" w:type="dxa"/>
              <w:bottom w:w="80" w:type="dxa"/>
              <w:end w:w="120" w:type="dxa"/>
            </w:tcMar>
            <w:vAlign w:val="center"/>
          </w:tcPr>
          <w:p>
            <w:pPr>
              <w:spacing w:after="20"/>
            </w:pPr>
            <w:r>
              <w:rPr>
                <w:rFonts w:ascii="Calibri" w:hAnsi="Calibri"/>
                <w:b w:val="0"/>
                <w:i w:val="0"/>
                <w:color w:val="243443"/>
                <w:sz w:val="18"/>
              </w:rPr>
              <w:t>Cursor pagination, correlation drill-down.</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/paper/settings</w:t>
            </w:r>
          </w:p>
        </w:tc>
        <w:tc>
          <w:tcPr>
            <w:tcW w:type="dxa" w:w="3600"/>
            <w:tcMar>
              <w:top w:w="80" w:type="dxa"/>
              <w:start w:w="120" w:type="dxa"/>
              <w:bottom w:w="80" w:type="dxa"/>
              <w:end w:w="120" w:type="dxa"/>
            </w:tcMar>
            <w:vAlign w:val="center"/>
          </w:tcPr>
          <w:p>
            <w:pPr>
              <w:spacing w:after="20"/>
            </w:pPr>
            <w:r>
              <w:rPr>
                <w:rFonts w:ascii="Calibri" w:hAnsi="Calibri"/>
                <w:b w:val="0"/>
                <w:i w:val="0"/>
                <w:color w:val="243443"/>
                <w:sz w:val="18"/>
              </w:rPr>
              <w:t>Starting cash/reset and simulation preferences</w:t>
            </w:r>
          </w:p>
        </w:tc>
        <w:tc>
          <w:tcPr>
            <w:tcW w:type="dxa" w:w="3660"/>
            <w:tcMar>
              <w:top w:w="80" w:type="dxa"/>
              <w:start w:w="120" w:type="dxa"/>
              <w:bottom w:w="80" w:type="dxa"/>
              <w:end w:w="120" w:type="dxa"/>
            </w:tcMar>
            <w:vAlign w:val="center"/>
          </w:tcPr>
          <w:p>
            <w:pPr>
              <w:spacing w:after="20"/>
            </w:pPr>
            <w:r>
              <w:rPr>
                <w:rFonts w:ascii="Calibri" w:hAnsi="Calibri"/>
                <w:b w:val="0"/>
                <w:i w:val="0"/>
                <w:color w:val="243443"/>
                <w:sz w:val="18"/>
              </w:rPr>
              <w:t>Typed reset confirmation, immutable reset event.</w:t>
            </w:r>
          </w:p>
        </w:tc>
      </w:tr>
    </w:tbl>
    <w:p>
      <w:pPr>
        <w:spacing w:after="20"/>
      </w:pPr>
    </w:p>
    <w:p>
      <w:pPr>
        <w:pStyle w:val="Heading2"/>
      </w:pPr>
      <w:r>
        <w:rPr>
          <w:rFonts w:ascii="Calibri" w:hAnsi="Calibri"/>
          <w:b w:val="0"/>
          <w:i w:val="0"/>
          <w:color w:val="243443"/>
          <w:sz w:val="22"/>
        </w:rPr>
        <w:t>Interaction rules</w:t>
      </w:r>
    </w:p>
    <w:p>
      <w:pPr>
        <w:pStyle w:val="ListBullet"/>
        <w:spacing w:after="80" w:line="300" w:lineRule="auto"/>
        <w:ind w:left="540" w:hanging="271"/>
      </w:pPr>
      <w:r>
        <w:rPr>
          <w:rFonts w:ascii="Calibri" w:hAnsi="Calibri"/>
          <w:b w:val="0"/>
          <w:i w:val="0"/>
          <w:color w:val="243443"/>
          <w:sz w:val="22"/>
        </w:rPr>
        <w:t>Show PAPER in the persistent shell and never reuse live-trading colors or labels.</w:t>
      </w:r>
    </w:p>
    <w:p>
      <w:pPr>
        <w:pStyle w:val="ListBullet"/>
        <w:spacing w:after="80" w:line="300" w:lineRule="auto"/>
        <w:ind w:left="540" w:hanging="271"/>
      </w:pPr>
      <w:r>
        <w:rPr>
          <w:rFonts w:ascii="Calibri" w:hAnsi="Calibri"/>
          <w:b w:val="0"/>
          <w:i w:val="0"/>
          <w:color w:val="243443"/>
          <w:sz w:val="22"/>
        </w:rPr>
        <w:t>Show quote source and age next to every executable price and stored fill.</w:t>
      </w:r>
    </w:p>
    <w:p>
      <w:pPr>
        <w:pStyle w:val="ListBullet"/>
        <w:spacing w:after="80" w:line="300" w:lineRule="auto"/>
        <w:ind w:left="540" w:hanging="271"/>
      </w:pPr>
      <w:r>
        <w:rPr>
          <w:rFonts w:ascii="Calibri" w:hAnsi="Calibri"/>
          <w:b w:val="0"/>
          <w:i w:val="0"/>
          <w:color w:val="243443"/>
          <w:sz w:val="22"/>
        </w:rPr>
        <w:t>Order preview is advisory; submission always causes a server-side reprice and validation.</w:t>
      </w:r>
    </w:p>
    <w:p>
      <w:pPr>
        <w:pStyle w:val="ListBullet"/>
        <w:spacing w:after="80" w:line="300" w:lineRule="auto"/>
        <w:ind w:left="540" w:hanging="271"/>
      </w:pPr>
      <w:r>
        <w:rPr>
          <w:rFonts w:ascii="Calibri" w:hAnsi="Calibri"/>
          <w:b w:val="0"/>
          <w:i w:val="0"/>
          <w:color w:val="243443"/>
          <w:sz w:val="22"/>
        </w:rPr>
        <w:t>AI-originated actions show strategy version, intent/experiment link, explanation, and policy result.</w:t>
      </w:r>
    </w:p>
    <w:p>
      <w:pPr>
        <w:pStyle w:val="ListBullet"/>
        <w:spacing w:after="80" w:line="300" w:lineRule="auto"/>
        <w:ind w:left="540" w:hanging="271"/>
      </w:pPr>
      <w:r>
        <w:rPr>
          <w:rFonts w:ascii="Calibri" w:hAnsi="Calibri"/>
          <w:b w:val="0"/>
          <w:i w:val="0"/>
          <w:color w:val="243443"/>
          <w:sz w:val="22"/>
        </w:rPr>
        <w:t>A reset creates a new account epoch; it never deletes historical orders, fills, or experiment evidence.</w:t>
      </w:r>
    </w:p>
    <w:p>
      <w:pPr>
        <w:pStyle w:val="ListBullet"/>
        <w:spacing w:after="80" w:line="300" w:lineRule="auto"/>
        <w:ind w:left="540" w:hanging="271"/>
      </w:pPr>
      <w:r>
        <w:rPr>
          <w:rFonts w:ascii="Calibri" w:hAnsi="Calibri"/>
          <w:b w:val="0"/>
          <w:i w:val="0"/>
          <w:color w:val="243443"/>
          <w:sz w:val="22"/>
        </w:rPr>
        <w:t>Every destructive action uses explicit confirmation and returns a durable activity record.</w:t>
      </w:r>
    </w:p>
    <w:p>
      <w:pPr>
        <w:pStyle w:val="Heading1"/>
      </w:pPr>
      <w:r>
        <w:rPr>
          <w:rFonts w:ascii="Calibri" w:hAnsi="Calibri"/>
          <w:b w:val="0"/>
          <w:i w:val="0"/>
          <w:color w:val="243443"/>
          <w:sz w:val="22"/>
        </w:rPr>
        <w:t>6. Domain model and invariants</w:t>
      </w:r>
    </w:p>
    <w:tbl>
      <w:tblPr>
        <w:tblStyle w:val="TableGrid"/>
        <w:tblW w:type="dxa" w:w="9360"/>
        <w:tblLayout w:type="fixed"/>
        <w:tblLook w:firstColumn="1" w:firstRow="1" w:lastColumn="0" w:lastRow="0" w:noHBand="0" w:noVBand="1" w:val="04A0"/>
        <w:jc w:val="left"/>
        <w:tblInd w:w="120" w:type="dxa"/>
      </w:tblPr>
      <w:tblGrid>
        <w:gridCol w:w="2100"/>
        <w:gridCol w:w="3200"/>
        <w:gridCol w:w="4060"/>
      </w:tblGrid>
      <w:tr>
        <w:trPr>
          <w:tblHeader w:val="1"/>
        </w:trPr>
        <w:tc>
          <w:tcPr>
            <w:tcW w:type="dxa" w:w="2100"/>
            <w:tcMar>
              <w:top w:w="80" w:type="dxa"/>
              <w:start w:w="120" w:type="dxa"/>
              <w:bottom w:w="80" w:type="dxa"/>
              <w:end w:w="120" w:type="dxa"/>
            </w:tcMar>
            <w:vAlign w:val="center"/>
            <w:shd w:fill="EAF2F8"/>
          </w:tcPr>
          <w:p>
            <w:r>
              <w:rPr>
                <w:rFonts w:ascii="Calibri" w:hAnsi="Calibri"/>
                <w:b/>
                <w:i w:val="0"/>
                <w:color w:val="17324D"/>
                <w:sz w:val="19"/>
              </w:rPr>
              <w:t>Aggregate / value</w:t>
            </w:r>
          </w:p>
        </w:tc>
        <w:tc>
          <w:tcPr>
            <w:tcW w:type="dxa" w:w="3200"/>
            <w:tcMar>
              <w:top w:w="80" w:type="dxa"/>
              <w:start w:w="120" w:type="dxa"/>
              <w:bottom w:w="80" w:type="dxa"/>
              <w:end w:w="120" w:type="dxa"/>
            </w:tcMar>
            <w:vAlign w:val="center"/>
            <w:shd w:fill="EAF2F8"/>
          </w:tcPr>
          <w:p>
            <w:r>
              <w:rPr>
                <w:rFonts w:ascii="Calibri" w:hAnsi="Calibri"/>
                <w:b/>
                <w:i w:val="0"/>
                <w:color w:val="17324D"/>
                <w:sz w:val="19"/>
              </w:rPr>
              <w:t>Responsibility</w:t>
            </w:r>
          </w:p>
        </w:tc>
        <w:tc>
          <w:tcPr>
            <w:tcW w:type="dxa" w:w="4060"/>
            <w:tcMar>
              <w:top w:w="80" w:type="dxa"/>
              <w:start w:w="120" w:type="dxa"/>
              <w:bottom w:w="80" w:type="dxa"/>
              <w:end w:w="120" w:type="dxa"/>
            </w:tcMar>
            <w:vAlign w:val="center"/>
            <w:shd w:fill="EAF2F8"/>
          </w:tcPr>
          <w:p>
            <w:r>
              <w:rPr>
                <w:rFonts w:ascii="Calibri" w:hAnsi="Calibri"/>
                <w:b/>
                <w:i w:val="0"/>
                <w:color w:val="17324D"/>
                <w:sz w:val="19"/>
              </w:rPr>
              <w:t>Key invariants</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PaperAccount</w:t>
            </w:r>
          </w:p>
        </w:tc>
        <w:tc>
          <w:tcPr>
            <w:tcW w:type="dxa" w:w="3200"/>
            <w:tcMar>
              <w:top w:w="80" w:type="dxa"/>
              <w:start w:w="120" w:type="dxa"/>
              <w:bottom w:w="80" w:type="dxa"/>
              <w:end w:w="120" w:type="dxa"/>
            </w:tcMar>
            <w:vAlign w:val="center"/>
          </w:tcPr>
          <w:p>
            <w:pPr>
              <w:spacing w:after="20"/>
            </w:pPr>
            <w:r>
              <w:rPr>
                <w:rFonts w:ascii="Calibri" w:hAnsi="Calibri"/>
                <w:b w:val="0"/>
                <w:i w:val="0"/>
                <w:color w:val="243443"/>
                <w:sz w:val="18"/>
              </w:rPr>
              <w:t>Simulation identity, currency, epoch, configuration</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One active account per user; optimistic version; reset creates new epoch.</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PaperOrder</w:t>
            </w:r>
          </w:p>
        </w:tc>
        <w:tc>
          <w:tcPr>
            <w:tcW w:type="dxa" w:w="3200"/>
            <w:tcMar>
              <w:top w:w="80" w:type="dxa"/>
              <w:start w:w="120" w:type="dxa"/>
              <w:bottom w:w="80" w:type="dxa"/>
              <w:end w:w="120" w:type="dxa"/>
            </w:tcMar>
            <w:vAlign w:val="center"/>
          </w:tcPr>
          <w:p>
            <w:pPr>
              <w:spacing w:after="20"/>
            </w:pPr>
            <w:r>
              <w:rPr>
                <w:rFonts w:ascii="Calibri" w:hAnsi="Calibri"/>
                <w:b w:val="0"/>
                <w:i w:val="0"/>
                <w:color w:val="243443"/>
                <w:sz w:val="18"/>
              </w:rPr>
              <w:t>Intent and terminal execution result</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Unique clientOrderId per account; immutable payload; actor and lineage required.</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PaperFill</w:t>
            </w:r>
          </w:p>
        </w:tc>
        <w:tc>
          <w:tcPr>
            <w:tcW w:type="dxa" w:w="3200"/>
            <w:tcMar>
              <w:top w:w="80" w:type="dxa"/>
              <w:start w:w="120" w:type="dxa"/>
              <w:bottom w:w="80" w:type="dxa"/>
              <w:end w:w="120" w:type="dxa"/>
            </w:tcMar>
            <w:vAlign w:val="center"/>
          </w:tcPr>
          <w:p>
            <w:pPr>
              <w:spacing w:after="20"/>
            </w:pPr>
            <w:r>
              <w:rPr>
                <w:rFonts w:ascii="Calibri" w:hAnsi="Calibri"/>
                <w:b w:val="0"/>
                <w:i w:val="0"/>
                <w:color w:val="243443"/>
                <w:sz w:val="18"/>
              </w:rPr>
              <w:t>Executed quantity and price evidence</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Positive quantity/price; one fill for MVP market order; source/asOf retained.</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CashLedgerEntry</w:t>
            </w:r>
          </w:p>
        </w:tc>
        <w:tc>
          <w:tcPr>
            <w:tcW w:type="dxa" w:w="3200"/>
            <w:tcMar>
              <w:top w:w="80" w:type="dxa"/>
              <w:start w:w="120" w:type="dxa"/>
              <w:bottom w:w="80" w:type="dxa"/>
              <w:end w:w="120" w:type="dxa"/>
            </w:tcMar>
            <w:vAlign w:val="center"/>
          </w:tcPr>
          <w:p>
            <w:pPr>
              <w:spacing w:after="20"/>
            </w:pPr>
            <w:r>
              <w:rPr>
                <w:rFonts w:ascii="Calibri" w:hAnsi="Calibri"/>
                <w:b w:val="0"/>
                <w:i w:val="0"/>
                <w:color w:val="243443"/>
                <w:sz w:val="18"/>
              </w:rPr>
              <w:t>Append-only cash movement</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Every filled BUY/SELL has balancing entry; balance_after reproducible.</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Position</w:t>
            </w:r>
          </w:p>
        </w:tc>
        <w:tc>
          <w:tcPr>
            <w:tcW w:type="dxa" w:w="3200"/>
            <w:tcMar>
              <w:top w:w="80" w:type="dxa"/>
              <w:start w:w="120" w:type="dxa"/>
              <w:bottom w:w="80" w:type="dxa"/>
              <w:end w:w="120" w:type="dxa"/>
            </w:tcMar>
            <w:vAlign w:val="center"/>
          </w:tcPr>
          <w:p>
            <w:pPr>
              <w:spacing w:after="20"/>
            </w:pPr>
            <w:r>
              <w:rPr>
                <w:rFonts w:ascii="Calibri" w:hAnsi="Calibri"/>
                <w:b w:val="0"/>
                <w:i w:val="0"/>
                <w:color w:val="243443"/>
                <w:sz w:val="18"/>
              </w:rPr>
              <w:t>Quantity, average cost, realized P&amp;L projection</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No negative quantity in long-only MVP; version checked under lock.</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StrategyVersion</w:t>
            </w:r>
          </w:p>
        </w:tc>
        <w:tc>
          <w:tcPr>
            <w:tcW w:type="dxa" w:w="3200"/>
            <w:tcMar>
              <w:top w:w="80" w:type="dxa"/>
              <w:start w:w="120" w:type="dxa"/>
              <w:bottom w:w="80" w:type="dxa"/>
              <w:end w:w="120" w:type="dxa"/>
            </w:tcMar>
            <w:vAlign w:val="center"/>
          </w:tcPr>
          <w:p>
            <w:pPr>
              <w:spacing w:after="20"/>
            </w:pPr>
            <w:r>
              <w:rPr>
                <w:rFonts w:ascii="Calibri" w:hAnsi="Calibri"/>
                <w:b w:val="0"/>
                <w:i w:val="0"/>
                <w:color w:val="243443"/>
                <w:sz w:val="18"/>
              </w:rPr>
              <w:t>Immutable executable strategy definition</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Content hash unique within strategy lineage; parent pointer never changes.</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TraderIntent</w:t>
            </w:r>
          </w:p>
        </w:tc>
        <w:tc>
          <w:tcPr>
            <w:tcW w:type="dxa" w:w="3200"/>
            <w:tcMar>
              <w:top w:w="80" w:type="dxa"/>
              <w:start w:w="120" w:type="dxa"/>
              <w:bottom w:w="80" w:type="dxa"/>
              <w:end w:w="120" w:type="dxa"/>
            </w:tcMar>
            <w:vAlign w:val="center"/>
          </w:tcPr>
          <w:p>
            <w:pPr>
              <w:spacing w:after="20"/>
            </w:pPr>
            <w:r>
              <w:rPr>
                <w:rFonts w:ascii="Calibri" w:hAnsi="Calibri"/>
                <w:b w:val="0"/>
                <w:i w:val="0"/>
                <w:color w:val="243443"/>
                <w:sz w:val="18"/>
              </w:rPr>
              <w:t>Bounded human authorization</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Confirmed, unexpired, hash-matched, scope-matched before run.</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ExperimentRun</w:t>
            </w:r>
          </w:p>
        </w:tc>
        <w:tc>
          <w:tcPr>
            <w:tcW w:type="dxa" w:w="3200"/>
            <w:tcMar>
              <w:top w:w="80" w:type="dxa"/>
              <w:start w:w="120" w:type="dxa"/>
              <w:bottom w:w="80" w:type="dxa"/>
              <w:end w:w="120" w:type="dxa"/>
            </w:tcMar>
            <w:vAlign w:val="center"/>
          </w:tcPr>
          <w:p>
            <w:pPr>
              <w:spacing w:after="20"/>
            </w:pPr>
            <w:r>
              <w:rPr>
                <w:rFonts w:ascii="Calibri" w:hAnsi="Calibri"/>
                <w:b w:val="0"/>
                <w:i w:val="0"/>
                <w:color w:val="243443"/>
                <w:sz w:val="18"/>
              </w:rPr>
              <w:t>Paper/backtest execution envelope</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Pins strategy, intent where required, data hash, engine version, and seed.</w:t>
            </w:r>
          </w:p>
        </w:tc>
      </w:tr>
      <w:tr>
        <w:tc>
          <w:tcPr>
            <w:tcW w:type="dxa" w:w="2100"/>
            <w:tcMar>
              <w:top w:w="80" w:type="dxa"/>
              <w:start w:w="120" w:type="dxa"/>
              <w:bottom w:w="80" w:type="dxa"/>
              <w:end w:w="120" w:type="dxa"/>
            </w:tcMar>
            <w:vAlign w:val="center"/>
          </w:tcPr>
          <w:p>
            <w:pPr>
              <w:spacing w:after="20"/>
            </w:pPr>
            <w:r>
              <w:rPr>
                <w:rFonts w:ascii="Calibri" w:hAnsi="Calibri"/>
                <w:b w:val="0"/>
                <w:i w:val="0"/>
                <w:color w:val="243443"/>
                <w:sz w:val="18"/>
              </w:rPr>
              <w:t>Evaluation</w:t>
            </w:r>
          </w:p>
        </w:tc>
        <w:tc>
          <w:tcPr>
            <w:tcW w:type="dxa" w:w="3200"/>
            <w:tcMar>
              <w:top w:w="80" w:type="dxa"/>
              <w:start w:w="120" w:type="dxa"/>
              <w:bottom w:w="80" w:type="dxa"/>
              <w:end w:w="120" w:type="dxa"/>
            </w:tcMar>
            <w:vAlign w:val="center"/>
          </w:tcPr>
          <w:p>
            <w:pPr>
              <w:spacing w:after="20"/>
            </w:pPr>
            <w:r>
              <w:rPr>
                <w:rFonts w:ascii="Calibri" w:hAnsi="Calibri"/>
                <w:b w:val="0"/>
                <w:i w:val="0"/>
                <w:color w:val="243443"/>
                <w:sz w:val="18"/>
              </w:rPr>
              <w:t>Metrics and policy decision</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Append-only for policy version; explanation references evidence.</w:t>
            </w:r>
          </w:p>
        </w:tc>
      </w:tr>
    </w:tbl>
    <w:p>
      <w:pPr>
        <w:spacing w:after="20"/>
      </w:pPr>
    </w:p>
    <w:p>
      <w:pPr>
        <w:pStyle w:val="Heading2"/>
      </w:pPr>
      <w:r>
        <w:rPr>
          <w:rFonts w:ascii="Calibri" w:hAnsi="Calibri"/>
          <w:b w:val="0"/>
          <w:i w:val="0"/>
          <w:color w:val="243443"/>
          <w:sz w:val="22"/>
        </w:rPr>
        <w:t>Accounting rules</w:t>
      </w:r>
    </w:p>
    <w:p>
      <w:pPr>
        <w:pStyle w:val="ListBullet"/>
        <w:spacing w:after="80" w:line="300" w:lineRule="auto"/>
        <w:ind w:left="540" w:hanging="271"/>
      </w:pPr>
      <w:r>
        <w:rPr>
          <w:rFonts w:ascii="Calibri" w:hAnsi="Calibri"/>
          <w:b w:val="0"/>
          <w:i w:val="0"/>
          <w:color w:val="243443"/>
          <w:sz w:val="22"/>
        </w:rPr>
        <w:t>BUY cash delta = -(fill quantity x fill price + modeled costs); SELL cash delta = +(proceeds - modeled costs).</w:t>
      </w:r>
    </w:p>
    <w:p>
      <w:pPr>
        <w:pStyle w:val="ListBullet"/>
        <w:spacing w:after="80" w:line="300" w:lineRule="auto"/>
        <w:ind w:left="540" w:hanging="271"/>
      </w:pPr>
      <w:r>
        <w:rPr>
          <w:rFonts w:ascii="Calibri" w:hAnsi="Calibri"/>
          <w:b w:val="0"/>
          <w:i w:val="0"/>
          <w:color w:val="243443"/>
          <w:sz w:val="22"/>
        </w:rPr>
        <w:t>Available cash must remain non-negative. Position quantity must remain non-negative.</w:t>
      </w:r>
    </w:p>
    <w:p>
      <w:pPr>
        <w:pStyle w:val="ListBullet"/>
        <w:spacing w:after="80" w:line="300" w:lineRule="auto"/>
        <w:ind w:left="540" w:hanging="271"/>
      </w:pPr>
      <w:r>
        <w:rPr>
          <w:rFonts w:ascii="Calibri" w:hAnsi="Calibri"/>
          <w:b w:val="0"/>
          <w:i w:val="0"/>
          <w:color w:val="243443"/>
          <w:sz w:val="22"/>
        </w:rPr>
        <w:t>For v0.1, costs default to zero but the schema stores cost components so later modeling does not rewrite history.</w:t>
      </w:r>
    </w:p>
    <w:p>
      <w:pPr>
        <w:pStyle w:val="ListBullet"/>
        <w:spacing w:after="80" w:line="300" w:lineRule="auto"/>
        <w:ind w:left="540" w:hanging="271"/>
      </w:pPr>
      <w:r>
        <w:rPr>
          <w:rFonts w:ascii="Calibri" w:hAnsi="Calibri"/>
          <w:b w:val="0"/>
          <w:i w:val="0"/>
          <w:color w:val="243443"/>
          <w:sz w:val="22"/>
        </w:rPr>
        <w:t>Realized P&amp;L is derived when reducing a position; unrealized P&amp;L uses a separately timestamped valuation quote.</w:t>
      </w:r>
    </w:p>
    <w:p>
      <w:pPr>
        <w:pStyle w:val="ListBullet"/>
        <w:spacing w:after="80" w:line="300" w:lineRule="auto"/>
        <w:ind w:left="540" w:hanging="271"/>
      </w:pPr>
      <w:r>
        <w:rPr>
          <w:rFonts w:ascii="Calibri" w:hAnsi="Calibri"/>
          <w:b w:val="0"/>
          <w:i w:val="0"/>
          <w:color w:val="243443"/>
          <w:sz w:val="22"/>
        </w:rPr>
        <w:t>Order, fill, ledger entry, position projection, account version, and outbox event commit atomically.</w:t>
      </w:r>
    </w:p>
    <w:p>
      <w:pPr>
        <w:pStyle w:val="ListBullet"/>
        <w:spacing w:after="80" w:line="300" w:lineRule="auto"/>
        <w:ind w:left="540" w:hanging="271"/>
      </w:pPr>
      <w:r>
        <w:rPr>
          <w:rFonts w:ascii="Calibri" w:hAnsi="Calibri"/>
          <w:b w:val="0"/>
          <w:i w:val="0"/>
          <w:color w:val="243443"/>
          <w:sz w:val="22"/>
        </w:rPr>
        <w:t>All monetary calculations use BigDecimal with explicit scale/rounding; never double/float.</w:t>
      </w:r>
    </w:p>
    <w:p>
      <w:pPr>
        <w:pStyle w:val="Heading1"/>
      </w:pPr>
      <w:r>
        <w:rPr>
          <w:rFonts w:ascii="Calibri" w:hAnsi="Calibri"/>
          <w:b w:val="0"/>
          <w:i w:val="0"/>
          <w:color w:val="243443"/>
          <w:sz w:val="22"/>
        </w:rPr>
        <w:t>7. Order processing</w:t>
      </w:r>
    </w:p>
    <w:p>
      <w:pPr>
        <w:keepNext/>
        <w:jc w:val="center"/>
      </w:pPr>
      <w:r>
        <w:drawing>
          <wp:inline xmlns:a="http://schemas.openxmlformats.org/drawingml/2006/main" xmlns:pic="http://schemas.openxmlformats.org/drawingml/2006/picture">
            <wp:extent cx="5897880" cy="3317558"/>
            <wp:docPr id="5" name="Picture 5" descr="Figure 5. Immediate paper market-order processing with server-side price evidence and one transaction."/>
            <wp:cNvGraphicFramePr>
              <a:graphicFrameLocks noChangeAspect="1"/>
            </wp:cNvGraphicFramePr>
            <a:graphic>
              <a:graphicData uri="http://schemas.openxmlformats.org/drawingml/2006/picture">
                <pic:pic>
                  <pic:nvPicPr>
                    <pic:cNvPr id="0" name="05-order-command-sequence.png"/>
                    <pic:cNvPicPr/>
                  </pic:nvPicPr>
                  <pic:blipFill>
                    <a:blip r:embed="rId15"/>
                    <a:stretch>
                      <a:fillRect/>
                    </a:stretch>
                  </pic:blipFill>
                  <pic:spPr>
                    <a:xfrm>
                      <a:off x="0" y="0"/>
                      <a:ext cx="5897880" cy="3317558"/>
                    </a:xfrm>
                    <a:prstGeom prst="rect"/>
                  </pic:spPr>
                </pic:pic>
              </a:graphicData>
            </a:graphic>
          </wp:inline>
        </w:drawing>
      </w:r>
    </w:p>
    <w:p>
      <w:pPr>
        <w:pStyle w:val="Caption"/>
        <w:jc w:val="center"/>
      </w:pPr>
      <w:r>
        <w:t>Figure 5. Immediate paper market-order processing with server-side price evidence and one transaction.</w:t>
      </w:r>
    </w:p>
    <w:p>
      <w:r>
        <w:br w:type="page"/>
      </w:r>
    </w:p>
    <w:p>
      <w:pPr>
        <w:keepNext/>
        <w:jc w:val="center"/>
      </w:pPr>
      <w:r>
        <w:drawing>
          <wp:inline xmlns:a="http://schemas.openxmlformats.org/drawingml/2006/main" xmlns:pic="http://schemas.openxmlformats.org/drawingml/2006/picture">
            <wp:extent cx="5897880" cy="3317558"/>
            <wp:docPr id="6" name="Picture 6" descr="Figure 6. Paper order lifecycle and idempotency behavior."/>
            <wp:cNvGraphicFramePr>
              <a:graphicFrameLocks noChangeAspect="1"/>
            </wp:cNvGraphicFramePr>
            <a:graphic>
              <a:graphicData uri="http://schemas.openxmlformats.org/drawingml/2006/picture">
                <pic:pic>
                  <pic:nvPicPr>
                    <pic:cNvPr id="0" name="06-order-state-machine.png"/>
                    <pic:cNvPicPr/>
                  </pic:nvPicPr>
                  <pic:blipFill>
                    <a:blip r:embed="rId16"/>
                    <a:stretch>
                      <a:fillRect/>
                    </a:stretch>
                  </pic:blipFill>
                  <pic:spPr>
                    <a:xfrm>
                      <a:off x="0" y="0"/>
                      <a:ext cx="5897880" cy="3317558"/>
                    </a:xfrm>
                    <a:prstGeom prst="rect"/>
                  </pic:spPr>
                </pic:pic>
              </a:graphicData>
            </a:graphic>
          </wp:inline>
        </w:drawing>
      </w:r>
    </w:p>
    <w:p>
      <w:pPr>
        <w:pStyle w:val="Caption"/>
        <w:jc w:val="center"/>
      </w:pPr>
      <w:r>
        <w:t>Figure 6. Paper order lifecycle and idempotency behavior.</w:t>
      </w:r>
    </w:p>
    <w:p>
      <w:pPr>
        <w:pStyle w:val="Heading2"/>
      </w:pPr>
      <w:r>
        <w:rPr>
          <w:rFonts w:ascii="Calibri" w:hAnsi="Calibri"/>
          <w:b w:val="0"/>
          <w:i w:val="0"/>
          <w:color w:val="243443"/>
          <w:sz w:val="22"/>
        </w:rPr>
        <w:t>Concurrency and idempotency</w:t>
      </w:r>
    </w:p>
    <w:p>
      <w:pPr>
        <w:pStyle w:val="ListBullet"/>
        <w:spacing w:after="80" w:line="300" w:lineRule="auto"/>
        <w:ind w:left="540" w:hanging="271"/>
      </w:pPr>
      <w:r>
        <w:rPr>
          <w:rFonts w:ascii="Calibri" w:hAnsi="Calibri"/>
          <w:b w:val="0"/>
          <w:i w:val="0"/>
          <w:color w:val="243443"/>
          <w:sz w:val="22"/>
        </w:rPr>
        <w:t>The API requires clientOrderId; the database enforces UNIQUE(account_id, client_order_id).</w:t>
      </w:r>
    </w:p>
    <w:p>
      <w:pPr>
        <w:pStyle w:val="ListBullet"/>
        <w:spacing w:after="80" w:line="300" w:lineRule="auto"/>
        <w:ind w:left="540" w:hanging="271"/>
      </w:pPr>
      <w:r>
        <w:rPr>
          <w:rFonts w:ascii="Calibri" w:hAnsi="Calibri"/>
          <w:b w:val="0"/>
          <w:i w:val="0"/>
          <w:color w:val="243443"/>
          <w:sz w:val="22"/>
        </w:rPr>
        <w:t>A repeated key with an identical normalized payload returns the original order and does not repeat effects.</w:t>
      </w:r>
    </w:p>
    <w:p>
      <w:pPr>
        <w:pStyle w:val="ListBullet"/>
        <w:spacing w:after="80" w:line="300" w:lineRule="auto"/>
        <w:ind w:left="540" w:hanging="271"/>
      </w:pPr>
      <w:r>
        <w:rPr>
          <w:rFonts w:ascii="Calibri" w:hAnsi="Calibri"/>
          <w:b w:val="0"/>
          <w:i w:val="0"/>
          <w:color w:val="243443"/>
          <w:sz w:val="22"/>
        </w:rPr>
        <w:t>A repeated key with different instrument, side, type, or quantity returns 409 IDEMPOTENCY_CONFLICT.</w:t>
      </w:r>
    </w:p>
    <w:p>
      <w:pPr>
        <w:pStyle w:val="ListBullet"/>
        <w:spacing w:after="80" w:line="300" w:lineRule="auto"/>
        <w:ind w:left="540" w:hanging="271"/>
      </w:pPr>
      <w:r>
        <w:rPr>
          <w:rFonts w:ascii="Calibri" w:hAnsi="Calibri"/>
          <w:b w:val="0"/>
          <w:i w:val="0"/>
          <w:color w:val="243443"/>
          <w:sz w:val="22"/>
        </w:rPr>
        <w:t>The service locks the account row or uses compare-and-swap versioning before funds/position checks and posting.</w:t>
      </w:r>
    </w:p>
    <w:p>
      <w:pPr>
        <w:pStyle w:val="ListBullet"/>
        <w:spacing w:after="80" w:line="300" w:lineRule="auto"/>
        <w:ind w:left="540" w:hanging="271"/>
      </w:pPr>
      <w:r>
        <w:rPr>
          <w:rFonts w:ascii="Calibri" w:hAnsi="Calibri"/>
          <w:b w:val="0"/>
          <w:i w:val="0"/>
          <w:color w:val="243443"/>
          <w:sz w:val="22"/>
        </w:rPr>
        <w:t>Deadlocks and serialization failures may be retried inside a small bounded policy; the idempotency key remains constant.</w:t>
      </w:r>
    </w:p>
    <w:p>
      <w:pPr>
        <w:pStyle w:val="ListBullet"/>
        <w:spacing w:after="80" w:line="300" w:lineRule="auto"/>
        <w:ind w:left="540" w:hanging="271"/>
      </w:pPr>
      <w:r>
        <w:rPr>
          <w:rFonts w:ascii="Calibri" w:hAnsi="Calibri"/>
          <w:b w:val="0"/>
          <w:i w:val="0"/>
          <w:color w:val="243443"/>
          <w:sz w:val="22"/>
        </w:rPr>
        <w:t>Rejected orders are persisted with a stable reason code and no fill/ledger/position effects.</w:t>
      </w:r>
    </w:p>
    <w:p>
      <w:pPr>
        <w:pStyle w:val="Heading1"/>
      </w:pPr>
      <w:r>
        <w:rPr>
          <w:rFonts w:ascii="Calibri" w:hAnsi="Calibri"/>
          <w:b w:val="0"/>
          <w:i w:val="0"/>
          <w:color w:val="243443"/>
          <w:sz w:val="22"/>
        </w:rPr>
        <w:t>8. Persistence design</w:t>
      </w:r>
    </w:p>
    <w:p>
      <w:pPr>
        <w:keepNext/>
        <w:jc w:val="center"/>
      </w:pPr>
      <w:r>
        <w:drawing>
          <wp:inline xmlns:a="http://schemas.openxmlformats.org/drawingml/2006/main" xmlns:pic="http://schemas.openxmlformats.org/drawingml/2006/picture">
            <wp:extent cx="5897880" cy="3317558"/>
            <wp:docPr id="7" name="Picture 7" descr="Figure 7. Core paper-account and AI strategy-lineage entities."/>
            <wp:cNvGraphicFramePr>
              <a:graphicFrameLocks noChangeAspect="1"/>
            </wp:cNvGraphicFramePr>
            <a:graphic>
              <a:graphicData uri="http://schemas.openxmlformats.org/drawingml/2006/picture">
                <pic:pic>
                  <pic:nvPicPr>
                    <pic:cNvPr id="0" name="07-persistence-erd.png"/>
                    <pic:cNvPicPr/>
                  </pic:nvPicPr>
                  <pic:blipFill>
                    <a:blip r:embed="rId17"/>
                    <a:stretch>
                      <a:fillRect/>
                    </a:stretch>
                  </pic:blipFill>
                  <pic:spPr>
                    <a:xfrm>
                      <a:off x="0" y="0"/>
                      <a:ext cx="5897880" cy="3317558"/>
                    </a:xfrm>
                    <a:prstGeom prst="rect"/>
                  </pic:spPr>
                </pic:pic>
              </a:graphicData>
            </a:graphic>
          </wp:inline>
        </w:drawing>
      </w:r>
    </w:p>
    <w:p>
      <w:pPr>
        <w:pStyle w:val="Caption"/>
        <w:jc w:val="center"/>
      </w:pPr>
      <w:r>
        <w:t>Figure 7. Core paper-account and AI strategy-lineage entities.</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1"/>
        </w:trPr>
        <w:tc>
          <w:tcPr>
            <w:tcW w:type="dxa" w:w="2500"/>
            <w:tcMar>
              <w:top w:w="80" w:type="dxa"/>
              <w:start w:w="120" w:type="dxa"/>
              <w:bottom w:w="80" w:type="dxa"/>
              <w:end w:w="120" w:type="dxa"/>
            </w:tcMar>
            <w:vAlign w:val="center"/>
            <w:shd w:fill="EAF2F8"/>
          </w:tcPr>
          <w:p>
            <w:r>
              <w:rPr>
                <w:rFonts w:ascii="Calibri" w:hAnsi="Calibri"/>
                <w:b/>
                <w:i w:val="0"/>
                <w:color w:val="17324D"/>
                <w:sz w:val="19"/>
              </w:rPr>
              <w:t>Table</w:t>
            </w:r>
          </w:p>
        </w:tc>
        <w:tc>
          <w:tcPr>
            <w:tcW w:type="dxa" w:w="6860"/>
            <w:tcMar>
              <w:top w:w="80" w:type="dxa"/>
              <w:start w:w="120" w:type="dxa"/>
              <w:bottom w:w="80" w:type="dxa"/>
              <w:end w:w="120" w:type="dxa"/>
            </w:tcMar>
            <w:vAlign w:val="center"/>
            <w:shd w:fill="EAF2F8"/>
          </w:tcPr>
          <w:p>
            <w:r>
              <w:rPr>
                <w:rFonts w:ascii="Calibri" w:hAnsi="Calibri"/>
                <w:b/>
                <w:i w:val="0"/>
                <w:color w:val="17324D"/>
                <w:sz w:val="19"/>
              </w:rPr>
              <w:t>Important constraints / indexes</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paper_accounts</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UNIQUE(user_id, active); version; epoch; base_currency='INR'; non-negative balances.</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paper_orders</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UNIQUE(account_id, client_order_id); indexes on created_at, status, strategy_version_id, intent_id.</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paper_fills</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UNIQUE(order_id) for MVP; positive price/quantity; quote source and quote_as_of.</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paper_cash_ledger</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Append-only; UNIQUE(fill_id, entry_type); ordered by account_id + sequence.</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paper_positions</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PK(account_id, exchange, symbol); non-negative quantity; optimistic version.</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strategy_versions</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Immutable content JSON/hash; parent ID; creator; model/runtime metadata.</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trader_intents</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Normalized payload JSON + hash; confirmation and expiry; status.</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experiment_runs</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Pins engine version, seed, dataset hash, strategy, intent, and lifecycle state.</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evaluations</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Metrics JSON with schema version; policy version and pass/fail decision.</w:t>
            </w:r>
          </w:p>
        </w:tc>
      </w:tr>
      <w:tr>
        <w:tc>
          <w:tcPr>
            <w:tcW w:type="dxa" w:w="2500"/>
            <w:tcMar>
              <w:top w:w="80" w:type="dxa"/>
              <w:start w:w="120" w:type="dxa"/>
              <w:bottom w:w="80" w:type="dxa"/>
              <w:end w:w="120" w:type="dxa"/>
            </w:tcMar>
            <w:vAlign w:val="center"/>
          </w:tcPr>
          <w:p>
            <w:pPr>
              <w:spacing w:after="20"/>
            </w:pPr>
            <w:r>
              <w:rPr>
                <w:rFonts w:ascii="Calibri" w:hAnsi="Calibri"/>
                <w:b w:val="0"/>
                <w:i w:val="0"/>
                <w:color w:val="243443"/>
                <w:sz w:val="18"/>
              </w:rPr>
              <w:t>event_outbox</w:t>
            </w:r>
          </w:p>
        </w:tc>
        <w:tc>
          <w:tcPr>
            <w:tcW w:type="dxa" w:w="6860"/>
            <w:tcMar>
              <w:top w:w="80" w:type="dxa"/>
              <w:start w:w="120" w:type="dxa"/>
              <w:bottom w:w="80" w:type="dxa"/>
              <w:end w:w="120" w:type="dxa"/>
            </w:tcMar>
            <w:vAlign w:val="center"/>
          </w:tcPr>
          <w:p>
            <w:pPr>
              <w:spacing w:after="20"/>
            </w:pPr>
            <w:r>
              <w:rPr>
                <w:rFonts w:ascii="Calibri" w:hAnsi="Calibri"/>
                <w:b w:val="0"/>
                <w:i w:val="0"/>
                <w:color w:val="243443"/>
                <w:sz w:val="18"/>
              </w:rPr>
              <w:t>Aggregate, event type/version, payload, correlation/causation IDs, publish attempts.</w:t>
            </w:r>
          </w:p>
        </w:tc>
      </w:tr>
    </w:tbl>
    <w:p>
      <w:pPr>
        <w:spacing w:after="20"/>
      </w:pPr>
    </w:p>
    <w:p>
      <w:pPr>
        <w:pStyle w:val="Heading2"/>
      </w:pPr>
      <w:r>
        <w:rPr>
          <w:rFonts w:ascii="Calibri" w:hAnsi="Calibri"/>
          <w:b w:val="0"/>
          <w:i w:val="0"/>
          <w:color w:val="243443"/>
          <w:sz w:val="22"/>
        </w:rPr>
        <w:t>Migration plan</w:t>
      </w:r>
    </w:p>
    <w:p>
      <w:pPr>
        <w:pStyle w:val="ListNumber"/>
        <w:spacing w:after="80" w:line="300" w:lineRule="auto"/>
        <w:ind w:left="540" w:hanging="271"/>
      </w:pPr>
      <w:r>
        <w:rPr>
          <w:rFonts w:ascii="Calibri" w:hAnsi="Calibri"/>
          <w:b w:val="0"/>
          <w:i w:val="0"/>
          <w:color w:val="243443"/>
          <w:sz w:val="22"/>
        </w:rPr>
        <w:t>V005 creates paper accounts, orders, fills, ledger, and positions.</w:t>
      </w:r>
    </w:p>
    <w:p>
      <w:pPr>
        <w:pStyle w:val="ListNumber"/>
        <w:spacing w:after="80" w:line="300" w:lineRule="auto"/>
        <w:ind w:left="540" w:hanging="271"/>
      </w:pPr>
      <w:r>
        <w:rPr>
          <w:rFonts w:ascii="Calibri" w:hAnsi="Calibri"/>
          <w:b w:val="0"/>
          <w:i w:val="0"/>
          <w:color w:val="243443"/>
          <w:sz w:val="22"/>
        </w:rPr>
        <w:t>V006 creates strategy versions, trader intents, experiment runs, and evaluations.</w:t>
      </w:r>
    </w:p>
    <w:p>
      <w:pPr>
        <w:pStyle w:val="ListNumber"/>
        <w:spacing w:after="80" w:line="300" w:lineRule="auto"/>
        <w:ind w:left="540" w:hanging="271"/>
      </w:pPr>
      <w:r>
        <w:rPr>
          <w:rFonts w:ascii="Calibri" w:hAnsi="Calibri"/>
          <w:b w:val="0"/>
          <w:i w:val="0"/>
          <w:color w:val="243443"/>
          <w:sz w:val="22"/>
        </w:rPr>
        <w:t>V007 creates the transactional outbox and read-model indexes.</w:t>
      </w:r>
    </w:p>
    <w:p>
      <w:pPr>
        <w:pStyle w:val="ListNumber"/>
        <w:spacing w:after="80" w:line="300" w:lineRule="auto"/>
        <w:ind w:left="540" w:hanging="271"/>
      </w:pPr>
      <w:r>
        <w:rPr>
          <w:rFonts w:ascii="Calibri" w:hAnsi="Calibri"/>
          <w:b w:val="0"/>
          <w:i w:val="0"/>
          <w:color w:val="243443"/>
          <w:sz w:val="22"/>
        </w:rPr>
        <w:t>Migrations are additive. The current broker connection V003/V004 schema is untouched.</w:t>
      </w:r>
    </w:p>
    <w:p>
      <w:pPr>
        <w:pStyle w:val="Heading1"/>
      </w:pPr>
      <w:r>
        <w:rPr>
          <w:rFonts w:ascii="Calibri" w:hAnsi="Calibri"/>
          <w:b w:val="0"/>
          <w:i w:val="0"/>
          <w:color w:val="243443"/>
          <w:sz w:val="22"/>
        </w:rPr>
        <w:t>9. Quote and market data contract</w:t>
      </w:r>
    </w:p>
    <w:p>
      <w:pPr>
        <w:keepNext/>
        <w:jc w:val="center"/>
      </w:pPr>
      <w:r>
        <w:drawing>
          <wp:inline xmlns:a="http://schemas.openxmlformats.org/drawingml/2006/main" xmlns:pic="http://schemas.openxmlformats.org/drawingml/2006/picture">
            <wp:extent cx="5897880" cy="3317558"/>
            <wp:docPr id="8" name="Picture 8" descr="Figure 8. Provider-neutral executable quote routing and freshness policy."/>
            <wp:cNvGraphicFramePr>
              <a:graphicFrameLocks noChangeAspect="1"/>
            </wp:cNvGraphicFramePr>
            <a:graphic>
              <a:graphicData uri="http://schemas.openxmlformats.org/drawingml/2006/picture">
                <pic:pic>
                  <pic:nvPicPr>
                    <pic:cNvPr id="0" name="08-quote-freshness-flow.png"/>
                    <pic:cNvPicPr/>
                  </pic:nvPicPr>
                  <pic:blipFill>
                    <a:blip r:embed="rId18"/>
                    <a:stretch>
                      <a:fillRect/>
                    </a:stretch>
                  </pic:blipFill>
                  <pic:spPr>
                    <a:xfrm>
                      <a:off x="0" y="0"/>
                      <a:ext cx="5897880" cy="3317558"/>
                    </a:xfrm>
                    <a:prstGeom prst="rect"/>
                  </pic:spPr>
                </pic:pic>
              </a:graphicData>
            </a:graphic>
          </wp:inline>
        </w:drawing>
      </w:r>
    </w:p>
    <w:p>
      <w:pPr>
        <w:pStyle w:val="Caption"/>
        <w:jc w:val="center"/>
      </w:pPr>
      <w:r>
        <w:t>Figure 8. Provider-neutral executable quote routing and freshness policy.</w:t>
      </w:r>
    </w:p>
    <w:tbl>
      <w:tblPr>
        <w:tblStyle w:val="TableGrid"/>
        <w:tblW w:type="dxa" w:w="9360"/>
        <w:tblLayout w:type="fixed"/>
        <w:tblLook w:firstColumn="1" w:firstRow="1" w:lastColumn="0" w:lastRow="0" w:noHBand="0" w:noVBand="1" w:val="04A0"/>
        <w:jc w:val="left"/>
        <w:tblInd w:w="120" w:type="dxa"/>
      </w:tblPr>
      <w:tblGrid>
        <w:gridCol w:w="1800"/>
        <w:gridCol w:w="3500"/>
        <w:gridCol w:w="4060"/>
      </w:tblGrid>
      <w:tr>
        <w:trPr>
          <w:tblHeader w:val="1"/>
        </w:trPr>
        <w:tc>
          <w:tcPr>
            <w:tcW w:type="dxa" w:w="1800"/>
            <w:tcMar>
              <w:top w:w="80" w:type="dxa"/>
              <w:start w:w="120" w:type="dxa"/>
              <w:bottom w:w="80" w:type="dxa"/>
              <w:end w:w="120" w:type="dxa"/>
            </w:tcMar>
            <w:vAlign w:val="center"/>
            <w:shd w:fill="EAF2F8"/>
          </w:tcPr>
          <w:p>
            <w:r>
              <w:rPr>
                <w:rFonts w:ascii="Calibri" w:hAnsi="Calibri"/>
                <w:b/>
                <w:i w:val="0"/>
                <w:color w:val="17324D"/>
                <w:sz w:val="19"/>
              </w:rPr>
              <w:t>Mode</w:t>
            </w:r>
          </w:p>
        </w:tc>
        <w:tc>
          <w:tcPr>
            <w:tcW w:type="dxa" w:w="3500"/>
            <w:tcMar>
              <w:top w:w="80" w:type="dxa"/>
              <w:start w:w="120" w:type="dxa"/>
              <w:bottom w:w="80" w:type="dxa"/>
              <w:end w:w="120" w:type="dxa"/>
            </w:tcMar>
            <w:vAlign w:val="center"/>
            <w:shd w:fill="EAF2F8"/>
          </w:tcPr>
          <w:p>
            <w:r>
              <w:rPr>
                <w:rFonts w:ascii="Calibri" w:hAnsi="Calibri"/>
                <w:b/>
                <w:i w:val="0"/>
                <w:color w:val="17324D"/>
                <w:sz w:val="19"/>
              </w:rPr>
              <w:t>Allowed use</w:t>
            </w:r>
          </w:p>
        </w:tc>
        <w:tc>
          <w:tcPr>
            <w:tcW w:type="dxa" w:w="4060"/>
            <w:tcMar>
              <w:top w:w="80" w:type="dxa"/>
              <w:start w:w="120" w:type="dxa"/>
              <w:bottom w:w="80" w:type="dxa"/>
              <w:end w:w="120" w:type="dxa"/>
            </w:tcMar>
            <w:vAlign w:val="center"/>
            <w:shd w:fill="EAF2F8"/>
          </w:tcPr>
          <w:p>
            <w:r>
              <w:rPr>
                <w:rFonts w:ascii="Calibri" w:hAnsi="Calibri"/>
                <w:b/>
                <w:i w:val="0"/>
                <w:color w:val="17324D"/>
                <w:sz w:val="19"/>
              </w:rPr>
              <w:t>Freshness / reproducibility rule</w:t>
            </w:r>
          </w:p>
        </w:tc>
      </w:tr>
      <w:tr>
        <w:tc>
          <w:tcPr>
            <w:tcW w:type="dxa" w:w="1800"/>
            <w:tcMar>
              <w:top w:w="80" w:type="dxa"/>
              <w:start w:w="120" w:type="dxa"/>
              <w:bottom w:w="80" w:type="dxa"/>
              <w:end w:w="120" w:type="dxa"/>
            </w:tcMar>
            <w:vAlign w:val="center"/>
          </w:tcPr>
          <w:p>
            <w:pPr>
              <w:spacing w:after="20"/>
            </w:pPr>
            <w:r>
              <w:rPr>
                <w:rFonts w:ascii="Calibri" w:hAnsi="Calibri"/>
                <w:b w:val="0"/>
                <w:i w:val="0"/>
                <w:color w:val="243443"/>
                <w:sz w:val="18"/>
              </w:rPr>
              <w:t>SEEDED_DEV</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Local UI development and contract tests only.</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Deterministic seed/version displayed; production profile refuses this source.</w:t>
            </w:r>
          </w:p>
        </w:tc>
      </w:tr>
      <w:tr>
        <w:tc>
          <w:tcPr>
            <w:tcW w:type="dxa" w:w="1800"/>
            <w:tcMar>
              <w:top w:w="80" w:type="dxa"/>
              <w:start w:w="120" w:type="dxa"/>
              <w:bottom w:w="80" w:type="dxa"/>
              <w:end w:w="120" w:type="dxa"/>
            </w:tcMar>
            <w:vAlign w:val="center"/>
          </w:tcPr>
          <w:p>
            <w:pPr>
              <w:spacing w:after="20"/>
            </w:pPr>
            <w:r>
              <w:rPr>
                <w:rFonts w:ascii="Calibri" w:hAnsi="Calibri"/>
                <w:b w:val="0"/>
                <w:i w:val="0"/>
                <w:color w:val="243443"/>
                <w:sz w:val="18"/>
              </w:rPr>
              <w:t>REPLAY</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Backtesting and controlled CORE AI experiments.</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Virtual clock equals candle timestamp; dataset hash and ordering are pinned.</w:t>
            </w:r>
          </w:p>
        </w:tc>
      </w:tr>
      <w:tr>
        <w:tc>
          <w:tcPr>
            <w:tcW w:type="dxa" w:w="1800"/>
            <w:tcMar>
              <w:top w:w="80" w:type="dxa"/>
              <w:start w:w="120" w:type="dxa"/>
              <w:bottom w:w="80" w:type="dxa"/>
              <w:end w:w="120" w:type="dxa"/>
            </w:tcMar>
            <w:vAlign w:val="center"/>
          </w:tcPr>
          <w:p>
            <w:pPr>
              <w:spacing w:after="20"/>
            </w:pPr>
            <w:r>
              <w:rPr>
                <w:rFonts w:ascii="Calibri" w:hAnsi="Calibri"/>
                <w:b w:val="0"/>
                <w:i w:val="0"/>
                <w:color w:val="243443"/>
                <w:sz w:val="18"/>
              </w:rPr>
              <w:t>MARKET_SNAPSHOT</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Production-like paper trading after provider adapter exists.</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Server timestamp, provider timestamp, source, and configurable max age are mandatory.</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1"/>
        </w:trPr>
        <w:tc>
          <w:tcPr>
            <w:tcW w:type="dxa" w:w="9360"/>
            <w:tcMar>
              <w:top w:w="80" w:type="dxa"/>
              <w:start w:w="120" w:type="dxa"/>
              <w:bottom w:w="80" w:type="dxa"/>
              <w:end w:w="120" w:type="dxa"/>
            </w:tcMar>
            <w:vAlign w:val="center"/>
            <w:shd w:fill="FBECEA"/>
          </w:tcPr>
          <w:p>
            <w:pPr>
              <w:spacing w:after="60"/>
            </w:pPr>
            <w:r>
              <w:rPr>
                <w:rFonts w:ascii="Calibri" w:hAnsi="Calibri"/>
                <w:b/>
                <w:i w:val="0"/>
                <w:color w:val="A33A32"/>
                <w:sz w:val="22"/>
              </w:rPr>
              <w:t xml:space="preserve">OPEN DEPENDENCY  </w:t>
            </w:r>
            <w:r>
              <w:rPr>
                <w:rFonts w:ascii="Calibri" w:hAnsi="Calibri"/>
                <w:b w:val="0"/>
                <w:i w:val="0"/>
                <w:color w:val="243443"/>
                <w:sz w:val="21"/>
              </w:rPr>
              <w:t>The existing Zerodha adapter provides historical candles, not a current executable quote. Public paper-order activation therefore depends on a CurrentMarketDataProvider implementation or another approved quote provider. Seeded and replay modes can proceed immediately.</w:t>
            </w:r>
          </w:p>
        </w:tc>
      </w:tr>
    </w:tbl>
    <w:p>
      <w:pPr>
        <w:spacing w:after="20"/>
      </w:pPr>
    </w:p>
    <w:p>
      <w:pPr>
        <w:pStyle w:val="Heading1"/>
      </w:pPr>
      <w:r>
        <w:rPr>
          <w:rFonts w:ascii="Calibri" w:hAnsi="Calibri"/>
          <w:b w:val="0"/>
          <w:i w:val="0"/>
          <w:color w:val="243443"/>
          <w:sz w:val="22"/>
        </w:rPr>
        <w:t>10. API contract</w:t>
      </w:r>
    </w:p>
    <w:tbl>
      <w:tblPr>
        <w:tblStyle w:val="TableGrid"/>
        <w:tblW w:type="dxa" w:w="9360"/>
        <w:tblLayout w:type="fixed"/>
        <w:tblLook w:firstColumn="1" w:firstRow="1" w:lastColumn="0" w:lastRow="0" w:noHBand="0" w:noVBand="1" w:val="04A0"/>
        <w:jc w:val="left"/>
        <w:tblInd w:w="120" w:type="dxa"/>
      </w:tblPr>
      <w:tblGrid>
        <w:gridCol w:w="1300"/>
        <w:gridCol w:w="4560"/>
        <w:gridCol w:w="3500"/>
      </w:tblGrid>
      <w:tr>
        <w:trPr>
          <w:tblHeader w:val="1"/>
        </w:trPr>
        <w:tc>
          <w:tcPr>
            <w:tcW w:type="dxa" w:w="1300"/>
            <w:tcMar>
              <w:top w:w="80" w:type="dxa"/>
              <w:start w:w="120" w:type="dxa"/>
              <w:bottom w:w="80" w:type="dxa"/>
              <w:end w:w="120" w:type="dxa"/>
            </w:tcMar>
            <w:vAlign w:val="center"/>
            <w:shd w:fill="EAF2F8"/>
          </w:tcPr>
          <w:p>
            <w:r>
              <w:rPr>
                <w:rFonts w:ascii="Calibri" w:hAnsi="Calibri"/>
                <w:b/>
                <w:i w:val="0"/>
                <w:color w:val="17324D"/>
                <w:sz w:val="19"/>
              </w:rPr>
              <w:t>Method</w:t>
            </w:r>
          </w:p>
        </w:tc>
        <w:tc>
          <w:tcPr>
            <w:tcW w:type="dxa" w:w="4560"/>
            <w:tcMar>
              <w:top w:w="80" w:type="dxa"/>
              <w:start w:w="120" w:type="dxa"/>
              <w:bottom w:w="80" w:type="dxa"/>
              <w:end w:w="120" w:type="dxa"/>
            </w:tcMar>
            <w:vAlign w:val="center"/>
            <w:shd w:fill="EAF2F8"/>
          </w:tcPr>
          <w:p>
            <w:r>
              <w:rPr>
                <w:rFonts w:ascii="Calibri" w:hAnsi="Calibri"/>
                <w:b/>
                <w:i w:val="0"/>
                <w:color w:val="17324D"/>
                <w:sz w:val="19"/>
              </w:rPr>
              <w:t>Path</w:t>
            </w:r>
          </w:p>
        </w:tc>
        <w:tc>
          <w:tcPr>
            <w:tcW w:type="dxa" w:w="3500"/>
            <w:tcMar>
              <w:top w:w="80" w:type="dxa"/>
              <w:start w:w="120" w:type="dxa"/>
              <w:bottom w:w="80" w:type="dxa"/>
              <w:end w:w="120" w:type="dxa"/>
            </w:tcMar>
            <w:vAlign w:val="center"/>
            <w:shd w:fill="EAF2F8"/>
          </w:tcPr>
          <w:p>
            <w:r>
              <w:rPr>
                <w:rFonts w:ascii="Calibri" w:hAnsi="Calibri"/>
                <w:b/>
                <w:i w:val="0"/>
                <w:color w:val="17324D"/>
                <w:sz w:val="19"/>
              </w:rPr>
              <w:t>Result</w:t>
            </w:r>
          </w:p>
        </w:tc>
      </w:tr>
      <w:tr>
        <w:tc>
          <w:tcPr>
            <w:tcW w:type="dxa" w:w="1300"/>
            <w:tcMar>
              <w:top w:w="80" w:type="dxa"/>
              <w:start w:w="120" w:type="dxa"/>
              <w:bottom w:w="80" w:type="dxa"/>
              <w:end w:w="120" w:type="dxa"/>
            </w:tcMar>
            <w:vAlign w:val="center"/>
          </w:tcPr>
          <w:p>
            <w:pPr>
              <w:spacing w:after="20"/>
            </w:pPr>
            <w:r>
              <w:rPr>
                <w:rFonts w:ascii="Calibri" w:hAnsi="Calibri"/>
                <w:b w:val="0"/>
                <w:i w:val="0"/>
                <w:color w:val="243443"/>
                <w:sz w:val="18"/>
              </w:rPr>
              <w:t>GET</w:t>
            </w:r>
          </w:p>
        </w:tc>
        <w:tc>
          <w:tcPr>
            <w:tcW w:type="dxa" w:w="4560"/>
            <w:tcMar>
              <w:top w:w="80" w:type="dxa"/>
              <w:start w:w="120" w:type="dxa"/>
              <w:bottom w:w="80" w:type="dxa"/>
              <w:end w:w="120" w:type="dxa"/>
            </w:tcMar>
            <w:vAlign w:val="center"/>
          </w:tcPr>
          <w:p>
            <w:pPr>
              <w:spacing w:after="20"/>
            </w:pPr>
            <w:r>
              <w:rPr>
                <w:rFonts w:ascii="Calibri" w:hAnsi="Calibri"/>
                <w:b w:val="0"/>
                <w:i w:val="0"/>
                <w:color w:val="243443"/>
                <w:sz w:val="18"/>
              </w:rPr>
              <w:t>/api/paper/v1/account</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Account summary, cash, equity, data status, active epoch.</w:t>
            </w:r>
          </w:p>
        </w:tc>
      </w:tr>
      <w:tr>
        <w:tc>
          <w:tcPr>
            <w:tcW w:type="dxa" w:w="1300"/>
            <w:tcMar>
              <w:top w:w="80" w:type="dxa"/>
              <w:start w:w="120" w:type="dxa"/>
              <w:bottom w:w="80" w:type="dxa"/>
              <w:end w:w="120" w:type="dxa"/>
            </w:tcMar>
            <w:vAlign w:val="center"/>
          </w:tcPr>
          <w:p>
            <w:pPr>
              <w:spacing w:after="20"/>
            </w:pPr>
            <w:r>
              <w:rPr>
                <w:rFonts w:ascii="Calibri" w:hAnsi="Calibri"/>
                <w:b w:val="0"/>
                <w:i w:val="0"/>
                <w:color w:val="243443"/>
                <w:sz w:val="18"/>
              </w:rPr>
              <w:t>POST</w:t>
            </w:r>
          </w:p>
        </w:tc>
        <w:tc>
          <w:tcPr>
            <w:tcW w:type="dxa" w:w="4560"/>
            <w:tcMar>
              <w:top w:w="80" w:type="dxa"/>
              <w:start w:w="120" w:type="dxa"/>
              <w:bottom w:w="80" w:type="dxa"/>
              <w:end w:w="120" w:type="dxa"/>
            </w:tcMar>
            <w:vAlign w:val="center"/>
          </w:tcPr>
          <w:p>
            <w:pPr>
              <w:spacing w:after="20"/>
            </w:pPr>
            <w:r>
              <w:rPr>
                <w:rFonts w:ascii="Calibri" w:hAnsi="Calibri"/>
                <w:b w:val="0"/>
                <w:i w:val="0"/>
                <w:color w:val="243443"/>
                <w:sz w:val="18"/>
              </w:rPr>
              <w:t>/api/paper/v1/account</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Create the user's initial account; idempotent.</w:t>
            </w:r>
          </w:p>
        </w:tc>
      </w:tr>
      <w:tr>
        <w:tc>
          <w:tcPr>
            <w:tcW w:type="dxa" w:w="1300"/>
            <w:tcMar>
              <w:top w:w="80" w:type="dxa"/>
              <w:start w:w="120" w:type="dxa"/>
              <w:bottom w:w="80" w:type="dxa"/>
              <w:end w:w="120" w:type="dxa"/>
            </w:tcMar>
            <w:vAlign w:val="center"/>
          </w:tcPr>
          <w:p>
            <w:pPr>
              <w:spacing w:after="20"/>
            </w:pPr>
            <w:r>
              <w:rPr>
                <w:rFonts w:ascii="Calibri" w:hAnsi="Calibri"/>
                <w:b w:val="0"/>
                <w:i w:val="0"/>
                <w:color w:val="243443"/>
                <w:sz w:val="18"/>
              </w:rPr>
              <w:t>POST</w:t>
            </w:r>
          </w:p>
        </w:tc>
        <w:tc>
          <w:tcPr>
            <w:tcW w:type="dxa" w:w="4560"/>
            <w:tcMar>
              <w:top w:w="80" w:type="dxa"/>
              <w:start w:w="120" w:type="dxa"/>
              <w:bottom w:w="80" w:type="dxa"/>
              <w:end w:w="120" w:type="dxa"/>
            </w:tcMar>
            <w:vAlign w:val="center"/>
          </w:tcPr>
          <w:p>
            <w:pPr>
              <w:spacing w:after="20"/>
            </w:pPr>
            <w:r>
              <w:rPr>
                <w:rFonts w:ascii="Calibri" w:hAnsi="Calibri"/>
                <w:b w:val="0"/>
                <w:i w:val="0"/>
                <w:color w:val="243443"/>
                <w:sz w:val="18"/>
              </w:rPr>
              <w:t>/api/paper/v1/account/reset</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Create a new epoch after typed confirmation; retain history.</w:t>
            </w:r>
          </w:p>
        </w:tc>
      </w:tr>
      <w:tr>
        <w:tc>
          <w:tcPr>
            <w:tcW w:type="dxa" w:w="1300"/>
            <w:tcMar>
              <w:top w:w="80" w:type="dxa"/>
              <w:start w:w="120" w:type="dxa"/>
              <w:bottom w:w="80" w:type="dxa"/>
              <w:end w:w="120" w:type="dxa"/>
            </w:tcMar>
            <w:vAlign w:val="center"/>
          </w:tcPr>
          <w:p>
            <w:pPr>
              <w:spacing w:after="20"/>
            </w:pPr>
            <w:r>
              <w:rPr>
                <w:rFonts w:ascii="Calibri" w:hAnsi="Calibri"/>
                <w:b w:val="0"/>
                <w:i w:val="0"/>
                <w:color w:val="243443"/>
                <w:sz w:val="18"/>
              </w:rPr>
              <w:t>GET</w:t>
            </w:r>
          </w:p>
        </w:tc>
        <w:tc>
          <w:tcPr>
            <w:tcW w:type="dxa" w:w="4560"/>
            <w:tcMar>
              <w:top w:w="80" w:type="dxa"/>
              <w:start w:w="120" w:type="dxa"/>
              <w:bottom w:w="80" w:type="dxa"/>
              <w:end w:w="120" w:type="dxa"/>
            </w:tcMar>
            <w:vAlign w:val="center"/>
          </w:tcPr>
          <w:p>
            <w:pPr>
              <w:spacing w:after="20"/>
            </w:pPr>
            <w:r>
              <w:rPr>
                <w:rFonts w:ascii="Calibri" w:hAnsi="Calibri"/>
                <w:b w:val="0"/>
                <w:i w:val="0"/>
                <w:color w:val="243443"/>
                <w:sz w:val="18"/>
              </w:rPr>
              <w:t>/api/paper/v1/quotes/{exchange}/{symbol}</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Snapshot, source, asOf, age, and executable flag.</w:t>
            </w:r>
          </w:p>
        </w:tc>
      </w:tr>
      <w:tr>
        <w:tc>
          <w:tcPr>
            <w:tcW w:type="dxa" w:w="1300"/>
            <w:tcMar>
              <w:top w:w="80" w:type="dxa"/>
              <w:start w:w="120" w:type="dxa"/>
              <w:bottom w:w="80" w:type="dxa"/>
              <w:end w:w="120" w:type="dxa"/>
            </w:tcMar>
            <w:vAlign w:val="center"/>
          </w:tcPr>
          <w:p>
            <w:pPr>
              <w:spacing w:after="20"/>
            </w:pPr>
            <w:r>
              <w:rPr>
                <w:rFonts w:ascii="Calibri" w:hAnsi="Calibri"/>
                <w:b w:val="0"/>
                <w:i w:val="0"/>
                <w:color w:val="243443"/>
                <w:sz w:val="18"/>
              </w:rPr>
              <w:t>POST</w:t>
            </w:r>
          </w:p>
        </w:tc>
        <w:tc>
          <w:tcPr>
            <w:tcW w:type="dxa" w:w="4560"/>
            <w:tcMar>
              <w:top w:w="80" w:type="dxa"/>
              <w:start w:w="120" w:type="dxa"/>
              <w:bottom w:w="80" w:type="dxa"/>
              <w:end w:w="120" w:type="dxa"/>
            </w:tcMar>
            <w:vAlign w:val="center"/>
          </w:tcPr>
          <w:p>
            <w:pPr>
              <w:spacing w:after="20"/>
            </w:pPr>
            <w:r>
              <w:rPr>
                <w:rFonts w:ascii="Calibri" w:hAnsi="Calibri"/>
                <w:b w:val="0"/>
                <w:i w:val="0"/>
                <w:color w:val="243443"/>
                <w:sz w:val="18"/>
              </w:rPr>
              <w:t>/api/paper/v1/orders</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Submit market order with clientOrderId and optional strategy/experiment lineage.</w:t>
            </w:r>
          </w:p>
        </w:tc>
      </w:tr>
      <w:tr>
        <w:tc>
          <w:tcPr>
            <w:tcW w:type="dxa" w:w="1300"/>
            <w:tcMar>
              <w:top w:w="80" w:type="dxa"/>
              <w:start w:w="120" w:type="dxa"/>
              <w:bottom w:w="80" w:type="dxa"/>
              <w:end w:w="120" w:type="dxa"/>
            </w:tcMar>
            <w:vAlign w:val="center"/>
          </w:tcPr>
          <w:p>
            <w:pPr>
              <w:spacing w:after="20"/>
            </w:pPr>
            <w:r>
              <w:rPr>
                <w:rFonts w:ascii="Calibri" w:hAnsi="Calibri"/>
                <w:b w:val="0"/>
                <w:i w:val="0"/>
                <w:color w:val="243443"/>
                <w:sz w:val="18"/>
              </w:rPr>
              <w:t>GET</w:t>
            </w:r>
          </w:p>
        </w:tc>
        <w:tc>
          <w:tcPr>
            <w:tcW w:type="dxa" w:w="4560"/>
            <w:tcMar>
              <w:top w:w="80" w:type="dxa"/>
              <w:start w:w="120" w:type="dxa"/>
              <w:bottom w:w="80" w:type="dxa"/>
              <w:end w:w="120" w:type="dxa"/>
            </w:tcMar>
            <w:vAlign w:val="center"/>
          </w:tcPr>
          <w:p>
            <w:pPr>
              <w:spacing w:after="20"/>
            </w:pPr>
            <w:r>
              <w:rPr>
                <w:rFonts w:ascii="Calibri" w:hAnsi="Calibri"/>
                <w:b w:val="0"/>
                <w:i w:val="0"/>
                <w:color w:val="243443"/>
                <w:sz w:val="18"/>
              </w:rPr>
              <w:t>/api/paper/v1/orders/{orderId}</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Order, rejection/fill evidence, correlation metadata.</w:t>
            </w:r>
          </w:p>
        </w:tc>
      </w:tr>
      <w:tr>
        <w:tc>
          <w:tcPr>
            <w:tcW w:type="dxa" w:w="1300"/>
            <w:tcMar>
              <w:top w:w="80" w:type="dxa"/>
              <w:start w:w="120" w:type="dxa"/>
              <w:bottom w:w="80" w:type="dxa"/>
              <w:end w:w="120" w:type="dxa"/>
            </w:tcMar>
            <w:vAlign w:val="center"/>
          </w:tcPr>
          <w:p>
            <w:pPr>
              <w:spacing w:after="20"/>
            </w:pPr>
            <w:r>
              <w:rPr>
                <w:rFonts w:ascii="Calibri" w:hAnsi="Calibri"/>
                <w:b w:val="0"/>
                <w:i w:val="0"/>
                <w:color w:val="243443"/>
                <w:sz w:val="18"/>
              </w:rPr>
              <w:t>GET</w:t>
            </w:r>
          </w:p>
        </w:tc>
        <w:tc>
          <w:tcPr>
            <w:tcW w:type="dxa" w:w="4560"/>
            <w:tcMar>
              <w:top w:w="80" w:type="dxa"/>
              <w:start w:w="120" w:type="dxa"/>
              <w:bottom w:w="80" w:type="dxa"/>
              <w:end w:w="120" w:type="dxa"/>
            </w:tcMar>
            <w:vAlign w:val="center"/>
          </w:tcPr>
          <w:p>
            <w:pPr>
              <w:spacing w:after="20"/>
            </w:pPr>
            <w:r>
              <w:rPr>
                <w:rFonts w:ascii="Calibri" w:hAnsi="Calibri"/>
                <w:b w:val="0"/>
                <w:i w:val="0"/>
                <w:color w:val="243443"/>
                <w:sz w:val="18"/>
              </w:rPr>
              <w:t>/api/paper/v1/orders?cursor=</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Cursor-paginated order history.</w:t>
            </w:r>
          </w:p>
        </w:tc>
      </w:tr>
      <w:tr>
        <w:tc>
          <w:tcPr>
            <w:tcW w:type="dxa" w:w="1300"/>
            <w:tcMar>
              <w:top w:w="80" w:type="dxa"/>
              <w:start w:w="120" w:type="dxa"/>
              <w:bottom w:w="80" w:type="dxa"/>
              <w:end w:w="120" w:type="dxa"/>
            </w:tcMar>
            <w:vAlign w:val="center"/>
          </w:tcPr>
          <w:p>
            <w:pPr>
              <w:spacing w:after="20"/>
            </w:pPr>
            <w:r>
              <w:rPr>
                <w:rFonts w:ascii="Calibri" w:hAnsi="Calibri"/>
                <w:b w:val="0"/>
                <w:i w:val="0"/>
                <w:color w:val="243443"/>
                <w:sz w:val="18"/>
              </w:rPr>
              <w:t>GET</w:t>
            </w:r>
          </w:p>
        </w:tc>
        <w:tc>
          <w:tcPr>
            <w:tcW w:type="dxa" w:w="4560"/>
            <w:tcMar>
              <w:top w:w="80" w:type="dxa"/>
              <w:start w:w="120" w:type="dxa"/>
              <w:bottom w:w="80" w:type="dxa"/>
              <w:end w:w="120" w:type="dxa"/>
            </w:tcMar>
            <w:vAlign w:val="center"/>
          </w:tcPr>
          <w:p>
            <w:pPr>
              <w:spacing w:after="20"/>
            </w:pPr>
            <w:r>
              <w:rPr>
                <w:rFonts w:ascii="Calibri" w:hAnsi="Calibri"/>
                <w:b w:val="0"/>
                <w:i w:val="0"/>
                <w:color w:val="243443"/>
                <w:sz w:val="18"/>
              </w:rPr>
              <w:t>/api/paper/v1/positions</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Positions with valuation timestamps and P&amp;L.</w:t>
            </w:r>
          </w:p>
        </w:tc>
      </w:tr>
      <w:tr>
        <w:tc>
          <w:tcPr>
            <w:tcW w:type="dxa" w:w="1300"/>
            <w:tcMar>
              <w:top w:w="80" w:type="dxa"/>
              <w:start w:w="120" w:type="dxa"/>
              <w:bottom w:w="80" w:type="dxa"/>
              <w:end w:w="120" w:type="dxa"/>
            </w:tcMar>
            <w:vAlign w:val="center"/>
          </w:tcPr>
          <w:p>
            <w:pPr>
              <w:spacing w:after="20"/>
            </w:pPr>
            <w:r>
              <w:rPr>
                <w:rFonts w:ascii="Calibri" w:hAnsi="Calibri"/>
                <w:b w:val="0"/>
                <w:i w:val="0"/>
                <w:color w:val="243443"/>
                <w:sz w:val="18"/>
              </w:rPr>
              <w:t>GET</w:t>
            </w:r>
          </w:p>
        </w:tc>
        <w:tc>
          <w:tcPr>
            <w:tcW w:type="dxa" w:w="4560"/>
            <w:tcMar>
              <w:top w:w="80" w:type="dxa"/>
              <w:start w:w="120" w:type="dxa"/>
              <w:bottom w:w="80" w:type="dxa"/>
              <w:end w:w="120" w:type="dxa"/>
            </w:tcMar>
            <w:vAlign w:val="center"/>
          </w:tcPr>
          <w:p>
            <w:pPr>
              <w:spacing w:after="20"/>
            </w:pPr>
            <w:r>
              <w:rPr>
                <w:rFonts w:ascii="Calibri" w:hAnsi="Calibri"/>
                <w:b w:val="0"/>
                <w:i w:val="0"/>
                <w:color w:val="243443"/>
                <w:sz w:val="18"/>
              </w:rPr>
              <w:t>/api/paper/v1/activity?cursor=</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Ledger and audit read model.</w:t>
            </w:r>
          </w:p>
        </w:tc>
      </w:tr>
      <w:tr>
        <w:tc>
          <w:tcPr>
            <w:tcW w:type="dxa" w:w="1300"/>
            <w:tcMar>
              <w:top w:w="80" w:type="dxa"/>
              <w:start w:w="120" w:type="dxa"/>
              <w:bottom w:w="80" w:type="dxa"/>
              <w:end w:w="120" w:type="dxa"/>
            </w:tcMar>
            <w:vAlign w:val="center"/>
          </w:tcPr>
          <w:p>
            <w:pPr>
              <w:spacing w:after="20"/>
            </w:pPr>
            <w:r>
              <w:rPr>
                <w:rFonts w:ascii="Calibri" w:hAnsi="Calibri"/>
                <w:b w:val="0"/>
                <w:i w:val="0"/>
                <w:color w:val="243443"/>
                <w:sz w:val="18"/>
              </w:rPr>
              <w:t>POST</w:t>
            </w:r>
          </w:p>
        </w:tc>
        <w:tc>
          <w:tcPr>
            <w:tcW w:type="dxa" w:w="4560"/>
            <w:tcMar>
              <w:top w:w="80" w:type="dxa"/>
              <w:start w:w="120" w:type="dxa"/>
              <w:bottom w:w="80" w:type="dxa"/>
              <w:end w:w="120" w:type="dxa"/>
            </w:tcMar>
            <w:vAlign w:val="center"/>
          </w:tcPr>
          <w:p>
            <w:pPr>
              <w:spacing w:after="20"/>
            </w:pPr>
            <w:r>
              <w:rPr>
                <w:rFonts w:ascii="Calibri" w:hAnsi="Calibri"/>
                <w:b w:val="0"/>
                <w:i w:val="0"/>
                <w:color w:val="243443"/>
                <w:sz w:val="18"/>
              </w:rPr>
              <w:t>/api/ai/v1/intents</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Normalize a proposed backtest intent; not yet authorized.</w:t>
            </w:r>
          </w:p>
        </w:tc>
      </w:tr>
      <w:tr>
        <w:tc>
          <w:tcPr>
            <w:tcW w:type="dxa" w:w="1300"/>
            <w:tcMar>
              <w:top w:w="80" w:type="dxa"/>
              <w:start w:w="120" w:type="dxa"/>
              <w:bottom w:w="80" w:type="dxa"/>
              <w:end w:w="120" w:type="dxa"/>
            </w:tcMar>
            <w:vAlign w:val="center"/>
          </w:tcPr>
          <w:p>
            <w:pPr>
              <w:spacing w:after="20"/>
            </w:pPr>
            <w:r>
              <w:rPr>
                <w:rFonts w:ascii="Calibri" w:hAnsi="Calibri"/>
                <w:b w:val="0"/>
                <w:i w:val="0"/>
                <w:color w:val="243443"/>
                <w:sz w:val="18"/>
              </w:rPr>
              <w:t>POST</w:t>
            </w:r>
          </w:p>
        </w:tc>
        <w:tc>
          <w:tcPr>
            <w:tcW w:type="dxa" w:w="4560"/>
            <w:tcMar>
              <w:top w:w="80" w:type="dxa"/>
              <w:start w:w="120" w:type="dxa"/>
              <w:bottom w:w="80" w:type="dxa"/>
              <w:end w:w="120" w:type="dxa"/>
            </w:tcMar>
            <w:vAlign w:val="center"/>
          </w:tcPr>
          <w:p>
            <w:pPr>
              <w:spacing w:after="20"/>
            </w:pPr>
            <w:r>
              <w:rPr>
                <w:rFonts w:ascii="Calibri" w:hAnsi="Calibri"/>
                <w:b w:val="0"/>
                <w:i w:val="0"/>
                <w:color w:val="243443"/>
                <w:sz w:val="18"/>
              </w:rPr>
              <w:t>/api/ai/v1/intents/{id}/confirm</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Record explicit confirmation and issue bounded authorization.</w:t>
            </w:r>
          </w:p>
        </w:tc>
      </w:tr>
      <w:tr>
        <w:tc>
          <w:tcPr>
            <w:tcW w:type="dxa" w:w="1300"/>
            <w:tcMar>
              <w:top w:w="80" w:type="dxa"/>
              <w:start w:w="120" w:type="dxa"/>
              <w:bottom w:w="80" w:type="dxa"/>
              <w:end w:w="120" w:type="dxa"/>
            </w:tcMar>
            <w:vAlign w:val="center"/>
          </w:tcPr>
          <w:p>
            <w:pPr>
              <w:spacing w:after="20"/>
            </w:pPr>
            <w:r>
              <w:rPr>
                <w:rFonts w:ascii="Calibri" w:hAnsi="Calibri"/>
                <w:b w:val="0"/>
                <w:i w:val="0"/>
                <w:color w:val="243443"/>
                <w:sz w:val="18"/>
              </w:rPr>
              <w:t>POST</w:t>
            </w:r>
          </w:p>
        </w:tc>
        <w:tc>
          <w:tcPr>
            <w:tcW w:type="dxa" w:w="4560"/>
            <w:tcMar>
              <w:top w:w="80" w:type="dxa"/>
              <w:start w:w="120" w:type="dxa"/>
              <w:bottom w:w="80" w:type="dxa"/>
              <w:end w:w="120" w:type="dxa"/>
            </w:tcMar>
            <w:vAlign w:val="center"/>
          </w:tcPr>
          <w:p>
            <w:pPr>
              <w:spacing w:after="20"/>
            </w:pPr>
            <w:r>
              <w:rPr>
                <w:rFonts w:ascii="Calibri" w:hAnsi="Calibri"/>
                <w:b w:val="0"/>
                <w:i w:val="0"/>
                <w:color w:val="243443"/>
                <w:sz w:val="18"/>
              </w:rPr>
              <w:t>/api/ai/v1/backtests</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Start only with valid authorization and exact content hash.</w:t>
            </w:r>
          </w:p>
        </w:tc>
      </w:tr>
      <w:tr>
        <w:tc>
          <w:tcPr>
            <w:tcW w:type="dxa" w:w="1300"/>
            <w:tcMar>
              <w:top w:w="80" w:type="dxa"/>
              <w:start w:w="120" w:type="dxa"/>
              <w:bottom w:w="80" w:type="dxa"/>
              <w:end w:w="120" w:type="dxa"/>
            </w:tcMar>
            <w:vAlign w:val="center"/>
          </w:tcPr>
          <w:p>
            <w:pPr>
              <w:spacing w:after="20"/>
            </w:pPr>
            <w:r>
              <w:rPr>
                <w:rFonts w:ascii="Calibri" w:hAnsi="Calibri"/>
                <w:b w:val="0"/>
                <w:i w:val="0"/>
                <w:color w:val="243443"/>
                <w:sz w:val="18"/>
              </w:rPr>
              <w:t>GET</w:t>
            </w:r>
          </w:p>
        </w:tc>
        <w:tc>
          <w:tcPr>
            <w:tcW w:type="dxa" w:w="4560"/>
            <w:tcMar>
              <w:top w:w="80" w:type="dxa"/>
              <w:start w:w="120" w:type="dxa"/>
              <w:bottom w:w="80" w:type="dxa"/>
              <w:end w:w="120" w:type="dxa"/>
            </w:tcMar>
            <w:vAlign w:val="center"/>
          </w:tcPr>
          <w:p>
            <w:pPr>
              <w:spacing w:after="20"/>
            </w:pPr>
            <w:r>
              <w:rPr>
                <w:rFonts w:ascii="Calibri" w:hAnsi="Calibri"/>
                <w:b w:val="0"/>
                <w:i w:val="0"/>
                <w:color w:val="243443"/>
                <w:sz w:val="18"/>
              </w:rPr>
              <w:t>/api/ai/v1/experiments/{id}</w:t>
            </w:r>
          </w:p>
        </w:tc>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Status, metrics, lineage, explanation, and evidence links.</w:t>
            </w:r>
          </w:p>
        </w:tc>
      </w:tr>
    </w:tbl>
    <w:p>
      <w:pPr>
        <w:spacing w:after="20"/>
      </w:pPr>
    </w:p>
    <w:p>
      <w:pPr>
        <w:pStyle w:val="Heading2"/>
      </w:pPr>
      <w:r>
        <w:rPr>
          <w:rFonts w:ascii="Calibri" w:hAnsi="Calibri"/>
          <w:b w:val="0"/>
          <w:i w:val="0"/>
          <w:color w:val="243443"/>
          <w:sz w:val="22"/>
        </w:rPr>
        <w:t>Error envelope</w:t>
      </w:r>
    </w:p>
    <w:p>
      <w:r>
        <w:rPr>
          <w:rFonts w:ascii="Calibri" w:hAnsi="Calibri"/>
          <w:b w:val="0"/>
          <w:i w:val="0"/>
          <w:color w:val="243443"/>
          <w:sz w:val="22"/>
        </w:rPr>
        <w:t>Use application/problem+json with stable type, title, status, code, detail, instance, correlationId, and fieldErrors. Stable codes include QUOTE_STALE, QUOTE_UNAVAILABLE, INSUFFICIENT_FUNDS, INSUFFICIENT_POSITION, IDEMPOTENCY_CONFLICT, INTENT_REQUIRED, INTENT_EXPIRED, INTENT_SCOPE_MISMATCH, STRATEGY_VERSION_NOT_FOUND, and CONCURRENT_ACCOUNT_UPDATE.</w:t>
      </w:r>
    </w:p>
    <w:p>
      <w:pPr>
        <w:pStyle w:val="Heading1"/>
      </w:pPr>
      <w:r>
        <w:rPr>
          <w:rFonts w:ascii="Calibri" w:hAnsi="Calibri"/>
          <w:b w:val="0"/>
          <w:i w:val="0"/>
          <w:color w:val="243443"/>
          <w:sz w:val="22"/>
        </w:rPr>
        <w:t>11. Events, explainability, and evidence</w:t>
      </w:r>
    </w:p>
    <w:tbl>
      <w:tblPr>
        <w:tblStyle w:val="TableGrid"/>
        <w:tblW w:type="dxa" w:w="9360"/>
        <w:tblLayout w:type="fixed"/>
        <w:tblLook w:firstColumn="1" w:firstRow="1" w:lastColumn="0" w:lastRow="0" w:noHBand="0" w:noVBand="1" w:val="04A0"/>
        <w:jc w:val="left"/>
        <w:tblInd w:w="120" w:type="dxa"/>
      </w:tblPr>
      <w:tblGrid>
        <w:gridCol w:w="2300"/>
        <w:gridCol w:w="2600"/>
        <w:gridCol w:w="4460"/>
      </w:tblGrid>
      <w:tr>
        <w:trPr>
          <w:tblHeader w:val="1"/>
        </w:trPr>
        <w:tc>
          <w:tcPr>
            <w:tcW w:type="dxa" w:w="2300"/>
            <w:tcMar>
              <w:top w:w="80" w:type="dxa"/>
              <w:start w:w="120" w:type="dxa"/>
              <w:bottom w:w="80" w:type="dxa"/>
              <w:end w:w="120" w:type="dxa"/>
            </w:tcMar>
            <w:vAlign w:val="center"/>
            <w:shd w:fill="EAF2F8"/>
          </w:tcPr>
          <w:p>
            <w:r>
              <w:rPr>
                <w:rFonts w:ascii="Calibri" w:hAnsi="Calibri"/>
                <w:b/>
                <w:i w:val="0"/>
                <w:color w:val="17324D"/>
                <w:sz w:val="19"/>
              </w:rPr>
              <w:t>Event</w:t>
            </w:r>
          </w:p>
        </w:tc>
        <w:tc>
          <w:tcPr>
            <w:tcW w:type="dxa" w:w="2600"/>
            <w:tcMar>
              <w:top w:w="80" w:type="dxa"/>
              <w:start w:w="120" w:type="dxa"/>
              <w:bottom w:w="80" w:type="dxa"/>
              <w:end w:w="120" w:type="dxa"/>
            </w:tcMar>
            <w:vAlign w:val="center"/>
            <w:shd w:fill="EAF2F8"/>
          </w:tcPr>
          <w:p>
            <w:r>
              <w:rPr>
                <w:rFonts w:ascii="Calibri" w:hAnsi="Calibri"/>
                <w:b/>
                <w:i w:val="0"/>
                <w:color w:val="17324D"/>
                <w:sz w:val="19"/>
              </w:rPr>
              <w:t>Consumers</w:t>
            </w:r>
          </w:p>
        </w:tc>
        <w:tc>
          <w:tcPr>
            <w:tcW w:type="dxa" w:w="4460"/>
            <w:tcMar>
              <w:top w:w="80" w:type="dxa"/>
              <w:start w:w="120" w:type="dxa"/>
              <w:bottom w:w="80" w:type="dxa"/>
              <w:end w:w="120" w:type="dxa"/>
            </w:tcMar>
            <w:vAlign w:val="center"/>
            <w:shd w:fill="EAF2F8"/>
          </w:tcPr>
          <w:p>
            <w:r>
              <w:rPr>
                <w:rFonts w:ascii="Calibri" w:hAnsi="Calibri"/>
                <w:b/>
                <w:i w:val="0"/>
                <w:color w:val="17324D"/>
                <w:sz w:val="19"/>
              </w:rPr>
              <w:t>Required evidence</w:t>
            </w:r>
          </w:p>
        </w:tc>
      </w:tr>
      <w:tr>
        <w:tc>
          <w:tcPr>
            <w:tcW w:type="dxa" w:w="2300"/>
            <w:tcMar>
              <w:top w:w="80" w:type="dxa"/>
              <w:start w:w="120" w:type="dxa"/>
              <w:bottom w:w="80" w:type="dxa"/>
              <w:end w:w="120" w:type="dxa"/>
            </w:tcMar>
            <w:vAlign w:val="center"/>
          </w:tcPr>
          <w:p>
            <w:pPr>
              <w:spacing w:after="20"/>
            </w:pPr>
            <w:r>
              <w:rPr>
                <w:rFonts w:ascii="Calibri" w:hAnsi="Calibri"/>
                <w:b w:val="0"/>
                <w:i w:val="0"/>
                <w:color w:val="243443"/>
                <w:sz w:val="18"/>
              </w:rPr>
              <w:t>PaperOrderFilled.v1</w:t>
            </w:r>
          </w:p>
        </w:tc>
        <w:tc>
          <w:tcPr>
            <w:tcW w:type="dxa" w:w="2600"/>
            <w:tcMar>
              <w:top w:w="80" w:type="dxa"/>
              <w:start w:w="120" w:type="dxa"/>
              <w:bottom w:w="80" w:type="dxa"/>
              <w:end w:w="120" w:type="dxa"/>
            </w:tcMar>
            <w:vAlign w:val="center"/>
          </w:tcPr>
          <w:p>
            <w:pPr>
              <w:spacing w:after="20"/>
            </w:pPr>
            <w:r>
              <w:rPr>
                <w:rFonts w:ascii="Calibri" w:hAnsi="Calibri"/>
                <w:b w:val="0"/>
                <w:i w:val="0"/>
                <w:color w:val="243443"/>
                <w:sz w:val="18"/>
              </w:rPr>
              <w:t>Portal read model, CORE AI evaluator</w:t>
            </w:r>
          </w:p>
        </w:tc>
        <w:tc>
          <w:tcPr>
            <w:tcW w:type="dxa" w:w="4460"/>
            <w:tcMar>
              <w:top w:w="80" w:type="dxa"/>
              <w:start w:w="120" w:type="dxa"/>
              <w:bottom w:w="80" w:type="dxa"/>
              <w:end w:w="120" w:type="dxa"/>
            </w:tcMar>
            <w:vAlign w:val="center"/>
          </w:tcPr>
          <w:p>
            <w:pPr>
              <w:spacing w:after="20"/>
            </w:pPr>
            <w:r>
              <w:rPr>
                <w:rFonts w:ascii="Calibri" w:hAnsi="Calibri"/>
                <w:b w:val="0"/>
                <w:i w:val="0"/>
                <w:color w:val="243443"/>
                <w:sz w:val="18"/>
              </w:rPr>
              <w:t>Order/fill IDs, actor, strategy/intent/experiment IDs, quote evidence, account delta.</w:t>
            </w:r>
          </w:p>
        </w:tc>
      </w:tr>
      <w:tr>
        <w:tc>
          <w:tcPr>
            <w:tcW w:type="dxa" w:w="2300"/>
            <w:tcMar>
              <w:top w:w="80" w:type="dxa"/>
              <w:start w:w="120" w:type="dxa"/>
              <w:bottom w:w="80" w:type="dxa"/>
              <w:end w:w="120" w:type="dxa"/>
            </w:tcMar>
            <w:vAlign w:val="center"/>
          </w:tcPr>
          <w:p>
            <w:pPr>
              <w:spacing w:after="20"/>
            </w:pPr>
            <w:r>
              <w:rPr>
                <w:rFonts w:ascii="Calibri" w:hAnsi="Calibri"/>
                <w:b w:val="0"/>
                <w:i w:val="0"/>
                <w:color w:val="243443"/>
                <w:sz w:val="18"/>
              </w:rPr>
              <w:t>PaperOrderRejected.v1</w:t>
            </w:r>
          </w:p>
        </w:tc>
        <w:tc>
          <w:tcPr>
            <w:tcW w:type="dxa" w:w="2600"/>
            <w:tcMar>
              <w:top w:w="80" w:type="dxa"/>
              <w:start w:w="120" w:type="dxa"/>
              <w:bottom w:w="80" w:type="dxa"/>
              <w:end w:w="120" w:type="dxa"/>
            </w:tcMar>
            <w:vAlign w:val="center"/>
          </w:tcPr>
          <w:p>
            <w:pPr>
              <w:spacing w:after="20"/>
            </w:pPr>
            <w:r>
              <w:rPr>
                <w:rFonts w:ascii="Calibri" w:hAnsi="Calibri"/>
                <w:b w:val="0"/>
                <w:i w:val="0"/>
                <w:color w:val="243443"/>
                <w:sz w:val="18"/>
              </w:rPr>
              <w:t>Portal, CORE AI evaluator</w:t>
            </w:r>
          </w:p>
        </w:tc>
        <w:tc>
          <w:tcPr>
            <w:tcW w:type="dxa" w:w="4460"/>
            <w:tcMar>
              <w:top w:w="80" w:type="dxa"/>
              <w:start w:w="120" w:type="dxa"/>
              <w:bottom w:w="80" w:type="dxa"/>
              <w:end w:w="120" w:type="dxa"/>
            </w:tcMar>
            <w:vAlign w:val="center"/>
          </w:tcPr>
          <w:p>
            <w:pPr>
              <w:spacing w:after="20"/>
            </w:pPr>
            <w:r>
              <w:rPr>
                <w:rFonts w:ascii="Calibri" w:hAnsi="Calibri"/>
                <w:b w:val="0"/>
                <w:i w:val="0"/>
                <w:color w:val="243443"/>
                <w:sz w:val="18"/>
              </w:rPr>
              <w:t>Stable reason, checked constraints, quote state, correlation ID.</w:t>
            </w:r>
          </w:p>
        </w:tc>
      </w:tr>
      <w:tr>
        <w:tc>
          <w:tcPr>
            <w:tcW w:type="dxa" w:w="2300"/>
            <w:tcMar>
              <w:top w:w="80" w:type="dxa"/>
              <w:start w:w="120" w:type="dxa"/>
              <w:bottom w:w="80" w:type="dxa"/>
              <w:end w:w="120" w:type="dxa"/>
            </w:tcMar>
            <w:vAlign w:val="center"/>
          </w:tcPr>
          <w:p>
            <w:pPr>
              <w:spacing w:after="20"/>
            </w:pPr>
            <w:r>
              <w:rPr>
                <w:rFonts w:ascii="Calibri" w:hAnsi="Calibri"/>
                <w:b w:val="0"/>
                <w:i w:val="0"/>
                <w:color w:val="243443"/>
                <w:sz w:val="18"/>
              </w:rPr>
              <w:t>PaperPortfolioChanged.v1</w:t>
            </w:r>
          </w:p>
        </w:tc>
        <w:tc>
          <w:tcPr>
            <w:tcW w:type="dxa" w:w="2600"/>
            <w:tcMar>
              <w:top w:w="80" w:type="dxa"/>
              <w:start w:w="120" w:type="dxa"/>
              <w:bottom w:w="80" w:type="dxa"/>
              <w:end w:w="120" w:type="dxa"/>
            </w:tcMar>
            <w:vAlign w:val="center"/>
          </w:tcPr>
          <w:p>
            <w:pPr>
              <w:spacing w:after="20"/>
            </w:pPr>
            <w:r>
              <w:rPr>
                <w:rFonts w:ascii="Calibri" w:hAnsi="Calibri"/>
                <w:b w:val="0"/>
                <w:i w:val="0"/>
                <w:color w:val="243443"/>
                <w:sz w:val="18"/>
              </w:rPr>
              <w:t>Portfolio projector, UI notifications</w:t>
            </w:r>
          </w:p>
        </w:tc>
        <w:tc>
          <w:tcPr>
            <w:tcW w:type="dxa" w:w="4460"/>
            <w:tcMar>
              <w:top w:w="80" w:type="dxa"/>
              <w:start w:w="120" w:type="dxa"/>
              <w:bottom w:w="80" w:type="dxa"/>
              <w:end w:w="120" w:type="dxa"/>
            </w:tcMar>
            <w:vAlign w:val="center"/>
          </w:tcPr>
          <w:p>
            <w:pPr>
              <w:spacing w:after="20"/>
            </w:pPr>
            <w:r>
              <w:rPr>
                <w:rFonts w:ascii="Calibri" w:hAnsi="Calibri"/>
                <w:b w:val="0"/>
                <w:i w:val="0"/>
                <w:color w:val="243443"/>
                <w:sz w:val="18"/>
              </w:rPr>
              <w:t>Account version, cash delta, position delta, valuation dependency.</w:t>
            </w:r>
          </w:p>
        </w:tc>
      </w:tr>
      <w:tr>
        <w:tc>
          <w:tcPr>
            <w:tcW w:type="dxa" w:w="2300"/>
            <w:tcMar>
              <w:top w:w="80" w:type="dxa"/>
              <w:start w:w="120" w:type="dxa"/>
              <w:bottom w:w="80" w:type="dxa"/>
              <w:end w:w="120" w:type="dxa"/>
            </w:tcMar>
            <w:vAlign w:val="center"/>
          </w:tcPr>
          <w:p>
            <w:pPr>
              <w:spacing w:after="20"/>
            </w:pPr>
            <w:r>
              <w:rPr>
                <w:rFonts w:ascii="Calibri" w:hAnsi="Calibri"/>
                <w:b w:val="0"/>
                <w:i w:val="0"/>
                <w:color w:val="243443"/>
                <w:sz w:val="18"/>
              </w:rPr>
              <w:t>ExperimentCompleted.v1</w:t>
            </w:r>
          </w:p>
        </w:tc>
        <w:tc>
          <w:tcPr>
            <w:tcW w:type="dxa" w:w="2600"/>
            <w:tcMar>
              <w:top w:w="80" w:type="dxa"/>
              <w:start w:w="120" w:type="dxa"/>
              <w:bottom w:w="80" w:type="dxa"/>
              <w:end w:w="120" w:type="dxa"/>
            </w:tcMar>
            <w:vAlign w:val="center"/>
          </w:tcPr>
          <w:p>
            <w:pPr>
              <w:spacing w:after="20"/>
            </w:pPr>
            <w:r>
              <w:rPr>
                <w:rFonts w:ascii="Calibri" w:hAnsi="Calibri"/>
                <w:b w:val="0"/>
                <w:i w:val="0"/>
                <w:color w:val="243443"/>
                <w:sz w:val="18"/>
              </w:rPr>
              <w:t>CORE AI, AI Lab read model</w:t>
            </w:r>
          </w:p>
        </w:tc>
        <w:tc>
          <w:tcPr>
            <w:tcW w:type="dxa" w:w="4460"/>
            <w:tcMar>
              <w:top w:w="80" w:type="dxa"/>
              <w:start w:w="120" w:type="dxa"/>
              <w:bottom w:w="80" w:type="dxa"/>
              <w:end w:w="120" w:type="dxa"/>
            </w:tcMar>
            <w:vAlign w:val="center"/>
          </w:tcPr>
          <w:p>
            <w:pPr>
              <w:spacing w:after="20"/>
            </w:pPr>
            <w:r>
              <w:rPr>
                <w:rFonts w:ascii="Calibri" w:hAnsi="Calibri"/>
                <w:b w:val="0"/>
                <w:i w:val="0"/>
                <w:color w:val="243443"/>
                <w:sz w:val="18"/>
              </w:rPr>
              <w:t>Strategy/data/engine hashes, metrics, policy version, artifact references.</w:t>
            </w:r>
          </w:p>
        </w:tc>
      </w:tr>
      <w:tr>
        <w:tc>
          <w:tcPr>
            <w:tcW w:type="dxa" w:w="2300"/>
            <w:tcMar>
              <w:top w:w="80" w:type="dxa"/>
              <w:start w:w="120" w:type="dxa"/>
              <w:bottom w:w="80" w:type="dxa"/>
              <w:end w:w="120" w:type="dxa"/>
            </w:tcMar>
            <w:vAlign w:val="center"/>
          </w:tcPr>
          <w:p>
            <w:pPr>
              <w:spacing w:after="20"/>
            </w:pPr>
            <w:r>
              <w:rPr>
                <w:rFonts w:ascii="Calibri" w:hAnsi="Calibri"/>
                <w:b w:val="0"/>
                <w:i w:val="0"/>
                <w:color w:val="243443"/>
                <w:sz w:val="18"/>
              </w:rPr>
              <w:t>StrategyCorrectionProposed.v1</w:t>
            </w:r>
          </w:p>
        </w:tc>
        <w:tc>
          <w:tcPr>
            <w:tcW w:type="dxa" w:w="2600"/>
            <w:tcMar>
              <w:top w:w="80" w:type="dxa"/>
              <w:start w:w="120" w:type="dxa"/>
              <w:bottom w:w="80" w:type="dxa"/>
              <w:end w:w="120" w:type="dxa"/>
            </w:tcMar>
            <w:vAlign w:val="center"/>
          </w:tcPr>
          <w:p>
            <w:pPr>
              <w:spacing w:after="20"/>
            </w:pPr>
            <w:r>
              <w:rPr>
                <w:rFonts w:ascii="Calibri" w:hAnsi="Calibri"/>
                <w:b w:val="0"/>
                <w:i w:val="0"/>
                <w:color w:val="243443"/>
                <w:sz w:val="18"/>
              </w:rPr>
              <w:t>Trader review queue</w:t>
            </w:r>
          </w:p>
        </w:tc>
        <w:tc>
          <w:tcPr>
            <w:tcW w:type="dxa" w:w="4460"/>
            <w:tcMar>
              <w:top w:w="80" w:type="dxa"/>
              <w:start w:w="120" w:type="dxa"/>
              <w:bottom w:w="80" w:type="dxa"/>
              <w:end w:w="120" w:type="dxa"/>
            </w:tcMar>
            <w:vAlign w:val="center"/>
          </w:tcPr>
          <w:p>
            <w:pPr>
              <w:spacing w:after="20"/>
            </w:pPr>
            <w:r>
              <w:rPr>
                <w:rFonts w:ascii="Calibri" w:hAnsi="Calibri"/>
                <w:b w:val="0"/>
                <w:i w:val="0"/>
                <w:color w:val="243443"/>
                <w:sz w:val="18"/>
              </w:rPr>
              <w:t>Parent/new version, changed parameters/rules, evidence-backed rationale.</w:t>
            </w:r>
          </w:p>
        </w:tc>
      </w:tr>
      <w:tr>
        <w:tc>
          <w:tcPr>
            <w:tcW w:type="dxa" w:w="2300"/>
            <w:tcMar>
              <w:top w:w="80" w:type="dxa"/>
              <w:start w:w="120" w:type="dxa"/>
              <w:bottom w:w="80" w:type="dxa"/>
              <w:end w:w="120" w:type="dxa"/>
            </w:tcMar>
            <w:vAlign w:val="center"/>
          </w:tcPr>
          <w:p>
            <w:pPr>
              <w:spacing w:after="20"/>
            </w:pPr>
            <w:r>
              <w:rPr>
                <w:rFonts w:ascii="Calibri" w:hAnsi="Calibri"/>
                <w:b w:val="0"/>
                <w:i w:val="0"/>
                <w:color w:val="243443"/>
                <w:sz w:val="18"/>
              </w:rPr>
              <w:t>PaperAccountReset.v1</w:t>
            </w:r>
          </w:p>
        </w:tc>
        <w:tc>
          <w:tcPr>
            <w:tcW w:type="dxa" w:w="2600"/>
            <w:tcMar>
              <w:top w:w="80" w:type="dxa"/>
              <w:start w:w="120" w:type="dxa"/>
              <w:bottom w:w="80" w:type="dxa"/>
              <w:end w:w="120" w:type="dxa"/>
            </w:tcMar>
            <w:vAlign w:val="center"/>
          </w:tcPr>
          <w:p>
            <w:pPr>
              <w:spacing w:after="20"/>
            </w:pPr>
            <w:r>
              <w:rPr>
                <w:rFonts w:ascii="Calibri" w:hAnsi="Calibri"/>
                <w:b w:val="0"/>
                <w:i w:val="0"/>
                <w:color w:val="243443"/>
                <w:sz w:val="18"/>
              </w:rPr>
              <w:t>Audit/activity, CORE AI lineage guard</w:t>
            </w:r>
          </w:p>
        </w:tc>
        <w:tc>
          <w:tcPr>
            <w:tcW w:type="dxa" w:w="4460"/>
            <w:tcMar>
              <w:top w:w="80" w:type="dxa"/>
              <w:start w:w="120" w:type="dxa"/>
              <w:bottom w:w="80" w:type="dxa"/>
              <w:end w:w="120" w:type="dxa"/>
            </w:tcMar>
            <w:vAlign w:val="center"/>
          </w:tcPr>
          <w:p>
            <w:pPr>
              <w:spacing w:after="20"/>
            </w:pPr>
            <w:r>
              <w:rPr>
                <w:rFonts w:ascii="Calibri" w:hAnsi="Calibri"/>
                <w:b w:val="0"/>
                <w:i w:val="0"/>
                <w:color w:val="243443"/>
                <w:sz w:val="18"/>
              </w:rPr>
              <w:t>Old/new epoch, actor, confirmation evidence, retained history links.</w:t>
            </w:r>
          </w:p>
        </w:tc>
      </w:tr>
    </w:tbl>
    <w:p>
      <w:pPr>
        <w:spacing w:after="20"/>
      </w:pPr>
    </w:p>
    <w:p>
      <w:r>
        <w:rPr>
          <w:rFonts w:ascii="Calibri" w:hAnsi="Calibri"/>
          <w:b w:val="0"/>
          <w:i w:val="0"/>
          <w:color w:val="243443"/>
          <w:sz w:val="22"/>
        </w:rPr>
        <w:t>Every AI-facing evidence package must answer: what was intended, which immutable strategy/model/data versions acted, what the market context was, what decision was made and why, what execution occurred, what changed in the portfolio, which metrics resulted, and which policy accepted or rejected the outcome.</w:t>
      </w:r>
    </w:p>
    <w:p>
      <w:pPr>
        <w:pStyle w:val="Heading1"/>
      </w:pPr>
      <w:r>
        <w:rPr>
          <w:rFonts w:ascii="Calibri" w:hAnsi="Calibri"/>
          <w:b w:val="0"/>
          <w:i w:val="0"/>
          <w:color w:val="243443"/>
          <w:sz w:val="22"/>
        </w:rPr>
        <w:t>12. Security, authorization, and privacy</w:t>
      </w:r>
    </w:p>
    <w:p>
      <w:pPr>
        <w:pStyle w:val="ListBullet"/>
        <w:spacing w:after="80" w:line="300" w:lineRule="auto"/>
        <w:ind w:left="540" w:hanging="271"/>
      </w:pPr>
      <w:r>
        <w:rPr>
          <w:rFonts w:ascii="Calibri" w:hAnsi="Calibri"/>
          <w:b w:val="0"/>
          <w:i w:val="0"/>
          <w:color w:val="243443"/>
          <w:sz w:val="22"/>
        </w:rPr>
        <w:t>All paper and AI endpoints require the authenticated PredictiveEdge user; resource IDs are always scoped by user at the repository query.</w:t>
      </w:r>
    </w:p>
    <w:p>
      <w:pPr>
        <w:pStyle w:val="ListBullet"/>
        <w:spacing w:after="80" w:line="300" w:lineRule="auto"/>
        <w:ind w:left="540" w:hanging="271"/>
      </w:pPr>
      <w:r>
        <w:rPr>
          <w:rFonts w:ascii="Calibri" w:hAnsi="Calibri"/>
          <w:b w:val="0"/>
          <w:i w:val="0"/>
          <w:color w:val="243443"/>
          <w:sz w:val="22"/>
        </w:rPr>
        <w:t>The browser may display but never sign or mint trader-intent authorization. Confirmation and hashes are server generated.</w:t>
      </w:r>
    </w:p>
    <w:p>
      <w:pPr>
        <w:pStyle w:val="ListBullet"/>
        <w:spacing w:after="80" w:line="300" w:lineRule="auto"/>
        <w:ind w:left="540" w:hanging="271"/>
      </w:pPr>
      <w:r>
        <w:rPr>
          <w:rFonts w:ascii="Calibri" w:hAnsi="Calibri"/>
          <w:b w:val="0"/>
          <w:i w:val="0"/>
          <w:color w:val="243443"/>
          <w:sz w:val="22"/>
        </w:rPr>
        <w:t>CORE AI receives capability-scoped service authority, not a reusable user bearer token.</w:t>
      </w:r>
    </w:p>
    <w:p>
      <w:pPr>
        <w:pStyle w:val="ListBullet"/>
        <w:spacing w:after="80" w:line="300" w:lineRule="auto"/>
        <w:ind w:left="540" w:hanging="271"/>
      </w:pPr>
      <w:r>
        <w:rPr>
          <w:rFonts w:ascii="Calibri" w:hAnsi="Calibri"/>
          <w:b w:val="0"/>
          <w:i w:val="0"/>
          <w:color w:val="243443"/>
          <w:sz w:val="22"/>
        </w:rPr>
        <w:t>Prompt text, strategy content, model output, and explanations are treated as user-owned potentially sensitive data and excluded from routine logs.</w:t>
      </w:r>
    </w:p>
    <w:p>
      <w:pPr>
        <w:pStyle w:val="ListBullet"/>
        <w:spacing w:after="80" w:line="300" w:lineRule="auto"/>
        <w:ind w:left="540" w:hanging="271"/>
      </w:pPr>
      <w:r>
        <w:rPr>
          <w:rFonts w:ascii="Calibri" w:hAnsi="Calibri"/>
          <w:b w:val="0"/>
          <w:i w:val="0"/>
          <w:color w:val="243443"/>
          <w:sz w:val="22"/>
        </w:rPr>
        <w:t>Audit logs store identifiers, hashes, decisions, and safe metadata; raw broker credentials and access tokens remain isolated in broker infrastructure.</w:t>
      </w:r>
    </w:p>
    <w:p>
      <w:pPr>
        <w:pStyle w:val="ListBullet"/>
        <w:spacing w:after="80" w:line="300" w:lineRule="auto"/>
        <w:ind w:left="540" w:hanging="271"/>
      </w:pPr>
      <w:r>
        <w:rPr>
          <w:rFonts w:ascii="Calibri" w:hAnsi="Calibri"/>
          <w:b w:val="0"/>
          <w:i w:val="0"/>
          <w:color w:val="243443"/>
          <w:sz w:val="22"/>
        </w:rPr>
        <w:t>Rate limits apply per user and account to order submissions, quote reads, and backtest compute.</w:t>
      </w:r>
    </w:p>
    <w:p>
      <w:pPr>
        <w:pStyle w:val="ListBullet"/>
        <w:spacing w:after="80" w:line="300" w:lineRule="auto"/>
        <w:ind w:left="540" w:hanging="271"/>
      </w:pPr>
      <w:r>
        <w:rPr>
          <w:rFonts w:ascii="Calibri" w:hAnsi="Calibri"/>
          <w:b w:val="0"/>
          <w:i w:val="0"/>
          <w:color w:val="243443"/>
          <w:sz w:val="22"/>
        </w:rPr>
        <w:t>A global configuration kill switch disables new paper orders or AI experiments without corrupting read access.</w:t>
      </w:r>
    </w:p>
    <w:p>
      <w:pPr>
        <w:keepNext/>
        <w:jc w:val="center"/>
      </w:pPr>
      <w:r>
        <w:drawing>
          <wp:inline xmlns:a="http://schemas.openxmlformats.org/drawingml/2006/main" xmlns:pic="http://schemas.openxmlformats.org/drawingml/2006/picture">
            <wp:extent cx="5897880" cy="3317558"/>
            <wp:docPr id="9" name="Picture 9" descr="Figure 9. Initial deployment and trust boundaries; live broker order transports remain unreachable."/>
            <wp:cNvGraphicFramePr>
              <a:graphicFrameLocks noChangeAspect="1"/>
            </wp:cNvGraphicFramePr>
            <a:graphic>
              <a:graphicData uri="http://schemas.openxmlformats.org/drawingml/2006/picture">
                <pic:pic>
                  <pic:nvPicPr>
                    <pic:cNvPr id="0" name="09-deployment-trust-boundaries.png"/>
                    <pic:cNvPicPr/>
                  </pic:nvPicPr>
                  <pic:blipFill>
                    <a:blip r:embed="rId19"/>
                    <a:stretch>
                      <a:fillRect/>
                    </a:stretch>
                  </pic:blipFill>
                  <pic:spPr>
                    <a:xfrm>
                      <a:off x="0" y="0"/>
                      <a:ext cx="5897880" cy="3317558"/>
                    </a:xfrm>
                    <a:prstGeom prst="rect"/>
                  </pic:spPr>
                </pic:pic>
              </a:graphicData>
            </a:graphic>
          </wp:inline>
        </w:drawing>
      </w:r>
    </w:p>
    <w:p>
      <w:pPr>
        <w:pStyle w:val="Caption"/>
        <w:jc w:val="center"/>
      </w:pPr>
      <w:r>
        <w:t>Figure 9. Initial deployment and trust boundaries; live broker order transports remain unreachable.</w:t>
      </w:r>
    </w:p>
    <w:p>
      <w:pPr>
        <w:pStyle w:val="Heading1"/>
      </w:pPr>
      <w:r>
        <w:rPr>
          <w:rFonts w:ascii="Calibri" w:hAnsi="Calibri"/>
          <w:b w:val="0"/>
          <w:i w:val="0"/>
          <w:color w:val="243443"/>
          <w:sz w:val="22"/>
        </w:rPr>
        <w:t>13. Reliability and failure behavior</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1"/>
        </w:trPr>
        <w:tc>
          <w:tcPr>
            <w:tcW w:type="dxa" w:w="3000"/>
            <w:tcMar>
              <w:top w:w="80" w:type="dxa"/>
              <w:start w:w="120" w:type="dxa"/>
              <w:bottom w:w="80" w:type="dxa"/>
              <w:end w:w="120" w:type="dxa"/>
            </w:tcMar>
            <w:vAlign w:val="center"/>
            <w:shd w:fill="EAF2F8"/>
          </w:tcPr>
          <w:p>
            <w:r>
              <w:rPr>
                <w:rFonts w:ascii="Calibri" w:hAnsi="Calibri"/>
                <w:b/>
                <w:i w:val="0"/>
                <w:color w:val="17324D"/>
                <w:sz w:val="19"/>
              </w:rPr>
              <w:t>Failure</w:t>
            </w:r>
          </w:p>
        </w:tc>
        <w:tc>
          <w:tcPr>
            <w:tcW w:type="dxa" w:w="6360"/>
            <w:tcMar>
              <w:top w:w="80" w:type="dxa"/>
              <w:start w:w="120" w:type="dxa"/>
              <w:bottom w:w="80" w:type="dxa"/>
              <w:end w:w="120" w:type="dxa"/>
            </w:tcMar>
            <w:vAlign w:val="center"/>
            <w:shd w:fill="EAF2F8"/>
          </w:tcPr>
          <w:p>
            <w:r>
              <w:rPr>
                <w:rFonts w:ascii="Calibri" w:hAnsi="Calibri"/>
                <w:b/>
                <w:i w:val="0"/>
                <w:color w:val="17324D"/>
                <w:sz w:val="19"/>
              </w:rPr>
              <w:t>Required behavior</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Quote missing/stale/non-positive</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Persist rejected order with safe code; no balance or position mutation.</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Duplicate request after timeout</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Return original result when payload matches; never execute twice.</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Database conflict</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Bounded retry; otherwise 409 with correlation ID; no partial accounting.</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Outbox publisher unavailable</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Order transaction still commits; event remains pending and is retried.</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CORE AI consumer unavailable</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Paper trading remains operational; evidence queues until consumer recovers.</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Evaluation fails</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Experiment is EVALUATION_FAILED, execution evidence remains immutable and retryable.</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Intent expires during queueing</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Job must validate at acceptance; a previously accepted run retains the authorization snapshot.</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Application restart</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Durable accounts/orders survive; pending outbox and experiments resume deterministically.</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Reset racing with order</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Account version/lock serializes operations; one succeeds against a specific epoch.</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Market provider degradation</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Portal exposes degraded state and disables executable submission; historical reads remain available.</w:t>
            </w:r>
          </w:p>
        </w:tc>
      </w:tr>
    </w:tbl>
    <w:p>
      <w:pPr>
        <w:spacing w:after="20"/>
      </w:pPr>
    </w:p>
    <w:p>
      <w:pPr>
        <w:pStyle w:val="Heading1"/>
      </w:pPr>
      <w:r>
        <w:rPr>
          <w:rFonts w:ascii="Calibri" w:hAnsi="Calibri"/>
          <w:b w:val="0"/>
          <w:i w:val="0"/>
          <w:color w:val="243443"/>
          <w:sz w:val="22"/>
        </w:rPr>
        <w:t>14. Observability and operations</w:t>
      </w:r>
    </w:p>
    <w:tbl>
      <w:tblPr>
        <w:tblStyle w:val="TableGrid"/>
        <w:tblW w:type="dxa" w:w="9360"/>
        <w:tblLayout w:type="fixed"/>
        <w:tblLook w:firstColumn="1" w:firstRow="1" w:lastColumn="0" w:lastRow="0" w:noHBand="0" w:noVBand="1" w:val="04A0"/>
        <w:jc w:val="left"/>
        <w:tblInd w:w="120" w:type="dxa"/>
      </w:tblPr>
      <w:tblGrid>
        <w:gridCol w:w="2800"/>
        <w:gridCol w:w="6560"/>
      </w:tblGrid>
      <w:tr>
        <w:trPr>
          <w:tblHeader w:val="1"/>
        </w:trPr>
        <w:tc>
          <w:tcPr>
            <w:tcW w:type="dxa" w:w="2800"/>
            <w:tcMar>
              <w:top w:w="80" w:type="dxa"/>
              <w:start w:w="120" w:type="dxa"/>
              <w:bottom w:w="80" w:type="dxa"/>
              <w:end w:w="120" w:type="dxa"/>
            </w:tcMar>
            <w:vAlign w:val="center"/>
            <w:shd w:fill="EAF2F8"/>
          </w:tcPr>
          <w:p>
            <w:r>
              <w:rPr>
                <w:rFonts w:ascii="Calibri" w:hAnsi="Calibri"/>
                <w:b/>
                <w:i w:val="0"/>
                <w:color w:val="17324D"/>
                <w:sz w:val="19"/>
              </w:rPr>
              <w:t>Signal</w:t>
            </w:r>
          </w:p>
        </w:tc>
        <w:tc>
          <w:tcPr>
            <w:tcW w:type="dxa" w:w="6560"/>
            <w:tcMar>
              <w:top w:w="80" w:type="dxa"/>
              <w:start w:w="120" w:type="dxa"/>
              <w:bottom w:w="80" w:type="dxa"/>
              <w:end w:w="120" w:type="dxa"/>
            </w:tcMar>
            <w:vAlign w:val="center"/>
            <w:shd w:fill="EAF2F8"/>
          </w:tcPr>
          <w:p>
            <w:r>
              <w:rPr>
                <w:rFonts w:ascii="Calibri" w:hAnsi="Calibri"/>
                <w:b/>
                <w:i w:val="0"/>
                <w:color w:val="17324D"/>
                <w:sz w:val="19"/>
              </w:rPr>
              <w:t>Minimum dimensions / alert</w:t>
            </w:r>
          </w:p>
        </w:tc>
      </w:tr>
      <w:tr>
        <w:tc>
          <w:tcPr>
            <w:tcW w:type="dxa" w:w="2800"/>
            <w:tcMar>
              <w:top w:w="80" w:type="dxa"/>
              <w:start w:w="120" w:type="dxa"/>
              <w:bottom w:w="80" w:type="dxa"/>
              <w:end w:w="120" w:type="dxa"/>
            </w:tcMar>
            <w:vAlign w:val="center"/>
          </w:tcPr>
          <w:p>
            <w:pPr>
              <w:spacing w:after="20"/>
            </w:pPr>
            <w:r>
              <w:rPr>
                <w:rFonts w:ascii="Calibri" w:hAnsi="Calibri"/>
                <w:b w:val="0"/>
                <w:i w:val="0"/>
                <w:color w:val="243443"/>
                <w:sz w:val="18"/>
              </w:rPr>
              <w:t>paper_order_total</w:t>
            </w:r>
          </w:p>
        </w:tc>
        <w:tc>
          <w:tcPr>
            <w:tcW w:type="dxa" w:w="6560"/>
            <w:tcMar>
              <w:top w:w="80" w:type="dxa"/>
              <w:start w:w="120" w:type="dxa"/>
              <w:bottom w:w="80" w:type="dxa"/>
              <w:end w:w="120" w:type="dxa"/>
            </w:tcMar>
            <w:vAlign w:val="center"/>
          </w:tcPr>
          <w:p>
            <w:pPr>
              <w:spacing w:after="20"/>
            </w:pPr>
            <w:r>
              <w:rPr>
                <w:rFonts w:ascii="Calibri" w:hAnsi="Calibri"/>
                <w:b w:val="0"/>
                <w:i w:val="0"/>
                <w:color w:val="243443"/>
                <w:sz w:val="18"/>
              </w:rPr>
              <w:t>status, reason, actor_type, quote_source; alert on rejection/error step-change.</w:t>
            </w:r>
          </w:p>
        </w:tc>
      </w:tr>
      <w:tr>
        <w:tc>
          <w:tcPr>
            <w:tcW w:type="dxa" w:w="2800"/>
            <w:tcMar>
              <w:top w:w="80" w:type="dxa"/>
              <w:start w:w="120" w:type="dxa"/>
              <w:bottom w:w="80" w:type="dxa"/>
              <w:end w:w="120" w:type="dxa"/>
            </w:tcMar>
            <w:vAlign w:val="center"/>
          </w:tcPr>
          <w:p>
            <w:pPr>
              <w:spacing w:after="20"/>
            </w:pPr>
            <w:r>
              <w:rPr>
                <w:rFonts w:ascii="Calibri" w:hAnsi="Calibri"/>
                <w:b w:val="0"/>
                <w:i w:val="0"/>
                <w:color w:val="243443"/>
                <w:sz w:val="18"/>
              </w:rPr>
              <w:t>paper_order_latency</w:t>
            </w:r>
          </w:p>
        </w:tc>
        <w:tc>
          <w:tcPr>
            <w:tcW w:type="dxa" w:w="6560"/>
            <w:tcMar>
              <w:top w:w="80" w:type="dxa"/>
              <w:start w:w="120" w:type="dxa"/>
              <w:bottom w:w="80" w:type="dxa"/>
              <w:end w:w="120" w:type="dxa"/>
            </w:tcMar>
            <w:vAlign w:val="center"/>
          </w:tcPr>
          <w:p>
            <w:pPr>
              <w:spacing w:after="20"/>
            </w:pPr>
            <w:r>
              <w:rPr>
                <w:rFonts w:ascii="Calibri" w:hAnsi="Calibri"/>
                <w:b w:val="0"/>
                <w:i w:val="0"/>
                <w:color w:val="243443"/>
                <w:sz w:val="18"/>
              </w:rPr>
              <w:t>p50/p95/p99 from API acceptance to committed terminal result.</w:t>
            </w:r>
          </w:p>
        </w:tc>
      </w:tr>
      <w:tr>
        <w:tc>
          <w:tcPr>
            <w:tcW w:type="dxa" w:w="2800"/>
            <w:tcMar>
              <w:top w:w="80" w:type="dxa"/>
              <w:start w:w="120" w:type="dxa"/>
              <w:bottom w:w="80" w:type="dxa"/>
              <w:end w:w="120" w:type="dxa"/>
            </w:tcMar>
            <w:vAlign w:val="center"/>
          </w:tcPr>
          <w:p>
            <w:pPr>
              <w:spacing w:after="20"/>
            </w:pPr>
            <w:r>
              <w:rPr>
                <w:rFonts w:ascii="Calibri" w:hAnsi="Calibri"/>
                <w:b w:val="0"/>
                <w:i w:val="0"/>
                <w:color w:val="243443"/>
                <w:sz w:val="18"/>
              </w:rPr>
              <w:t>quote_age_seconds</w:t>
            </w:r>
          </w:p>
        </w:tc>
        <w:tc>
          <w:tcPr>
            <w:tcW w:type="dxa" w:w="6560"/>
            <w:tcMar>
              <w:top w:w="80" w:type="dxa"/>
              <w:start w:w="120" w:type="dxa"/>
              <w:bottom w:w="80" w:type="dxa"/>
              <w:end w:w="120" w:type="dxa"/>
            </w:tcMar>
            <w:vAlign w:val="center"/>
          </w:tcPr>
          <w:p>
            <w:pPr>
              <w:spacing w:after="20"/>
            </w:pPr>
            <w:r>
              <w:rPr>
                <w:rFonts w:ascii="Calibri" w:hAnsi="Calibri"/>
                <w:b w:val="0"/>
                <w:i w:val="0"/>
                <w:color w:val="243443"/>
                <w:sz w:val="18"/>
              </w:rPr>
              <w:t>provider, exchange; alert when executable threshold is exceeded.</w:t>
            </w:r>
          </w:p>
        </w:tc>
      </w:tr>
      <w:tr>
        <w:tc>
          <w:tcPr>
            <w:tcW w:type="dxa" w:w="2800"/>
            <w:tcMar>
              <w:top w:w="80" w:type="dxa"/>
              <w:start w:w="120" w:type="dxa"/>
              <w:bottom w:w="80" w:type="dxa"/>
              <w:end w:w="120" w:type="dxa"/>
            </w:tcMar>
            <w:vAlign w:val="center"/>
          </w:tcPr>
          <w:p>
            <w:pPr>
              <w:spacing w:after="20"/>
            </w:pPr>
            <w:r>
              <w:rPr>
                <w:rFonts w:ascii="Calibri" w:hAnsi="Calibri"/>
                <w:b w:val="0"/>
                <w:i w:val="0"/>
                <w:color w:val="243443"/>
                <w:sz w:val="18"/>
              </w:rPr>
              <w:t>paper_account_reconciliation_failures</w:t>
            </w:r>
          </w:p>
        </w:tc>
        <w:tc>
          <w:tcPr>
            <w:tcW w:type="dxa" w:w="6560"/>
            <w:tcMar>
              <w:top w:w="80" w:type="dxa"/>
              <w:start w:w="120" w:type="dxa"/>
              <w:bottom w:w="80" w:type="dxa"/>
              <w:end w:w="120" w:type="dxa"/>
            </w:tcMar>
            <w:vAlign w:val="center"/>
          </w:tcPr>
          <w:p>
            <w:pPr>
              <w:spacing w:after="20"/>
            </w:pPr>
            <w:r>
              <w:rPr>
                <w:rFonts w:ascii="Calibri" w:hAnsi="Calibri"/>
                <w:b w:val="0"/>
                <w:i w:val="0"/>
                <w:color w:val="243443"/>
                <w:sz w:val="18"/>
              </w:rPr>
              <w:t>account epoch; any non-zero value is actionable.</w:t>
            </w:r>
          </w:p>
        </w:tc>
      </w:tr>
      <w:tr>
        <w:tc>
          <w:tcPr>
            <w:tcW w:type="dxa" w:w="2800"/>
            <w:tcMar>
              <w:top w:w="80" w:type="dxa"/>
              <w:start w:w="120" w:type="dxa"/>
              <w:bottom w:w="80" w:type="dxa"/>
              <w:end w:w="120" w:type="dxa"/>
            </w:tcMar>
            <w:vAlign w:val="center"/>
          </w:tcPr>
          <w:p>
            <w:pPr>
              <w:spacing w:after="20"/>
            </w:pPr>
            <w:r>
              <w:rPr>
                <w:rFonts w:ascii="Calibri" w:hAnsi="Calibri"/>
                <w:b w:val="0"/>
                <w:i w:val="0"/>
                <w:color w:val="243443"/>
                <w:sz w:val="18"/>
              </w:rPr>
              <w:t>outbox_lag_seconds</w:t>
            </w:r>
          </w:p>
        </w:tc>
        <w:tc>
          <w:tcPr>
            <w:tcW w:type="dxa" w:w="6560"/>
            <w:tcMar>
              <w:top w:w="80" w:type="dxa"/>
              <w:start w:w="120" w:type="dxa"/>
              <w:bottom w:w="80" w:type="dxa"/>
              <w:end w:w="120" w:type="dxa"/>
            </w:tcMar>
            <w:vAlign w:val="center"/>
          </w:tcPr>
          <w:p>
            <w:pPr>
              <w:spacing w:after="20"/>
            </w:pPr>
            <w:r>
              <w:rPr>
                <w:rFonts w:ascii="Calibri" w:hAnsi="Calibri"/>
                <w:b w:val="0"/>
                <w:i w:val="0"/>
                <w:color w:val="243443"/>
                <w:sz w:val="18"/>
              </w:rPr>
              <w:t>event type; alert when oldest pending event breaches SLO.</w:t>
            </w:r>
          </w:p>
        </w:tc>
      </w:tr>
      <w:tr>
        <w:tc>
          <w:tcPr>
            <w:tcW w:type="dxa" w:w="2800"/>
            <w:tcMar>
              <w:top w:w="80" w:type="dxa"/>
              <w:start w:w="120" w:type="dxa"/>
              <w:bottom w:w="80" w:type="dxa"/>
              <w:end w:w="120" w:type="dxa"/>
            </w:tcMar>
            <w:vAlign w:val="center"/>
          </w:tcPr>
          <w:p>
            <w:pPr>
              <w:spacing w:after="20"/>
            </w:pPr>
            <w:r>
              <w:rPr>
                <w:rFonts w:ascii="Calibri" w:hAnsi="Calibri"/>
                <w:b w:val="0"/>
                <w:i w:val="0"/>
                <w:color w:val="243443"/>
                <w:sz w:val="18"/>
              </w:rPr>
              <w:t>ai_experiment_total</w:t>
            </w:r>
          </w:p>
        </w:tc>
        <w:tc>
          <w:tcPr>
            <w:tcW w:type="dxa" w:w="6560"/>
            <w:tcMar>
              <w:top w:w="80" w:type="dxa"/>
              <w:start w:w="120" w:type="dxa"/>
              <w:bottom w:w="80" w:type="dxa"/>
              <w:end w:w="120" w:type="dxa"/>
            </w:tcMar>
            <w:vAlign w:val="center"/>
          </w:tcPr>
          <w:p>
            <w:pPr>
              <w:spacing w:after="20"/>
            </w:pPr>
            <w:r>
              <w:rPr>
                <w:rFonts w:ascii="Calibri" w:hAnsi="Calibri"/>
                <w:b w:val="0"/>
                <w:i w:val="0"/>
                <w:color w:val="243443"/>
                <w:sz w:val="18"/>
              </w:rPr>
              <w:t>status, strategy, engine version; monitor failures and budget denials.</w:t>
            </w:r>
          </w:p>
        </w:tc>
      </w:tr>
      <w:tr>
        <w:tc>
          <w:tcPr>
            <w:tcW w:type="dxa" w:w="2800"/>
            <w:tcMar>
              <w:top w:w="80" w:type="dxa"/>
              <w:start w:w="120" w:type="dxa"/>
              <w:bottom w:w="80" w:type="dxa"/>
              <w:end w:w="120" w:type="dxa"/>
            </w:tcMar>
            <w:vAlign w:val="center"/>
          </w:tcPr>
          <w:p>
            <w:pPr>
              <w:spacing w:after="20"/>
            </w:pPr>
            <w:r>
              <w:rPr>
                <w:rFonts w:ascii="Calibri" w:hAnsi="Calibri"/>
                <w:b w:val="0"/>
                <w:i w:val="0"/>
                <w:color w:val="243443"/>
                <w:sz w:val="18"/>
              </w:rPr>
              <w:t>intent_denial_total</w:t>
            </w:r>
          </w:p>
        </w:tc>
        <w:tc>
          <w:tcPr>
            <w:tcW w:type="dxa" w:w="6560"/>
            <w:tcMar>
              <w:top w:w="80" w:type="dxa"/>
              <w:start w:w="120" w:type="dxa"/>
              <w:bottom w:w="80" w:type="dxa"/>
              <w:end w:w="120" w:type="dxa"/>
            </w:tcMar>
            <w:vAlign w:val="center"/>
          </w:tcPr>
          <w:p>
            <w:pPr>
              <w:spacing w:after="20"/>
            </w:pPr>
            <w:r>
              <w:rPr>
                <w:rFonts w:ascii="Calibri" w:hAnsi="Calibri"/>
                <w:b w:val="0"/>
                <w:i w:val="0"/>
                <w:color w:val="243443"/>
                <w:sz w:val="18"/>
              </w:rPr>
              <w:t>reason; security signal for mismatch/replay attempts.</w:t>
            </w:r>
          </w:p>
        </w:tc>
      </w:tr>
      <w:tr>
        <w:tc>
          <w:tcPr>
            <w:tcW w:type="dxa" w:w="2800"/>
            <w:tcMar>
              <w:top w:w="80" w:type="dxa"/>
              <w:start w:w="120" w:type="dxa"/>
              <w:bottom w:w="80" w:type="dxa"/>
              <w:end w:w="120" w:type="dxa"/>
            </w:tcMar>
            <w:vAlign w:val="center"/>
          </w:tcPr>
          <w:p>
            <w:pPr>
              <w:spacing w:after="20"/>
            </w:pPr>
            <w:r>
              <w:rPr>
                <w:rFonts w:ascii="Calibri" w:hAnsi="Calibri"/>
                <w:b w:val="0"/>
                <w:i w:val="0"/>
                <w:color w:val="243443"/>
                <w:sz w:val="18"/>
              </w:rPr>
              <w:t>evaluation_policy_pass_ratio</w:t>
            </w:r>
          </w:p>
        </w:tc>
        <w:tc>
          <w:tcPr>
            <w:tcW w:type="dxa" w:w="6560"/>
            <w:tcMar>
              <w:top w:w="80" w:type="dxa"/>
              <w:start w:w="120" w:type="dxa"/>
              <w:bottom w:w="80" w:type="dxa"/>
              <w:end w:w="120" w:type="dxa"/>
            </w:tcMar>
            <w:vAlign w:val="center"/>
          </w:tcPr>
          <w:p>
            <w:pPr>
              <w:spacing w:after="20"/>
            </w:pPr>
            <w:r>
              <w:rPr>
                <w:rFonts w:ascii="Calibri" w:hAnsi="Calibri"/>
                <w:b w:val="0"/>
                <w:i w:val="0"/>
                <w:color w:val="243443"/>
                <w:sz w:val="18"/>
              </w:rPr>
              <w:t>policy/strategy version; analytical signal, never an auto-promotion trigger.</w:t>
            </w:r>
          </w:p>
        </w:tc>
      </w:tr>
    </w:tbl>
    <w:p>
      <w:pPr>
        <w:spacing w:after="20"/>
      </w:pPr>
    </w:p>
    <w:p>
      <w:r>
        <w:rPr>
          <w:rFonts w:ascii="Calibri" w:hAnsi="Calibri"/>
          <w:b w:val="0"/>
          <w:i w:val="0"/>
          <w:color w:val="243443"/>
          <w:sz w:val="22"/>
        </w:rPr>
        <w:t>Structured logs include timestamp, severity, service/module, correlationId, causationId, user hash, accountId, orderId, experimentId, strategyVersionId, intentId, outcome code, and duration. They exclude access tokens, raw prompts by default, and full strategy payloads.</w:t>
      </w:r>
    </w:p>
    <w:p>
      <w:pPr>
        <w:pStyle w:val="Heading1"/>
      </w:pPr>
      <w:r>
        <w:rPr>
          <w:rFonts w:ascii="Calibri" w:hAnsi="Calibri"/>
          <w:b w:val="0"/>
          <w:i w:val="0"/>
          <w:color w:val="243443"/>
          <w:sz w:val="22"/>
        </w:rPr>
        <w:t>15. Testing strategy</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1"/>
        </w:trPr>
        <w:tc>
          <w:tcPr>
            <w:tcW w:type="dxa" w:w="1900"/>
            <w:tcMar>
              <w:top w:w="80" w:type="dxa"/>
              <w:start w:w="120" w:type="dxa"/>
              <w:bottom w:w="80" w:type="dxa"/>
              <w:end w:w="120" w:type="dxa"/>
            </w:tcMar>
            <w:vAlign w:val="center"/>
            <w:shd w:fill="EAF2F8"/>
          </w:tcPr>
          <w:p>
            <w:r>
              <w:rPr>
                <w:rFonts w:ascii="Calibri" w:hAnsi="Calibri"/>
                <w:b/>
                <w:i w:val="0"/>
                <w:color w:val="17324D"/>
                <w:sz w:val="19"/>
              </w:rPr>
              <w:t>Layer</w:t>
            </w:r>
          </w:p>
        </w:tc>
        <w:tc>
          <w:tcPr>
            <w:tcW w:type="dxa" w:w="7460"/>
            <w:tcMar>
              <w:top w:w="80" w:type="dxa"/>
              <w:start w:w="120" w:type="dxa"/>
              <w:bottom w:w="80" w:type="dxa"/>
              <w:end w:w="120" w:type="dxa"/>
            </w:tcMar>
            <w:vAlign w:val="center"/>
            <w:shd w:fill="EAF2F8"/>
          </w:tcPr>
          <w:p>
            <w:r>
              <w:rPr>
                <w:rFonts w:ascii="Calibri" w:hAnsi="Calibri"/>
                <w:b/>
                <w:i w:val="0"/>
                <w:color w:val="17324D"/>
                <w:sz w:val="19"/>
              </w:rPr>
              <w:t>Required tests</w:t>
            </w:r>
          </w:p>
        </w:tc>
      </w:tr>
      <w:tr>
        <w:tc>
          <w:tcPr>
            <w:tcW w:type="dxa" w:w="1900"/>
            <w:tcMar>
              <w:top w:w="80" w:type="dxa"/>
              <w:start w:w="120" w:type="dxa"/>
              <w:bottom w:w="80" w:type="dxa"/>
              <w:end w:w="120" w:type="dxa"/>
            </w:tcMar>
            <w:vAlign w:val="center"/>
          </w:tcPr>
          <w:p>
            <w:pPr>
              <w:spacing w:after="20"/>
            </w:pPr>
            <w:r>
              <w:rPr>
                <w:rFonts w:ascii="Calibri" w:hAnsi="Calibri"/>
                <w:b w:val="0"/>
                <w:i w:val="0"/>
                <w:color w:val="243443"/>
                <w:sz w:val="18"/>
              </w:rPr>
              <w:t>Domain</w:t>
            </w:r>
          </w:p>
        </w:tc>
        <w:tc>
          <w:tcPr>
            <w:tcW w:type="dxa" w:w="7460"/>
            <w:tcMar>
              <w:top w:w="80" w:type="dxa"/>
              <w:start w:w="120" w:type="dxa"/>
              <w:bottom w:w="80" w:type="dxa"/>
              <w:end w:w="120" w:type="dxa"/>
            </w:tcMar>
            <w:vAlign w:val="center"/>
          </w:tcPr>
          <w:p>
            <w:pPr>
              <w:spacing w:after="20"/>
            </w:pPr>
            <w:r>
              <w:rPr>
                <w:rFonts w:ascii="Calibri" w:hAnsi="Calibri"/>
                <w:b w:val="0"/>
                <w:i w:val="0"/>
                <w:color w:val="243443"/>
                <w:sz w:val="18"/>
              </w:rPr>
              <w:t>Money/quantity validation, long-only accounting, cost basis, P&amp;L, terminal states, strategy immutability.</w:t>
            </w:r>
          </w:p>
        </w:tc>
      </w:tr>
      <w:tr>
        <w:tc>
          <w:tcPr>
            <w:tcW w:type="dxa" w:w="1900"/>
            <w:tcMar>
              <w:top w:w="80" w:type="dxa"/>
              <w:start w:w="120" w:type="dxa"/>
              <w:bottom w:w="80" w:type="dxa"/>
              <w:end w:w="120" w:type="dxa"/>
            </w:tcMar>
            <w:vAlign w:val="center"/>
          </w:tcPr>
          <w:p>
            <w:pPr>
              <w:spacing w:after="20"/>
            </w:pPr>
            <w:r>
              <w:rPr>
                <w:rFonts w:ascii="Calibri" w:hAnsi="Calibri"/>
                <w:b w:val="0"/>
                <w:i w:val="0"/>
                <w:color w:val="243443"/>
                <w:sz w:val="18"/>
              </w:rPr>
              <w:t>Application</w:t>
            </w:r>
          </w:p>
        </w:tc>
        <w:tc>
          <w:tcPr>
            <w:tcW w:type="dxa" w:w="7460"/>
            <w:tcMar>
              <w:top w:w="80" w:type="dxa"/>
              <w:start w:w="120" w:type="dxa"/>
              <w:bottom w:w="80" w:type="dxa"/>
              <w:end w:w="120" w:type="dxa"/>
            </w:tcMar>
            <w:vAlign w:val="center"/>
          </w:tcPr>
          <w:p>
            <w:pPr>
              <w:spacing w:after="20"/>
            </w:pPr>
            <w:r>
              <w:rPr>
                <w:rFonts w:ascii="Calibri" w:hAnsi="Calibri"/>
                <w:b w:val="0"/>
                <w:i w:val="0"/>
                <w:color w:val="243443"/>
                <w:sz w:val="18"/>
              </w:rPr>
              <w:t>Idempotency, lock/version conflict, stale quote rejection, reset/order race, intent scope/expiry, outbox atomicity.</w:t>
            </w:r>
          </w:p>
        </w:tc>
      </w:tr>
      <w:tr>
        <w:tc>
          <w:tcPr>
            <w:tcW w:type="dxa" w:w="1900"/>
            <w:tcMar>
              <w:top w:w="80" w:type="dxa"/>
              <w:start w:w="120" w:type="dxa"/>
              <w:bottom w:w="80" w:type="dxa"/>
              <w:end w:w="120" w:type="dxa"/>
            </w:tcMar>
            <w:vAlign w:val="center"/>
          </w:tcPr>
          <w:p>
            <w:pPr>
              <w:spacing w:after="20"/>
            </w:pPr>
            <w:r>
              <w:rPr>
                <w:rFonts w:ascii="Calibri" w:hAnsi="Calibri"/>
                <w:b w:val="0"/>
                <w:i w:val="0"/>
                <w:color w:val="243443"/>
                <w:sz w:val="18"/>
              </w:rPr>
              <w:t>Persistence</w:t>
            </w:r>
          </w:p>
        </w:tc>
        <w:tc>
          <w:tcPr>
            <w:tcW w:type="dxa" w:w="7460"/>
            <w:tcMar>
              <w:top w:w="80" w:type="dxa"/>
              <w:start w:w="120" w:type="dxa"/>
              <w:bottom w:w="80" w:type="dxa"/>
              <w:end w:w="120" w:type="dxa"/>
            </w:tcMar>
            <w:vAlign w:val="center"/>
          </w:tcPr>
          <w:p>
            <w:pPr>
              <w:spacing w:after="20"/>
            </w:pPr>
            <w:r>
              <w:rPr>
                <w:rFonts w:ascii="Calibri" w:hAnsi="Calibri"/>
                <w:b w:val="0"/>
                <w:i w:val="0"/>
                <w:color w:val="243443"/>
                <w:sz w:val="18"/>
              </w:rPr>
              <w:t>Testcontainers PostgreSQL migrations, constraints, row locking, pagination, append-only ledger, outbox claims.</w:t>
            </w:r>
          </w:p>
        </w:tc>
      </w:tr>
      <w:tr>
        <w:tc>
          <w:tcPr>
            <w:tcW w:type="dxa" w:w="1900"/>
            <w:tcMar>
              <w:top w:w="80" w:type="dxa"/>
              <w:start w:w="120" w:type="dxa"/>
              <w:bottom w:w="80" w:type="dxa"/>
              <w:end w:w="120" w:type="dxa"/>
            </w:tcMar>
            <w:vAlign w:val="center"/>
          </w:tcPr>
          <w:p>
            <w:pPr>
              <w:spacing w:after="20"/>
            </w:pPr>
            <w:r>
              <w:rPr>
                <w:rFonts w:ascii="Calibri" w:hAnsi="Calibri"/>
                <w:b w:val="0"/>
                <w:i w:val="0"/>
                <w:color w:val="243443"/>
                <w:sz w:val="18"/>
              </w:rPr>
              <w:t>Contract</w:t>
            </w:r>
          </w:p>
        </w:tc>
        <w:tc>
          <w:tcPr>
            <w:tcW w:type="dxa" w:w="7460"/>
            <w:tcMar>
              <w:top w:w="80" w:type="dxa"/>
              <w:start w:w="120" w:type="dxa"/>
              <w:bottom w:w="80" w:type="dxa"/>
              <w:end w:w="120" w:type="dxa"/>
            </w:tcMar>
            <w:vAlign w:val="center"/>
          </w:tcPr>
          <w:p>
            <w:pPr>
              <w:spacing w:after="20"/>
            </w:pPr>
            <w:r>
              <w:rPr>
                <w:rFonts w:ascii="Calibri" w:hAnsi="Calibri"/>
                <w:b w:val="0"/>
                <w:i w:val="0"/>
                <w:color w:val="243443"/>
                <w:sz w:val="18"/>
              </w:rPr>
              <w:t>REST schemas/problem codes, CORE AI ports/events, event compatibility, quote provider behavior.</w:t>
            </w:r>
          </w:p>
        </w:tc>
      </w:tr>
      <w:tr>
        <w:tc>
          <w:tcPr>
            <w:tcW w:type="dxa" w:w="1900"/>
            <w:tcMar>
              <w:top w:w="80" w:type="dxa"/>
              <w:start w:w="120" w:type="dxa"/>
              <w:bottom w:w="80" w:type="dxa"/>
              <w:end w:w="120" w:type="dxa"/>
            </w:tcMar>
            <w:vAlign w:val="center"/>
          </w:tcPr>
          <w:p>
            <w:pPr>
              <w:spacing w:after="20"/>
            </w:pPr>
            <w:r>
              <w:rPr>
                <w:rFonts w:ascii="Calibri" w:hAnsi="Calibri"/>
                <w:b w:val="0"/>
                <w:i w:val="0"/>
                <w:color w:val="243443"/>
                <w:sz w:val="18"/>
              </w:rPr>
              <w:t>Frontend</w:t>
            </w:r>
          </w:p>
        </w:tc>
        <w:tc>
          <w:tcPr>
            <w:tcW w:type="dxa" w:w="7460"/>
            <w:tcMar>
              <w:top w:w="80" w:type="dxa"/>
              <w:start w:w="120" w:type="dxa"/>
              <w:bottom w:w="80" w:type="dxa"/>
              <w:end w:w="120" w:type="dxa"/>
            </w:tcMar>
            <w:vAlign w:val="center"/>
          </w:tcPr>
          <w:p>
            <w:pPr>
              <w:spacing w:after="20"/>
            </w:pPr>
            <w:r>
              <w:rPr>
                <w:rFonts w:ascii="Calibri" w:hAnsi="Calibri"/>
                <w:b w:val="0"/>
                <w:i w:val="0"/>
                <w:color w:val="243443"/>
                <w:sz w:val="18"/>
              </w:rPr>
              <w:t>Route guards, PAPER/LIVE LOCKED visibility, quote age, optimistic-state prohibition, accessibility, responsive states.</w:t>
            </w:r>
          </w:p>
        </w:tc>
      </w:tr>
      <w:tr>
        <w:tc>
          <w:tcPr>
            <w:tcW w:type="dxa" w:w="1900"/>
            <w:tcMar>
              <w:top w:w="80" w:type="dxa"/>
              <w:start w:w="120" w:type="dxa"/>
              <w:bottom w:w="80" w:type="dxa"/>
              <w:end w:w="120" w:type="dxa"/>
            </w:tcMar>
            <w:vAlign w:val="center"/>
          </w:tcPr>
          <w:p>
            <w:pPr>
              <w:spacing w:after="20"/>
            </w:pPr>
            <w:r>
              <w:rPr>
                <w:rFonts w:ascii="Calibri" w:hAnsi="Calibri"/>
                <w:b w:val="0"/>
                <w:i w:val="0"/>
                <w:color w:val="243443"/>
                <w:sz w:val="18"/>
              </w:rPr>
              <w:t>End-to-end</w:t>
            </w:r>
          </w:p>
        </w:tc>
        <w:tc>
          <w:tcPr>
            <w:tcW w:type="dxa" w:w="7460"/>
            <w:tcMar>
              <w:top w:w="80" w:type="dxa"/>
              <w:start w:w="120" w:type="dxa"/>
              <w:bottom w:w="80" w:type="dxa"/>
              <w:end w:w="120" w:type="dxa"/>
            </w:tcMar>
            <w:vAlign w:val="center"/>
          </w:tcPr>
          <w:p>
            <w:pPr>
              <w:spacing w:after="20"/>
            </w:pPr>
            <w:r>
              <w:rPr>
                <w:rFonts w:ascii="Calibri" w:hAnsi="Calibri"/>
                <w:b w:val="0"/>
                <w:i w:val="0"/>
                <w:color w:val="243443"/>
                <w:sz w:val="18"/>
              </w:rPr>
              <w:t>Manual paper order, AI-attributed paper order, intent confirmation/backtest, restart recovery, provider degradation.</w:t>
            </w:r>
          </w:p>
        </w:tc>
      </w:tr>
      <w:tr>
        <w:tc>
          <w:tcPr>
            <w:tcW w:type="dxa" w:w="1900"/>
            <w:tcMar>
              <w:top w:w="80" w:type="dxa"/>
              <w:start w:w="120" w:type="dxa"/>
              <w:bottom w:w="80" w:type="dxa"/>
              <w:end w:w="120" w:type="dxa"/>
            </w:tcMar>
            <w:vAlign w:val="center"/>
          </w:tcPr>
          <w:p>
            <w:pPr>
              <w:spacing w:after="20"/>
            </w:pPr>
            <w:r>
              <w:rPr>
                <w:rFonts w:ascii="Calibri" w:hAnsi="Calibri"/>
                <w:b w:val="0"/>
                <w:i w:val="0"/>
                <w:color w:val="243443"/>
                <w:sz w:val="18"/>
              </w:rPr>
              <w:t>Property / model</w:t>
            </w:r>
          </w:p>
        </w:tc>
        <w:tc>
          <w:tcPr>
            <w:tcW w:type="dxa" w:w="7460"/>
            <w:tcMar>
              <w:top w:w="80" w:type="dxa"/>
              <w:start w:w="120" w:type="dxa"/>
              <w:bottom w:w="80" w:type="dxa"/>
              <w:end w:w="120" w:type="dxa"/>
            </w:tcMar>
            <w:vAlign w:val="center"/>
          </w:tcPr>
          <w:p>
            <w:pPr>
              <w:spacing w:after="20"/>
            </w:pPr>
            <w:r>
              <w:rPr>
                <w:rFonts w:ascii="Calibri" w:hAnsi="Calibri"/>
                <w:b w:val="0"/>
                <w:i w:val="0"/>
                <w:color w:val="243443"/>
                <w:sz w:val="18"/>
              </w:rPr>
              <w:t>Random order streams preserve cash/position invariants and reconcile ledger to projections.</w:t>
            </w:r>
          </w:p>
        </w:tc>
      </w:tr>
      <w:tr>
        <w:tc>
          <w:tcPr>
            <w:tcW w:type="dxa" w:w="1900"/>
            <w:tcMar>
              <w:top w:w="80" w:type="dxa"/>
              <w:start w:w="120" w:type="dxa"/>
              <w:bottom w:w="80" w:type="dxa"/>
              <w:end w:w="120" w:type="dxa"/>
            </w:tcMar>
            <w:vAlign w:val="center"/>
          </w:tcPr>
          <w:p>
            <w:pPr>
              <w:spacing w:after="20"/>
            </w:pPr>
            <w:r>
              <w:rPr>
                <w:rFonts w:ascii="Calibri" w:hAnsi="Calibri"/>
                <w:b w:val="0"/>
                <w:i w:val="0"/>
                <w:color w:val="243443"/>
                <w:sz w:val="18"/>
              </w:rPr>
              <w:t>Security</w:t>
            </w:r>
          </w:p>
        </w:tc>
        <w:tc>
          <w:tcPr>
            <w:tcW w:type="dxa" w:w="7460"/>
            <w:tcMar>
              <w:top w:w="80" w:type="dxa"/>
              <w:start w:w="120" w:type="dxa"/>
              <w:bottom w:w="80" w:type="dxa"/>
              <w:end w:w="120" w:type="dxa"/>
            </w:tcMar>
            <w:vAlign w:val="center"/>
          </w:tcPr>
          <w:p>
            <w:pPr>
              <w:spacing w:after="20"/>
            </w:pPr>
            <w:r>
              <w:rPr>
                <w:rFonts w:ascii="Calibri" w:hAnsi="Calibri"/>
                <w:b w:val="0"/>
                <w:i w:val="0"/>
                <w:color w:val="243443"/>
                <w:sz w:val="18"/>
              </w:rPr>
              <w:t>Cross-user ID access, forged/replayed intent, mutated content hash, log redaction, rate limits.</w:t>
            </w:r>
          </w:p>
        </w:tc>
      </w:tr>
    </w:tbl>
    <w:p>
      <w:pPr>
        <w:spacing w:after="20"/>
      </w:pPr>
    </w:p>
    <w:p>
      <w:pPr>
        <w:pStyle w:val="Heading2"/>
      </w:pPr>
      <w:r>
        <w:rPr>
          <w:rFonts w:ascii="Calibri" w:hAnsi="Calibri"/>
          <w:b w:val="0"/>
          <w:i w:val="0"/>
          <w:color w:val="243443"/>
          <w:sz w:val="22"/>
        </w:rPr>
        <w:t>Definition of done</w:t>
      </w:r>
    </w:p>
    <w:p>
      <w:pPr>
        <w:pStyle w:val="ListBullet"/>
        <w:spacing w:after="80" w:line="300" w:lineRule="auto"/>
        <w:ind w:left="540" w:hanging="271"/>
      </w:pPr>
      <w:r>
        <w:rPr>
          <w:rFonts w:ascii="Calibri" w:hAnsi="Calibri"/>
          <w:b w:val="0"/>
          <w:i w:val="0"/>
          <w:color w:val="243443"/>
          <w:sz w:val="22"/>
        </w:rPr>
        <w:t>No test can produce negative cash or long-only position quantity.</w:t>
      </w:r>
    </w:p>
    <w:p>
      <w:pPr>
        <w:pStyle w:val="ListBullet"/>
        <w:spacing w:after="80" w:line="300" w:lineRule="auto"/>
        <w:ind w:left="540" w:hanging="271"/>
      </w:pPr>
      <w:r>
        <w:rPr>
          <w:rFonts w:ascii="Calibri" w:hAnsi="Calibri"/>
          <w:b w:val="0"/>
          <w:i w:val="0"/>
          <w:color w:val="243443"/>
          <w:sz w:val="22"/>
        </w:rPr>
        <w:t>A fault injected after any transaction statement leaves either all effects or none.</w:t>
      </w:r>
    </w:p>
    <w:p>
      <w:pPr>
        <w:pStyle w:val="ListBullet"/>
        <w:spacing w:after="80" w:line="300" w:lineRule="auto"/>
        <w:ind w:left="540" w:hanging="271"/>
      </w:pPr>
      <w:r>
        <w:rPr>
          <w:rFonts w:ascii="Calibri" w:hAnsi="Calibri"/>
          <w:b w:val="0"/>
          <w:i w:val="0"/>
          <w:color w:val="243443"/>
          <w:sz w:val="22"/>
        </w:rPr>
        <w:t>Repeated identical clientOrderId has exactly one economic effect.</w:t>
      </w:r>
    </w:p>
    <w:p>
      <w:pPr>
        <w:pStyle w:val="ListBullet"/>
        <w:spacing w:after="80" w:line="300" w:lineRule="auto"/>
        <w:ind w:left="540" w:hanging="271"/>
      </w:pPr>
      <w:r>
        <w:rPr>
          <w:rFonts w:ascii="Calibri" w:hAnsi="Calibri"/>
          <w:b w:val="0"/>
          <w:i w:val="0"/>
          <w:color w:val="243443"/>
          <w:sz w:val="22"/>
        </w:rPr>
        <w:t>Every AI-originated fill resolves to immutable strategy and experiment evidence.</w:t>
      </w:r>
    </w:p>
    <w:p>
      <w:pPr>
        <w:pStyle w:val="ListBullet"/>
        <w:spacing w:after="80" w:line="300" w:lineRule="auto"/>
        <w:ind w:left="540" w:hanging="271"/>
      </w:pPr>
      <w:r>
        <w:rPr>
          <w:rFonts w:ascii="Calibri" w:hAnsi="Calibri"/>
          <w:b w:val="0"/>
          <w:i w:val="0"/>
          <w:color w:val="243443"/>
          <w:sz w:val="22"/>
        </w:rPr>
        <w:t>Every backtest resolves to confirmed trader intent; forged or changed scope is rejected.</w:t>
      </w:r>
    </w:p>
    <w:p>
      <w:pPr>
        <w:pStyle w:val="ListBullet"/>
        <w:spacing w:after="80" w:line="300" w:lineRule="auto"/>
        <w:ind w:left="540" w:hanging="271"/>
      </w:pPr>
      <w:r>
        <w:rPr>
          <w:rFonts w:ascii="Calibri" w:hAnsi="Calibri"/>
          <w:b w:val="0"/>
          <w:i w:val="0"/>
          <w:color w:val="243443"/>
          <w:sz w:val="22"/>
        </w:rPr>
        <w:t>The portal remains useful after restart and clearly disables actions when data is stale.</w:t>
      </w:r>
    </w:p>
    <w:p>
      <w:pPr>
        <w:pStyle w:val="ListBullet"/>
        <w:spacing w:after="80" w:line="300" w:lineRule="auto"/>
        <w:ind w:left="540" w:hanging="271"/>
      </w:pPr>
      <w:r>
        <w:rPr>
          <w:rFonts w:ascii="Calibri" w:hAnsi="Calibri"/>
          <w:b w:val="0"/>
          <w:i w:val="0"/>
          <w:color w:val="243443"/>
          <w:sz w:val="22"/>
        </w:rPr>
        <w:t>Accessibility checks cover keyboard operation, focus, labels, contrast, live regions, and reduced motion.</w:t>
      </w:r>
    </w:p>
    <w:p>
      <w:pPr>
        <w:pStyle w:val="Heading1"/>
      </w:pPr>
      <w:r>
        <w:rPr>
          <w:rFonts w:ascii="Calibri" w:hAnsi="Calibri"/>
          <w:b w:val="0"/>
          <w:i w:val="0"/>
          <w:color w:val="243443"/>
          <w:sz w:val="22"/>
        </w:rPr>
        <w:t>16. Delivery plan</w:t>
      </w:r>
    </w:p>
    <w:p>
      <w:pPr>
        <w:keepNext/>
        <w:jc w:val="center"/>
      </w:pPr>
      <w:r>
        <w:drawing>
          <wp:inline xmlns:a="http://schemas.openxmlformats.org/drawingml/2006/main" xmlns:pic="http://schemas.openxmlformats.org/drawingml/2006/picture">
            <wp:extent cx="5897880" cy="3317558"/>
            <wp:docPr id="10" name="Picture 10" descr="Figure 10. Incremental delivery slices and the evidence gate for each slice."/>
            <wp:cNvGraphicFramePr>
              <a:graphicFrameLocks noChangeAspect="1"/>
            </wp:cNvGraphicFramePr>
            <a:graphic>
              <a:graphicData uri="http://schemas.openxmlformats.org/drawingml/2006/picture">
                <pic:pic>
                  <pic:nvPicPr>
                    <pic:cNvPr id="0" name="10-delivery-roadmap.png"/>
                    <pic:cNvPicPr/>
                  </pic:nvPicPr>
                  <pic:blipFill>
                    <a:blip r:embed="rId20"/>
                    <a:stretch>
                      <a:fillRect/>
                    </a:stretch>
                  </pic:blipFill>
                  <pic:spPr>
                    <a:xfrm>
                      <a:off x="0" y="0"/>
                      <a:ext cx="5897880" cy="3317558"/>
                    </a:xfrm>
                    <a:prstGeom prst="rect"/>
                  </pic:spPr>
                </pic:pic>
              </a:graphicData>
            </a:graphic>
          </wp:inline>
        </w:drawing>
      </w:r>
    </w:p>
    <w:p>
      <w:pPr>
        <w:pStyle w:val="Caption"/>
        <w:jc w:val="center"/>
      </w:pPr>
      <w:r>
        <w:t>Figure 10. Incremental delivery slices and the evidence gate for each slice.</w:t>
      </w:r>
    </w:p>
    <w:tbl>
      <w:tblPr>
        <w:tblStyle w:val="TableGrid"/>
        <w:tblW w:type="dxa" w:w="9360"/>
        <w:tblLayout w:type="fixed"/>
        <w:tblLook w:firstColumn="1" w:firstRow="1" w:lastColumn="0" w:lastRow="0" w:noHBand="0" w:noVBand="1" w:val="04A0"/>
        <w:jc w:val="left"/>
        <w:tblInd w:w="120" w:type="dxa"/>
      </w:tblPr>
      <w:tblGrid>
        <w:gridCol w:w="1500"/>
        <w:gridCol w:w="4100"/>
        <w:gridCol w:w="3760"/>
      </w:tblGrid>
      <w:tr>
        <w:trPr>
          <w:tblHeader w:val="1"/>
        </w:trPr>
        <w:tc>
          <w:tcPr>
            <w:tcW w:type="dxa" w:w="1500"/>
            <w:tcMar>
              <w:top w:w="80" w:type="dxa"/>
              <w:start w:w="120" w:type="dxa"/>
              <w:bottom w:w="80" w:type="dxa"/>
              <w:end w:w="120" w:type="dxa"/>
            </w:tcMar>
            <w:vAlign w:val="center"/>
            <w:shd w:fill="EAF2F8"/>
          </w:tcPr>
          <w:p>
            <w:r>
              <w:rPr>
                <w:rFonts w:ascii="Calibri" w:hAnsi="Calibri"/>
                <w:b/>
                <w:i w:val="0"/>
                <w:color w:val="17324D"/>
                <w:sz w:val="19"/>
              </w:rPr>
              <w:t>Slice</w:t>
            </w:r>
          </w:p>
        </w:tc>
        <w:tc>
          <w:tcPr>
            <w:tcW w:type="dxa" w:w="4100"/>
            <w:tcMar>
              <w:top w:w="80" w:type="dxa"/>
              <w:start w:w="120" w:type="dxa"/>
              <w:bottom w:w="80" w:type="dxa"/>
              <w:end w:w="120" w:type="dxa"/>
            </w:tcMar>
            <w:vAlign w:val="center"/>
            <w:shd w:fill="EAF2F8"/>
          </w:tcPr>
          <w:p>
            <w:r>
              <w:rPr>
                <w:rFonts w:ascii="Calibri" w:hAnsi="Calibri"/>
                <w:b/>
                <w:i w:val="0"/>
                <w:color w:val="17324D"/>
                <w:sz w:val="19"/>
              </w:rPr>
              <w:t>Code impact</w:t>
            </w:r>
          </w:p>
        </w:tc>
        <w:tc>
          <w:tcPr>
            <w:tcW w:type="dxa" w:w="3760"/>
            <w:tcMar>
              <w:top w:w="80" w:type="dxa"/>
              <w:start w:w="120" w:type="dxa"/>
              <w:bottom w:w="80" w:type="dxa"/>
              <w:end w:w="120" w:type="dxa"/>
            </w:tcMar>
            <w:vAlign w:val="center"/>
            <w:shd w:fill="EAF2F8"/>
          </w:tcPr>
          <w:p>
            <w:r>
              <w:rPr>
                <w:rFonts w:ascii="Calibri" w:hAnsi="Calibri"/>
                <w:b/>
                <w:i w:val="0"/>
                <w:color w:val="17324D"/>
                <w:sz w:val="19"/>
              </w:rPr>
              <w:t>Exit evidence</w:t>
            </w:r>
          </w:p>
        </w:tc>
      </w:tr>
      <w:tr>
        <w:tc>
          <w:tcPr>
            <w:tcW w:type="dxa" w:w="1500"/>
            <w:tcMar>
              <w:top w:w="80" w:type="dxa"/>
              <w:start w:w="120" w:type="dxa"/>
              <w:bottom w:w="80" w:type="dxa"/>
              <w:end w:w="120" w:type="dxa"/>
            </w:tcMar>
            <w:vAlign w:val="center"/>
          </w:tcPr>
          <w:p>
            <w:pPr>
              <w:spacing w:after="20"/>
            </w:pPr>
            <w:r>
              <w:rPr>
                <w:rFonts w:ascii="Calibri" w:hAnsi="Calibri"/>
                <w:b w:val="0"/>
                <w:i w:val="0"/>
                <w:color w:val="243443"/>
                <w:sz w:val="18"/>
              </w:rPr>
              <w:t>S1 Durable core</w:t>
            </w:r>
          </w:p>
        </w:tc>
        <w:tc>
          <w:tcPr>
            <w:tcW w:type="dxa" w:w="4100"/>
            <w:tcMar>
              <w:top w:w="80" w:type="dxa"/>
              <w:start w:w="120" w:type="dxa"/>
              <w:bottom w:w="80" w:type="dxa"/>
              <w:end w:w="120" w:type="dxa"/>
            </w:tcMar>
            <w:vAlign w:val="center"/>
          </w:tcPr>
          <w:p>
            <w:pPr>
              <w:spacing w:after="20"/>
            </w:pPr>
            <w:r>
              <w:rPr>
                <w:rFonts w:ascii="Calibri" w:hAnsi="Calibri"/>
                <w:b w:val="0"/>
                <w:i w:val="0"/>
                <w:color w:val="243443"/>
                <w:sz w:val="18"/>
              </w:rPr>
              <w:t>Extend broker domain; add paper application/infrastructure/API modules; V005.</w:t>
            </w:r>
          </w:p>
        </w:tc>
        <w:tc>
          <w:tcPr>
            <w:tcW w:type="dxa" w:w="3760"/>
            <w:tcMar>
              <w:top w:w="80" w:type="dxa"/>
              <w:start w:w="120" w:type="dxa"/>
              <w:bottom w:w="80" w:type="dxa"/>
              <w:end w:w="120" w:type="dxa"/>
            </w:tcMar>
            <w:vAlign w:val="center"/>
          </w:tcPr>
          <w:p>
            <w:pPr>
              <w:spacing w:after="20"/>
            </w:pPr>
            <w:r>
              <w:rPr>
                <w:rFonts w:ascii="Calibri" w:hAnsi="Calibri"/>
                <w:b w:val="0"/>
                <w:i w:val="0"/>
                <w:color w:val="243443"/>
                <w:sz w:val="18"/>
              </w:rPr>
              <w:t>Account/ledger reconciliation and migration tests pass.</w:t>
            </w:r>
          </w:p>
        </w:tc>
      </w:tr>
      <w:tr>
        <w:tc>
          <w:tcPr>
            <w:tcW w:type="dxa" w:w="1500"/>
            <w:tcMar>
              <w:top w:w="80" w:type="dxa"/>
              <w:start w:w="120" w:type="dxa"/>
              <w:bottom w:w="80" w:type="dxa"/>
              <w:end w:w="120" w:type="dxa"/>
            </w:tcMar>
            <w:vAlign w:val="center"/>
          </w:tcPr>
          <w:p>
            <w:pPr>
              <w:spacing w:after="20"/>
            </w:pPr>
            <w:r>
              <w:rPr>
                <w:rFonts w:ascii="Calibri" w:hAnsi="Calibri"/>
                <w:b w:val="0"/>
                <w:i w:val="0"/>
                <w:color w:val="243443"/>
                <w:sz w:val="18"/>
              </w:rPr>
              <w:t>S2 Portal shell</w:t>
            </w:r>
          </w:p>
        </w:tc>
        <w:tc>
          <w:tcPr>
            <w:tcW w:type="dxa" w:w="4100"/>
            <w:tcMar>
              <w:top w:w="80" w:type="dxa"/>
              <w:start w:w="120" w:type="dxa"/>
              <w:bottom w:w="80" w:type="dxa"/>
              <w:end w:w="120" w:type="dxa"/>
            </w:tcMar>
            <w:vAlign w:val="center"/>
          </w:tcPr>
          <w:p>
            <w:pPr>
              <w:spacing w:after="20"/>
            </w:pPr>
            <w:r>
              <w:rPr>
                <w:rFonts w:ascii="Calibri" w:hAnsi="Calibri"/>
                <w:b w:val="0"/>
                <w:i w:val="0"/>
                <w:color w:val="243443"/>
                <w:sz w:val="18"/>
              </w:rPr>
              <w:t>React paper feature routes, query layer, overview/portfolio/orders/activity.</w:t>
            </w:r>
          </w:p>
        </w:tc>
        <w:tc>
          <w:tcPr>
            <w:tcW w:type="dxa" w:w="3760"/>
            <w:tcMar>
              <w:top w:w="80" w:type="dxa"/>
              <w:start w:w="120" w:type="dxa"/>
              <w:bottom w:w="80" w:type="dxa"/>
              <w:end w:w="120" w:type="dxa"/>
            </w:tcMar>
            <w:vAlign w:val="center"/>
          </w:tcPr>
          <w:p>
            <w:pPr>
              <w:spacing w:after="20"/>
            </w:pPr>
            <w:r>
              <w:rPr>
                <w:rFonts w:ascii="Calibri" w:hAnsi="Calibri"/>
                <w:b w:val="0"/>
                <w:i w:val="0"/>
                <w:color w:val="243443"/>
                <w:sz w:val="18"/>
              </w:rPr>
              <w:t>Responsive and accessible empty/error/loaded states.</w:t>
            </w:r>
          </w:p>
        </w:tc>
      </w:tr>
      <w:tr>
        <w:tc>
          <w:tcPr>
            <w:tcW w:type="dxa" w:w="1500"/>
            <w:tcMar>
              <w:top w:w="80" w:type="dxa"/>
              <w:start w:w="120" w:type="dxa"/>
              <w:bottom w:w="80" w:type="dxa"/>
              <w:end w:w="120" w:type="dxa"/>
            </w:tcMar>
            <w:vAlign w:val="center"/>
          </w:tcPr>
          <w:p>
            <w:pPr>
              <w:spacing w:after="20"/>
            </w:pPr>
            <w:r>
              <w:rPr>
                <w:rFonts w:ascii="Calibri" w:hAnsi="Calibri"/>
                <w:b w:val="0"/>
                <w:i w:val="0"/>
                <w:color w:val="243443"/>
                <w:sz w:val="18"/>
              </w:rPr>
              <w:t>S3 Order workflow</w:t>
            </w:r>
          </w:p>
        </w:tc>
        <w:tc>
          <w:tcPr>
            <w:tcW w:type="dxa" w:w="4100"/>
            <w:tcMar>
              <w:top w:w="80" w:type="dxa"/>
              <w:start w:w="120" w:type="dxa"/>
              <w:bottom w:w="80" w:type="dxa"/>
              <w:end w:w="120" w:type="dxa"/>
            </w:tcMar>
            <w:vAlign w:val="center"/>
          </w:tcPr>
          <w:p>
            <w:pPr>
              <w:spacing w:after="20"/>
            </w:pPr>
            <w:r>
              <w:rPr>
                <w:rFonts w:ascii="Calibri" w:hAnsi="Calibri"/>
                <w:b w:val="0"/>
                <w:i w:val="0"/>
                <w:color w:val="243443"/>
                <w:sz w:val="18"/>
              </w:rPr>
              <w:t>Executable quote port, market order command, idempotency, transaction/outbox.</w:t>
            </w:r>
          </w:p>
        </w:tc>
        <w:tc>
          <w:tcPr>
            <w:tcW w:type="dxa" w:w="3760"/>
            <w:tcMar>
              <w:top w:w="80" w:type="dxa"/>
              <w:start w:w="120" w:type="dxa"/>
              <w:bottom w:w="80" w:type="dxa"/>
              <w:end w:w="120" w:type="dxa"/>
            </w:tcMar>
            <w:vAlign w:val="center"/>
          </w:tcPr>
          <w:p>
            <w:pPr>
              <w:spacing w:after="20"/>
            </w:pPr>
            <w:r>
              <w:rPr>
                <w:rFonts w:ascii="Calibri" w:hAnsi="Calibri"/>
                <w:b w:val="0"/>
                <w:i w:val="0"/>
                <w:color w:val="243443"/>
                <w:sz w:val="18"/>
              </w:rPr>
              <w:t>Concurrency and fault-injection suite passes.</w:t>
            </w:r>
          </w:p>
        </w:tc>
      </w:tr>
      <w:tr>
        <w:tc>
          <w:tcPr>
            <w:tcW w:type="dxa" w:w="1500"/>
            <w:tcMar>
              <w:top w:w="80" w:type="dxa"/>
              <w:start w:w="120" w:type="dxa"/>
              <w:bottom w:w="80" w:type="dxa"/>
              <w:end w:w="120" w:type="dxa"/>
            </w:tcMar>
            <w:vAlign w:val="center"/>
          </w:tcPr>
          <w:p>
            <w:pPr>
              <w:spacing w:after="20"/>
            </w:pPr>
            <w:r>
              <w:rPr>
                <w:rFonts w:ascii="Calibri" w:hAnsi="Calibri"/>
                <w:b w:val="0"/>
                <w:i w:val="0"/>
                <w:color w:val="243443"/>
                <w:sz w:val="18"/>
              </w:rPr>
              <w:t>S4 CORE AI learning</w:t>
            </w:r>
          </w:p>
        </w:tc>
        <w:tc>
          <w:tcPr>
            <w:tcW w:type="dxa" w:w="4100"/>
            <w:tcMar>
              <w:top w:w="80" w:type="dxa"/>
              <w:start w:w="120" w:type="dxa"/>
              <w:bottom w:w="80" w:type="dxa"/>
              <w:end w:w="120" w:type="dxa"/>
            </w:tcMar>
            <w:vAlign w:val="center"/>
          </w:tcPr>
          <w:p>
            <w:pPr>
              <w:spacing w:after="20"/>
            </w:pPr>
            <w:r>
              <w:rPr>
                <w:rFonts w:ascii="Calibri" w:hAnsi="Calibri"/>
                <w:b w:val="0"/>
                <w:i w:val="0"/>
                <w:color w:val="243443"/>
                <w:sz w:val="18"/>
              </w:rPr>
              <w:t>Strategy V006, lineage ports/events, evidence packages, evaluation policy.</w:t>
            </w:r>
          </w:p>
        </w:tc>
        <w:tc>
          <w:tcPr>
            <w:tcW w:type="dxa" w:w="3760"/>
            <w:tcMar>
              <w:top w:w="80" w:type="dxa"/>
              <w:start w:w="120" w:type="dxa"/>
              <w:bottom w:w="80" w:type="dxa"/>
              <w:end w:w="120" w:type="dxa"/>
            </w:tcMar>
            <w:vAlign w:val="center"/>
          </w:tcPr>
          <w:p>
            <w:pPr>
              <w:spacing w:after="20"/>
            </w:pPr>
            <w:r>
              <w:rPr>
                <w:rFonts w:ascii="Calibri" w:hAnsi="Calibri"/>
                <w:b w:val="0"/>
                <w:i w:val="0"/>
                <w:color w:val="243443"/>
                <w:sz w:val="18"/>
              </w:rPr>
              <w:t>AI cannot bypass paper gateway or mutate executed versions.</w:t>
            </w:r>
          </w:p>
        </w:tc>
      </w:tr>
      <w:tr>
        <w:tc>
          <w:tcPr>
            <w:tcW w:type="dxa" w:w="1500"/>
            <w:tcMar>
              <w:top w:w="80" w:type="dxa"/>
              <w:start w:w="120" w:type="dxa"/>
              <w:bottom w:w="80" w:type="dxa"/>
              <w:end w:w="120" w:type="dxa"/>
            </w:tcMar>
            <w:vAlign w:val="center"/>
          </w:tcPr>
          <w:p>
            <w:pPr>
              <w:spacing w:after="20"/>
            </w:pPr>
            <w:r>
              <w:rPr>
                <w:rFonts w:ascii="Calibri" w:hAnsi="Calibri"/>
                <w:b w:val="0"/>
                <w:i w:val="0"/>
                <w:color w:val="243443"/>
                <w:sz w:val="18"/>
              </w:rPr>
              <w:t>S5 Intent backtesting</w:t>
            </w:r>
          </w:p>
        </w:tc>
        <w:tc>
          <w:tcPr>
            <w:tcW w:type="dxa" w:w="4100"/>
            <w:tcMar>
              <w:top w:w="80" w:type="dxa"/>
              <w:start w:w="120" w:type="dxa"/>
              <w:bottom w:w="80" w:type="dxa"/>
              <w:end w:w="120" w:type="dxa"/>
            </w:tcMar>
            <w:vAlign w:val="center"/>
          </w:tcPr>
          <w:p>
            <w:pPr>
              <w:spacing w:after="20"/>
            </w:pPr>
            <w:r>
              <w:rPr>
                <w:rFonts w:ascii="Calibri" w:hAnsi="Calibri"/>
                <w:b w:val="0"/>
                <w:i w:val="0"/>
                <w:color w:val="243443"/>
                <w:sz w:val="18"/>
              </w:rPr>
              <w:t>Intent normalization/confirmation, authorization validator, experiment orchestration.</w:t>
            </w:r>
          </w:p>
        </w:tc>
        <w:tc>
          <w:tcPr>
            <w:tcW w:type="dxa" w:w="3760"/>
            <w:tcMar>
              <w:top w:w="80" w:type="dxa"/>
              <w:start w:w="120" w:type="dxa"/>
              <w:bottom w:w="80" w:type="dxa"/>
              <w:end w:w="120" w:type="dxa"/>
            </w:tcMar>
            <w:vAlign w:val="center"/>
          </w:tcPr>
          <w:p>
            <w:pPr>
              <w:spacing w:after="20"/>
            </w:pPr>
            <w:r>
              <w:rPr>
                <w:rFonts w:ascii="Calibri" w:hAnsi="Calibri"/>
                <w:b w:val="0"/>
                <w:i w:val="0"/>
                <w:color w:val="243443"/>
                <w:sz w:val="18"/>
              </w:rPr>
              <w:t>Backtest cannot run without matching confirmed intent.</w:t>
            </w:r>
          </w:p>
        </w:tc>
      </w:tr>
    </w:tbl>
    <w:p>
      <w:pPr>
        <w:spacing w:after="20"/>
      </w:pPr>
    </w:p>
    <w:p>
      <w:pPr>
        <w:pStyle w:val="Heading1"/>
      </w:pPr>
      <w:r>
        <w:rPr>
          <w:rFonts w:ascii="Calibri" w:hAnsi="Calibri"/>
          <w:b w:val="0"/>
          <w:i w:val="0"/>
          <w:color w:val="243443"/>
          <w:sz w:val="22"/>
        </w:rPr>
        <w:t>17. Module and package plan</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1"/>
        </w:trPr>
        <w:tc>
          <w:tcPr>
            <w:tcW w:type="dxa" w:w="3000"/>
            <w:tcMar>
              <w:top w:w="80" w:type="dxa"/>
              <w:start w:w="120" w:type="dxa"/>
              <w:bottom w:w="80" w:type="dxa"/>
              <w:end w:w="120" w:type="dxa"/>
            </w:tcMar>
            <w:vAlign w:val="center"/>
            <w:shd w:fill="EAF2F8"/>
          </w:tcPr>
          <w:p>
            <w:r>
              <w:rPr>
                <w:rFonts w:ascii="Calibri" w:hAnsi="Calibri"/>
                <w:b/>
                <w:i w:val="0"/>
                <w:color w:val="17324D"/>
                <w:sz w:val="19"/>
              </w:rPr>
              <w:t>Module</w:t>
            </w:r>
          </w:p>
        </w:tc>
        <w:tc>
          <w:tcPr>
            <w:tcW w:type="dxa" w:w="6360"/>
            <w:tcMar>
              <w:top w:w="80" w:type="dxa"/>
              <w:start w:w="120" w:type="dxa"/>
              <w:bottom w:w="80" w:type="dxa"/>
              <w:end w:w="120" w:type="dxa"/>
            </w:tcMar>
            <w:vAlign w:val="center"/>
            <w:shd w:fill="EAF2F8"/>
          </w:tcPr>
          <w:p>
            <w:r>
              <w:rPr>
                <w:rFonts w:ascii="Calibri" w:hAnsi="Calibri"/>
                <w:b/>
                <w:i w:val="0"/>
                <w:color w:val="17324D"/>
                <w:sz w:val="19"/>
              </w:rPr>
              <w:t>Planned responsibility</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broker-domain</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Retain broker-neutral order concepts; add explicit execution/quote evidence only if shared by real adapters.</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broker-paper-adapter</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Deterministic fill policy; refactor state dependency behind a port or move accounting orchestration outward.</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paper-trading-application (new)</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Account, order, portfolio, reset, reconciliation, actor/lineage, and transaction use cases.</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paper-trading-infrastructure (new)</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JDBC repositories, quote adapters, transactional outbox, projectors, schedulers.</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paper-trading-api (new)</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Versioned REST contract, authentication/authorization mapping, problem responses.</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broker-backtest</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Replay engine; evolve to persist ExperimentRun and consume immutable strategy/input definitions.</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trading-intelligence/core-ai (future/new)</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Strategy proposal, evaluation, correction proposal; depends only on declared ports/events.</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platform-core-app</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Composition root, configuration, migrations, scheduling, feature/kill switches.</w:t>
            </w:r>
          </w:p>
        </w:tc>
      </w:tr>
      <w:tr>
        <w:tc>
          <w:tcPr>
            <w:tcW w:type="dxa" w:w="3000"/>
            <w:tcMar>
              <w:top w:w="80" w:type="dxa"/>
              <w:start w:w="120" w:type="dxa"/>
              <w:bottom w:w="80" w:type="dxa"/>
              <w:end w:w="120" w:type="dxa"/>
            </w:tcMar>
            <w:vAlign w:val="center"/>
          </w:tcPr>
          <w:p>
            <w:pPr>
              <w:spacing w:after="20"/>
            </w:pPr>
            <w:r>
              <w:rPr>
                <w:rFonts w:ascii="Calibri" w:hAnsi="Calibri"/>
                <w:b w:val="0"/>
                <w:i w:val="0"/>
                <w:color w:val="243443"/>
                <w:sz w:val="18"/>
              </w:rPr>
              <w:t>predictiveedge-web</w:t>
            </w:r>
          </w:p>
        </w:tc>
        <w:tc>
          <w:tcPr>
            <w:tcW w:type="dxa" w:w="6360"/>
            <w:tcMar>
              <w:top w:w="80" w:type="dxa"/>
              <w:start w:w="120" w:type="dxa"/>
              <w:bottom w:w="80" w:type="dxa"/>
              <w:end w:w="120" w:type="dxa"/>
            </w:tcMar>
            <w:vAlign w:val="center"/>
          </w:tcPr>
          <w:p>
            <w:pPr>
              <w:spacing w:after="20"/>
            </w:pPr>
            <w:r>
              <w:rPr>
                <w:rFonts w:ascii="Calibri" w:hAnsi="Calibri"/>
                <w:b w:val="0"/>
                <w:i w:val="0"/>
                <w:color w:val="243443"/>
                <w:sz w:val="18"/>
              </w:rPr>
              <w:t>Paper feature slice, routes, state/query clients, AI Lab and evidence views.</w:t>
            </w:r>
          </w:p>
        </w:tc>
      </w:tr>
    </w:tbl>
    <w:p>
      <w:pPr>
        <w:spacing w:after="20"/>
      </w:pPr>
    </w:p>
    <w:p>
      <w:pPr>
        <w:pStyle w:val="Heading1"/>
      </w:pPr>
      <w:r>
        <w:rPr>
          <w:rFonts w:ascii="Calibri" w:hAnsi="Calibri"/>
          <w:b w:val="0"/>
          <w:i w:val="0"/>
          <w:color w:val="243443"/>
          <w:sz w:val="22"/>
        </w:rPr>
        <w:t>18. Acceptance criteria</w:t>
      </w:r>
    </w:p>
    <w:p>
      <w:pPr>
        <w:pStyle w:val="ListBullet"/>
        <w:spacing w:after="80" w:line="300" w:lineRule="auto"/>
        <w:ind w:left="540" w:hanging="271"/>
      </w:pPr>
      <w:r>
        <w:rPr>
          <w:rFonts w:ascii="Calibri" w:hAnsi="Calibri"/>
          <w:b w:val="0"/>
          <w:i w:val="0"/>
          <w:color w:val="243443"/>
          <w:sz w:val="22"/>
        </w:rPr>
        <w:t>A user can create, view, restart, and reset a durable paper account without losing audit history.</w:t>
      </w:r>
    </w:p>
    <w:p>
      <w:pPr>
        <w:pStyle w:val="ListBullet"/>
        <w:spacing w:after="80" w:line="300" w:lineRule="auto"/>
        <w:ind w:left="540" w:hanging="271"/>
      </w:pPr>
      <w:r>
        <w:rPr>
          <w:rFonts w:ascii="Calibri" w:hAnsi="Calibri"/>
          <w:b w:val="0"/>
          <w:i w:val="0"/>
          <w:color w:val="243443"/>
          <w:sz w:val="22"/>
        </w:rPr>
        <w:t>A manual market order fills once at a server-selected fresh quote or rejects without any economic mutation.</w:t>
      </w:r>
    </w:p>
    <w:p>
      <w:pPr>
        <w:pStyle w:val="ListBullet"/>
        <w:spacing w:after="80" w:line="300" w:lineRule="auto"/>
        <w:ind w:left="540" w:hanging="271"/>
      </w:pPr>
      <w:r>
        <w:rPr>
          <w:rFonts w:ascii="Calibri" w:hAnsi="Calibri"/>
          <w:b w:val="0"/>
          <w:i w:val="0"/>
          <w:color w:val="243443"/>
          <w:sz w:val="22"/>
        </w:rPr>
        <w:t>Cash, ledger, positions, fills, and account equity reconcile for every committed order stream.</w:t>
      </w:r>
    </w:p>
    <w:p>
      <w:pPr>
        <w:pStyle w:val="ListBullet"/>
        <w:spacing w:after="80" w:line="300" w:lineRule="auto"/>
        <w:ind w:left="540" w:hanging="271"/>
      </w:pPr>
      <w:r>
        <w:rPr>
          <w:rFonts w:ascii="Calibri" w:hAnsi="Calibri"/>
          <w:b w:val="0"/>
          <w:i w:val="0"/>
          <w:color w:val="243443"/>
          <w:sz w:val="22"/>
        </w:rPr>
        <w:t>CORE AI can submit a paper strategy command, consume outcome evidence, and propose a child strategy version without promoting it.</w:t>
      </w:r>
    </w:p>
    <w:p>
      <w:pPr>
        <w:pStyle w:val="ListBullet"/>
        <w:spacing w:after="80" w:line="300" w:lineRule="auto"/>
        <w:ind w:left="540" w:hanging="271"/>
      </w:pPr>
      <w:r>
        <w:rPr>
          <w:rFonts w:ascii="Calibri" w:hAnsi="Calibri"/>
          <w:b w:val="0"/>
          <w:i w:val="0"/>
          <w:color w:val="243443"/>
          <w:sz w:val="22"/>
        </w:rPr>
        <w:t>A backtest job is impossible without a confirmed trader intent whose hash, scope, strategy, budget, and expiry match.</w:t>
      </w:r>
    </w:p>
    <w:p>
      <w:pPr>
        <w:pStyle w:val="ListBullet"/>
        <w:spacing w:after="80" w:line="300" w:lineRule="auto"/>
        <w:ind w:left="540" w:hanging="271"/>
      </w:pPr>
      <w:r>
        <w:rPr>
          <w:rFonts w:ascii="Calibri" w:hAnsi="Calibri"/>
          <w:b w:val="0"/>
          <w:i w:val="0"/>
          <w:color w:val="243443"/>
          <w:sz w:val="22"/>
        </w:rPr>
        <w:t>The UI distinguishes trader and AI actions and links each AI action to explanation and lineage.</w:t>
      </w:r>
    </w:p>
    <w:p>
      <w:pPr>
        <w:pStyle w:val="ListBullet"/>
        <w:spacing w:after="80" w:line="300" w:lineRule="auto"/>
        <w:ind w:left="540" w:hanging="271"/>
      </w:pPr>
      <w:r>
        <w:rPr>
          <w:rFonts w:ascii="Calibri" w:hAnsi="Calibri"/>
          <w:b w:val="0"/>
          <w:i w:val="0"/>
          <w:color w:val="243443"/>
          <w:sz w:val="22"/>
        </w:rPr>
        <w:t>Seeded/replay modes are visibly labeled; production profile cannot silently use seeded prices.</w:t>
      </w:r>
    </w:p>
    <w:p>
      <w:pPr>
        <w:pStyle w:val="ListBullet"/>
        <w:spacing w:after="80" w:line="300" w:lineRule="auto"/>
        <w:ind w:left="540" w:hanging="271"/>
      </w:pPr>
      <w:r>
        <w:rPr>
          <w:rFonts w:ascii="Calibri" w:hAnsi="Calibri"/>
          <w:b w:val="0"/>
          <w:i w:val="0"/>
          <w:color w:val="243443"/>
          <w:sz w:val="22"/>
        </w:rPr>
        <w:t>No paper module can reach a live order transport; live trading remains locked in UI and dependency graph.</w:t>
      </w:r>
    </w:p>
    <w:p>
      <w:pPr>
        <w:pStyle w:val="ListBullet"/>
        <w:spacing w:after="80" w:line="300" w:lineRule="auto"/>
        <w:ind w:left="540" w:hanging="271"/>
      </w:pPr>
      <w:r>
        <w:rPr>
          <w:rFonts w:ascii="Calibri" w:hAnsi="Calibri"/>
          <w:b w:val="0"/>
          <w:i w:val="0"/>
          <w:color w:val="243443"/>
          <w:sz w:val="22"/>
        </w:rPr>
        <w:t>All critical failure paths are observable through stable error codes, metrics, correlation IDs, and retained evidence.</w:t>
      </w:r>
    </w:p>
    <w:p>
      <w:pPr>
        <w:pStyle w:val="Heading1"/>
      </w:pPr>
      <w:r>
        <w:rPr>
          <w:rFonts w:ascii="Calibri" w:hAnsi="Calibri"/>
          <w:b w:val="0"/>
          <w:i w:val="0"/>
          <w:color w:val="243443"/>
          <w:sz w:val="22"/>
        </w:rPr>
        <w:t>19. Open decisions before S3/S4</w:t>
      </w:r>
    </w:p>
    <w:tbl>
      <w:tblPr>
        <w:tblStyle w:val="TableGrid"/>
        <w:tblW w:type="dxa" w:w="9360"/>
        <w:tblLayout w:type="fixed"/>
        <w:tblLook w:firstColumn="1" w:firstRow="1" w:lastColumn="0" w:lastRow="0" w:noHBand="0" w:noVBand="1" w:val="04A0"/>
        <w:jc w:val="left"/>
        <w:tblInd w:w="120" w:type="dxa"/>
      </w:tblPr>
      <w:tblGrid>
        <w:gridCol w:w="3500"/>
        <w:gridCol w:w="1800"/>
        <w:gridCol w:w="4060"/>
      </w:tblGrid>
      <w:tr>
        <w:trPr>
          <w:tblHeader w:val="1"/>
        </w:trPr>
        <w:tc>
          <w:tcPr>
            <w:tcW w:type="dxa" w:w="3500"/>
            <w:tcMar>
              <w:top w:w="80" w:type="dxa"/>
              <w:start w:w="120" w:type="dxa"/>
              <w:bottom w:w="80" w:type="dxa"/>
              <w:end w:w="120" w:type="dxa"/>
            </w:tcMar>
            <w:vAlign w:val="center"/>
            <w:shd w:fill="EAF2F8"/>
          </w:tcPr>
          <w:p>
            <w:r>
              <w:rPr>
                <w:rFonts w:ascii="Calibri" w:hAnsi="Calibri"/>
                <w:b/>
                <w:i w:val="0"/>
                <w:color w:val="17324D"/>
                <w:sz w:val="19"/>
              </w:rPr>
              <w:t>Decision</w:t>
            </w:r>
          </w:p>
        </w:tc>
        <w:tc>
          <w:tcPr>
            <w:tcW w:type="dxa" w:w="1800"/>
            <w:tcMar>
              <w:top w:w="80" w:type="dxa"/>
              <w:start w:w="120" w:type="dxa"/>
              <w:bottom w:w="80" w:type="dxa"/>
              <w:end w:w="120" w:type="dxa"/>
            </w:tcMar>
            <w:vAlign w:val="center"/>
            <w:shd w:fill="EAF2F8"/>
          </w:tcPr>
          <w:p>
            <w:r>
              <w:rPr>
                <w:rFonts w:ascii="Calibri" w:hAnsi="Calibri"/>
                <w:b/>
                <w:i w:val="0"/>
                <w:color w:val="17324D"/>
                <w:sz w:val="19"/>
              </w:rPr>
              <w:t>Required by</w:t>
            </w:r>
          </w:p>
        </w:tc>
        <w:tc>
          <w:tcPr>
            <w:tcW w:type="dxa" w:w="4060"/>
            <w:tcMar>
              <w:top w:w="80" w:type="dxa"/>
              <w:start w:w="120" w:type="dxa"/>
              <w:bottom w:w="80" w:type="dxa"/>
              <w:end w:w="120" w:type="dxa"/>
            </w:tcMar>
            <w:vAlign w:val="center"/>
            <w:shd w:fill="EAF2F8"/>
          </w:tcPr>
          <w:p>
            <w:r>
              <w:rPr>
                <w:rFonts w:ascii="Calibri" w:hAnsi="Calibri"/>
                <w:b/>
                <w:i w:val="0"/>
                <w:color w:val="17324D"/>
                <w:sz w:val="19"/>
              </w:rPr>
              <w:t>Recommended default</w:t>
            </w:r>
          </w:p>
        </w:tc>
      </w:tr>
      <w:tr>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Production-like current quote provider and freshness thresholds</w:t>
            </w:r>
          </w:p>
        </w:tc>
        <w:tc>
          <w:tcPr>
            <w:tcW w:type="dxa" w:w="1800"/>
            <w:tcMar>
              <w:top w:w="80" w:type="dxa"/>
              <w:start w:w="120" w:type="dxa"/>
              <w:bottom w:w="80" w:type="dxa"/>
              <w:end w:w="120" w:type="dxa"/>
            </w:tcMar>
            <w:vAlign w:val="center"/>
          </w:tcPr>
          <w:p>
            <w:pPr>
              <w:spacing w:after="20"/>
            </w:pPr>
            <w:r>
              <w:rPr>
                <w:rFonts w:ascii="Calibri" w:hAnsi="Calibri"/>
                <w:b w:val="0"/>
                <w:i w:val="0"/>
                <w:color w:val="243443"/>
                <w:sz w:val="18"/>
              </w:rPr>
              <w:t>Before S3 public activation</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Introduce CurrentMarketDataProvider; exchange-specific max age; reject on uncertainty.</w:t>
            </w:r>
          </w:p>
        </w:tc>
      </w:tr>
      <w:tr>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Initial cash and reset policy</w:t>
            </w:r>
          </w:p>
        </w:tc>
        <w:tc>
          <w:tcPr>
            <w:tcW w:type="dxa" w:w="1800"/>
            <w:tcMar>
              <w:top w:w="80" w:type="dxa"/>
              <w:start w:w="120" w:type="dxa"/>
              <w:bottom w:w="80" w:type="dxa"/>
              <w:end w:w="120" w:type="dxa"/>
            </w:tcMar>
            <w:vAlign w:val="center"/>
          </w:tcPr>
          <w:p>
            <w:pPr>
              <w:spacing w:after="20"/>
            </w:pPr>
            <w:r>
              <w:rPr>
                <w:rFonts w:ascii="Calibri" w:hAnsi="Calibri"/>
                <w:b w:val="0"/>
                <w:i w:val="0"/>
                <w:color w:val="243443"/>
                <w:sz w:val="18"/>
              </w:rPr>
              <w:t>S1</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INR 1,000,000 configurable; reset creates a new epoch after typed confirmation.</w:t>
            </w:r>
          </w:p>
        </w:tc>
      </w:tr>
      <w:tr>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Cost model</w:t>
            </w:r>
          </w:p>
        </w:tc>
        <w:tc>
          <w:tcPr>
            <w:tcW w:type="dxa" w:w="1800"/>
            <w:tcMar>
              <w:top w:w="80" w:type="dxa"/>
              <w:start w:w="120" w:type="dxa"/>
              <w:bottom w:w="80" w:type="dxa"/>
              <w:end w:w="120" w:type="dxa"/>
            </w:tcMar>
            <w:vAlign w:val="center"/>
          </w:tcPr>
          <w:p>
            <w:pPr>
              <w:spacing w:after="20"/>
            </w:pPr>
            <w:r>
              <w:rPr>
                <w:rFonts w:ascii="Calibri" w:hAnsi="Calibri"/>
                <w:b w:val="0"/>
                <w:i w:val="0"/>
                <w:color w:val="243443"/>
                <w:sz w:val="18"/>
              </w:rPr>
              <w:t>S3</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Zero cost in v0.1 schema-compatible MVP; add versioned Indian fee/tax model before strategy claims.</w:t>
            </w:r>
          </w:p>
        </w:tc>
      </w:tr>
      <w:tr>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CORE AI strategy representation</w:t>
            </w:r>
          </w:p>
        </w:tc>
        <w:tc>
          <w:tcPr>
            <w:tcW w:type="dxa" w:w="1800"/>
            <w:tcMar>
              <w:top w:w="80" w:type="dxa"/>
              <w:start w:w="120" w:type="dxa"/>
              <w:bottom w:w="80" w:type="dxa"/>
              <w:end w:w="120" w:type="dxa"/>
            </w:tcMar>
            <w:vAlign w:val="center"/>
          </w:tcPr>
          <w:p>
            <w:pPr>
              <w:spacing w:after="20"/>
            </w:pPr>
            <w:r>
              <w:rPr>
                <w:rFonts w:ascii="Calibri" w:hAnsi="Calibri"/>
                <w:b w:val="0"/>
                <w:i w:val="0"/>
                <w:color w:val="243443"/>
                <w:sz w:val="18"/>
              </w:rPr>
              <w:t>S4</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Immutable JSON DSL plus semantic/schema version and content hash; no executable arbitrary code in JVM.</w:t>
            </w:r>
          </w:p>
        </w:tc>
      </w:tr>
      <w:tr>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Evaluation metrics and promotion policy</w:t>
            </w:r>
          </w:p>
        </w:tc>
        <w:tc>
          <w:tcPr>
            <w:tcW w:type="dxa" w:w="1800"/>
            <w:tcMar>
              <w:top w:w="80" w:type="dxa"/>
              <w:start w:w="120" w:type="dxa"/>
              <w:bottom w:w="80" w:type="dxa"/>
              <w:end w:w="120" w:type="dxa"/>
            </w:tcMar>
            <w:vAlign w:val="center"/>
          </w:tcPr>
          <w:p>
            <w:pPr>
              <w:spacing w:after="20"/>
            </w:pPr>
            <w:r>
              <w:rPr>
                <w:rFonts w:ascii="Calibri" w:hAnsi="Calibri"/>
                <w:b w:val="0"/>
                <w:i w:val="0"/>
                <w:color w:val="243443"/>
                <w:sz w:val="18"/>
              </w:rPr>
              <w:t>S4</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Return, max drawdown, win rate, turnover, exposure, violation count; manual promotion only.</w:t>
            </w:r>
          </w:p>
        </w:tc>
      </w:tr>
      <w:tr>
        <w:tc>
          <w:tcPr>
            <w:tcW w:type="dxa" w:w="3500"/>
            <w:tcMar>
              <w:top w:w="80" w:type="dxa"/>
              <w:start w:w="120" w:type="dxa"/>
              <w:bottom w:w="80" w:type="dxa"/>
              <w:end w:w="120" w:type="dxa"/>
            </w:tcMar>
            <w:vAlign w:val="center"/>
          </w:tcPr>
          <w:p>
            <w:pPr>
              <w:spacing w:after="20"/>
            </w:pPr>
            <w:r>
              <w:rPr>
                <w:rFonts w:ascii="Calibri" w:hAnsi="Calibri"/>
                <w:b w:val="0"/>
                <w:i w:val="0"/>
                <w:color w:val="243443"/>
                <w:sz w:val="18"/>
              </w:rPr>
              <w:t>Backtest compute budget vocabulary</w:t>
            </w:r>
          </w:p>
        </w:tc>
        <w:tc>
          <w:tcPr>
            <w:tcW w:type="dxa" w:w="1800"/>
            <w:tcMar>
              <w:top w:w="80" w:type="dxa"/>
              <w:start w:w="120" w:type="dxa"/>
              <w:bottom w:w="80" w:type="dxa"/>
              <w:end w:w="120" w:type="dxa"/>
            </w:tcMar>
            <w:vAlign w:val="center"/>
          </w:tcPr>
          <w:p>
            <w:pPr>
              <w:spacing w:after="20"/>
            </w:pPr>
            <w:r>
              <w:rPr>
                <w:rFonts w:ascii="Calibri" w:hAnsi="Calibri"/>
                <w:b w:val="0"/>
                <w:i w:val="0"/>
                <w:color w:val="243443"/>
                <w:sz w:val="18"/>
              </w:rPr>
              <w:t>S5</w:t>
            </w:r>
          </w:p>
        </w:tc>
        <w:tc>
          <w:tcPr>
            <w:tcW w:type="dxa" w:w="4060"/>
            <w:tcMar>
              <w:top w:w="80" w:type="dxa"/>
              <w:start w:w="120" w:type="dxa"/>
              <w:bottom w:w="80" w:type="dxa"/>
              <w:end w:w="120" w:type="dxa"/>
            </w:tcMar>
            <w:vAlign w:val="center"/>
          </w:tcPr>
          <w:p>
            <w:pPr>
              <w:spacing w:after="20"/>
            </w:pPr>
            <w:r>
              <w:rPr>
                <w:rFonts w:ascii="Calibri" w:hAnsi="Calibri"/>
                <w:b w:val="0"/>
                <w:i w:val="0"/>
                <w:color w:val="243443"/>
                <w:sz w:val="18"/>
              </w:rPr>
              <w:t>Max instruments, candles, scenarios, wall time, and concurrency per intent.</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1"/>
        </w:trPr>
        <w:tc>
          <w:tcPr>
            <w:tcW w:type="dxa" w:w="9360"/>
            <w:tcMar>
              <w:top w:w="80" w:type="dxa"/>
              <w:start w:w="120" w:type="dxa"/>
              <w:bottom w:w="80" w:type="dxa"/>
              <w:end w:w="120" w:type="dxa"/>
            </w:tcMar>
            <w:vAlign w:val="center"/>
            <w:shd w:fill="E8F6F3"/>
          </w:tcPr>
          <w:p>
            <w:pPr>
              <w:spacing w:after="60"/>
            </w:pPr>
            <w:r>
              <w:rPr>
                <w:rFonts w:ascii="Calibri" w:hAnsi="Calibri"/>
                <w:b/>
                <w:i w:val="0"/>
                <w:color w:val="16867A"/>
                <w:sz w:val="22"/>
              </w:rPr>
              <w:t xml:space="preserve">IMPLEMENTATION START CONDITION  </w:t>
            </w:r>
            <w:r>
              <w:rPr>
                <w:rFonts w:ascii="Calibri" w:hAnsi="Calibri"/>
                <w:b w:val="0"/>
                <w:i w:val="0"/>
                <w:color w:val="243443"/>
                <w:sz w:val="21"/>
              </w:rPr>
              <w:t>S1 and S2 can begin after this design is approved. S3 may ship in seeded/replay mode while the current-quote provider decision is resolved. S4 requires the immutable strategy representation decision. S5 requires the intent budget vocabulary.</w:t>
            </w:r>
          </w:p>
        </w:tc>
      </w:tr>
    </w:tbl>
    <w:p>
      <w:pPr>
        <w:spacing w:after="20"/>
      </w:pPr>
    </w:p>
    <w:p>
      <w:pPr>
        <w:pStyle w:val="Heading1"/>
      </w:pPr>
      <w:r>
        <w:rPr>
          <w:rFonts w:ascii="Calibri" w:hAnsi="Calibri"/>
          <w:b w:val="0"/>
          <w:i w:val="0"/>
          <w:color w:val="243443"/>
          <w:sz w:val="22"/>
        </w:rPr>
        <w:t>Appendix A. Current baseline and gaps</w:t>
      </w:r>
    </w:p>
    <w:tbl>
      <w:tblPr>
        <w:tblStyle w:val="TableGrid"/>
        <w:tblW w:type="dxa" w:w="9360"/>
        <w:tblLayout w:type="fixed"/>
        <w:tblLook w:firstColumn="1" w:firstRow="1" w:lastColumn="0" w:lastRow="0" w:noHBand="0" w:noVBand="1" w:val="04A0"/>
        <w:jc w:val="left"/>
        <w:tblInd w:w="120" w:type="dxa"/>
      </w:tblPr>
      <w:tblGrid>
        <w:gridCol w:w="2800"/>
        <w:gridCol w:w="2860"/>
        <w:gridCol w:w="3700"/>
      </w:tblGrid>
      <w:tr>
        <w:trPr>
          <w:tblHeader w:val="1"/>
        </w:trPr>
        <w:tc>
          <w:tcPr>
            <w:tcW w:type="dxa" w:w="2800"/>
            <w:tcMar>
              <w:top w:w="80" w:type="dxa"/>
              <w:start w:w="120" w:type="dxa"/>
              <w:bottom w:w="80" w:type="dxa"/>
              <w:end w:w="120" w:type="dxa"/>
            </w:tcMar>
            <w:vAlign w:val="center"/>
            <w:shd w:fill="EAF2F8"/>
          </w:tcPr>
          <w:p>
            <w:r>
              <w:rPr>
                <w:rFonts w:ascii="Calibri" w:hAnsi="Calibri"/>
                <w:b/>
                <w:i w:val="0"/>
                <w:color w:val="17324D"/>
                <w:sz w:val="19"/>
              </w:rPr>
              <w:t>Existing capability</w:t>
            </w:r>
          </w:p>
        </w:tc>
        <w:tc>
          <w:tcPr>
            <w:tcW w:type="dxa" w:w="2860"/>
            <w:tcMar>
              <w:top w:w="80" w:type="dxa"/>
              <w:start w:w="120" w:type="dxa"/>
              <w:bottom w:w="80" w:type="dxa"/>
              <w:end w:w="120" w:type="dxa"/>
            </w:tcMar>
            <w:vAlign w:val="center"/>
            <w:shd w:fill="EAF2F8"/>
          </w:tcPr>
          <w:p>
            <w:r>
              <w:rPr>
                <w:rFonts w:ascii="Calibri" w:hAnsi="Calibri"/>
                <w:b/>
                <w:i w:val="0"/>
                <w:color w:val="17324D"/>
                <w:sz w:val="19"/>
              </w:rPr>
              <w:t>Location</w:t>
            </w:r>
          </w:p>
        </w:tc>
        <w:tc>
          <w:tcPr>
            <w:tcW w:type="dxa" w:w="3700"/>
            <w:tcMar>
              <w:top w:w="80" w:type="dxa"/>
              <w:start w:w="120" w:type="dxa"/>
              <w:bottom w:w="80" w:type="dxa"/>
              <w:end w:w="120" w:type="dxa"/>
            </w:tcMar>
            <w:vAlign w:val="center"/>
            <w:shd w:fill="EAF2F8"/>
          </w:tcPr>
          <w:p>
            <w:r>
              <w:rPr>
                <w:rFonts w:ascii="Calibri" w:hAnsi="Calibri"/>
                <w:b/>
                <w:i w:val="0"/>
                <w:color w:val="17324D"/>
                <w:sz w:val="19"/>
              </w:rPr>
              <w:t>Gap addressed by this design</w:t>
            </w:r>
          </w:p>
        </w:tc>
      </w:tr>
      <w:tr>
        <w:tc>
          <w:tcPr>
            <w:tcW w:type="dxa" w:w="2800"/>
            <w:tcMar>
              <w:top w:w="80" w:type="dxa"/>
              <w:start w:w="120" w:type="dxa"/>
              <w:bottom w:w="80" w:type="dxa"/>
              <w:end w:w="120" w:type="dxa"/>
            </w:tcMar>
            <w:vAlign w:val="center"/>
          </w:tcPr>
          <w:p>
            <w:pPr>
              <w:spacing w:after="20"/>
            </w:pPr>
            <w:r>
              <w:rPr>
                <w:rFonts w:ascii="Calibri" w:hAnsi="Calibri"/>
                <w:b w:val="0"/>
                <w:i w:val="0"/>
                <w:color w:val="243443"/>
                <w:sz w:val="18"/>
              </w:rPr>
              <w:t>Broker-neutral orders/accounts</w:t>
            </w:r>
          </w:p>
        </w:tc>
        <w:tc>
          <w:tcPr>
            <w:tcW w:type="dxa" w:w="2860"/>
            <w:tcMar>
              <w:top w:w="80" w:type="dxa"/>
              <w:start w:w="120" w:type="dxa"/>
              <w:bottom w:w="80" w:type="dxa"/>
              <w:end w:w="120" w:type="dxa"/>
            </w:tcMar>
            <w:vAlign w:val="center"/>
          </w:tcPr>
          <w:p>
            <w:pPr>
              <w:spacing w:after="20"/>
            </w:pPr>
            <w:r>
              <w:rPr>
                <w:rFonts w:ascii="Calibri" w:hAnsi="Calibri"/>
                <w:b w:val="0"/>
                <w:i w:val="0"/>
                <w:color w:val="243443"/>
                <w:sz w:val="18"/>
              </w:rPr>
              <w:t>broker-domain</w:t>
            </w:r>
          </w:p>
        </w:tc>
        <w:tc>
          <w:tcPr>
            <w:tcW w:type="dxa" w:w="3700"/>
            <w:tcMar>
              <w:top w:w="80" w:type="dxa"/>
              <w:start w:w="120" w:type="dxa"/>
              <w:bottom w:w="80" w:type="dxa"/>
              <w:end w:w="120" w:type="dxa"/>
            </w:tcMar>
            <w:vAlign w:val="center"/>
          </w:tcPr>
          <w:p>
            <w:pPr>
              <w:spacing w:after="20"/>
            </w:pPr>
            <w:r>
              <w:rPr>
                <w:rFonts w:ascii="Calibri" w:hAnsi="Calibri"/>
                <w:b w:val="0"/>
                <w:i w:val="0"/>
                <w:color w:val="243443"/>
                <w:sz w:val="18"/>
              </w:rPr>
              <w:t>No durable paper portfolio, fill evidence, actor or strategy lineage.</w:t>
            </w:r>
          </w:p>
        </w:tc>
      </w:tr>
      <w:tr>
        <w:tc>
          <w:tcPr>
            <w:tcW w:type="dxa" w:w="2800"/>
            <w:tcMar>
              <w:top w:w="80" w:type="dxa"/>
              <w:start w:w="120" w:type="dxa"/>
              <w:bottom w:w="80" w:type="dxa"/>
              <w:end w:w="120" w:type="dxa"/>
            </w:tcMar>
            <w:vAlign w:val="center"/>
          </w:tcPr>
          <w:p>
            <w:pPr>
              <w:spacing w:after="20"/>
            </w:pPr>
            <w:r>
              <w:rPr>
                <w:rFonts w:ascii="Calibri" w:hAnsi="Calibri"/>
                <w:b w:val="0"/>
                <w:i w:val="0"/>
                <w:color w:val="243443"/>
                <w:sz w:val="18"/>
              </w:rPr>
              <w:t>Adapter SPI and clientOrderId seam</w:t>
            </w:r>
          </w:p>
        </w:tc>
        <w:tc>
          <w:tcPr>
            <w:tcW w:type="dxa" w:w="2860"/>
            <w:tcMar>
              <w:top w:w="80" w:type="dxa"/>
              <w:start w:w="120" w:type="dxa"/>
              <w:bottom w:w="80" w:type="dxa"/>
              <w:end w:w="120" w:type="dxa"/>
            </w:tcMar>
            <w:vAlign w:val="center"/>
          </w:tcPr>
          <w:p>
            <w:pPr>
              <w:spacing w:after="20"/>
            </w:pPr>
            <w:r>
              <w:rPr>
                <w:rFonts w:ascii="Calibri" w:hAnsi="Calibri"/>
                <w:b w:val="0"/>
                <w:i w:val="0"/>
                <w:color w:val="243443"/>
                <w:sz w:val="18"/>
              </w:rPr>
              <w:t>broker-spi</w:t>
            </w:r>
          </w:p>
        </w:tc>
        <w:tc>
          <w:tcPr>
            <w:tcW w:type="dxa" w:w="3700"/>
            <w:tcMar>
              <w:top w:w="80" w:type="dxa"/>
              <w:start w:w="120" w:type="dxa"/>
              <w:bottom w:w="80" w:type="dxa"/>
              <w:end w:w="120" w:type="dxa"/>
            </w:tcMar>
            <w:vAlign w:val="center"/>
          </w:tcPr>
          <w:p>
            <w:pPr>
              <w:spacing w:after="20"/>
            </w:pPr>
            <w:r>
              <w:rPr>
                <w:rFonts w:ascii="Calibri" w:hAnsi="Calibri"/>
                <w:b w:val="0"/>
                <w:i w:val="0"/>
                <w:color w:val="243443"/>
                <w:sz w:val="18"/>
              </w:rPr>
              <w:t>No application transaction, persistence, API, or event contract.</w:t>
            </w:r>
          </w:p>
        </w:tc>
      </w:tr>
      <w:tr>
        <w:tc>
          <w:tcPr>
            <w:tcW w:type="dxa" w:w="2800"/>
            <w:tcMar>
              <w:top w:w="80" w:type="dxa"/>
              <w:start w:w="120" w:type="dxa"/>
              <w:bottom w:w="80" w:type="dxa"/>
              <w:end w:w="120" w:type="dxa"/>
            </w:tcMar>
            <w:vAlign w:val="center"/>
          </w:tcPr>
          <w:p>
            <w:pPr>
              <w:spacing w:after="20"/>
            </w:pPr>
            <w:r>
              <w:rPr>
                <w:rFonts w:ascii="Calibri" w:hAnsi="Calibri"/>
                <w:b w:val="0"/>
                <w:i w:val="0"/>
                <w:color w:val="243443"/>
                <w:sz w:val="18"/>
              </w:rPr>
              <w:t>In-memory paper market fills</w:t>
            </w:r>
          </w:p>
        </w:tc>
        <w:tc>
          <w:tcPr>
            <w:tcW w:type="dxa" w:w="2860"/>
            <w:tcMar>
              <w:top w:w="80" w:type="dxa"/>
              <w:start w:w="120" w:type="dxa"/>
              <w:bottom w:w="80" w:type="dxa"/>
              <w:end w:w="120" w:type="dxa"/>
            </w:tcMar>
            <w:vAlign w:val="center"/>
          </w:tcPr>
          <w:p>
            <w:pPr>
              <w:spacing w:after="20"/>
            </w:pPr>
            <w:r>
              <w:rPr>
                <w:rFonts w:ascii="Calibri" w:hAnsi="Calibri"/>
                <w:b w:val="0"/>
                <w:i w:val="0"/>
                <w:color w:val="243443"/>
                <w:sz w:val="18"/>
              </w:rPr>
              <w:t>broker-paper-adapter</w:t>
            </w:r>
          </w:p>
        </w:tc>
        <w:tc>
          <w:tcPr>
            <w:tcW w:type="dxa" w:w="3700"/>
            <w:tcMar>
              <w:top w:w="80" w:type="dxa"/>
              <w:start w:w="120" w:type="dxa"/>
              <w:bottom w:w="80" w:type="dxa"/>
              <w:end w:w="120" w:type="dxa"/>
            </w:tcMar>
            <w:vAlign w:val="center"/>
          </w:tcPr>
          <w:p>
            <w:pPr>
              <w:spacing w:after="20"/>
            </w:pPr>
            <w:r>
              <w:rPr>
                <w:rFonts w:ascii="Calibri" w:hAnsi="Calibri"/>
                <w:b w:val="0"/>
                <w:i w:val="0"/>
                <w:color w:val="243443"/>
                <w:sz w:val="18"/>
              </w:rPr>
              <w:t>State disappears on restart; quote freshness and fees are absent.</w:t>
            </w:r>
          </w:p>
        </w:tc>
      </w:tr>
      <w:tr>
        <w:tc>
          <w:tcPr>
            <w:tcW w:type="dxa" w:w="2800"/>
            <w:tcMar>
              <w:top w:w="80" w:type="dxa"/>
              <w:start w:w="120" w:type="dxa"/>
              <w:bottom w:w="80" w:type="dxa"/>
              <w:end w:w="120" w:type="dxa"/>
            </w:tcMar>
            <w:vAlign w:val="center"/>
          </w:tcPr>
          <w:p>
            <w:pPr>
              <w:spacing w:after="20"/>
            </w:pPr>
            <w:r>
              <w:rPr>
                <w:rFonts w:ascii="Calibri" w:hAnsi="Calibri"/>
                <w:b w:val="0"/>
                <w:i w:val="0"/>
                <w:color w:val="243443"/>
                <w:sz w:val="18"/>
              </w:rPr>
              <w:t>Chronological backtest replay</w:t>
            </w:r>
          </w:p>
        </w:tc>
        <w:tc>
          <w:tcPr>
            <w:tcW w:type="dxa" w:w="2860"/>
            <w:tcMar>
              <w:top w:w="80" w:type="dxa"/>
              <w:start w:w="120" w:type="dxa"/>
              <w:bottom w:w="80" w:type="dxa"/>
              <w:end w:w="120" w:type="dxa"/>
            </w:tcMar>
            <w:vAlign w:val="center"/>
          </w:tcPr>
          <w:p>
            <w:pPr>
              <w:spacing w:after="20"/>
            </w:pPr>
            <w:r>
              <w:rPr>
                <w:rFonts w:ascii="Calibri" w:hAnsi="Calibri"/>
                <w:b w:val="0"/>
                <w:i w:val="0"/>
                <w:color w:val="243443"/>
                <w:sz w:val="18"/>
              </w:rPr>
              <w:t>broker-backtest</w:t>
            </w:r>
          </w:p>
        </w:tc>
        <w:tc>
          <w:tcPr>
            <w:tcW w:type="dxa" w:w="3700"/>
            <w:tcMar>
              <w:top w:w="80" w:type="dxa"/>
              <w:start w:w="120" w:type="dxa"/>
              <w:bottom w:w="80" w:type="dxa"/>
              <w:end w:w="120" w:type="dxa"/>
            </w:tcMar>
            <w:vAlign w:val="center"/>
          </w:tcPr>
          <w:p>
            <w:pPr>
              <w:spacing w:after="20"/>
            </w:pPr>
            <w:r>
              <w:rPr>
                <w:rFonts w:ascii="Calibri" w:hAnsi="Calibri"/>
                <w:b w:val="0"/>
                <w:i w:val="0"/>
                <w:color w:val="243443"/>
                <w:sz w:val="18"/>
              </w:rPr>
              <w:t>No persisted runs, trader intent, strategy version, metrics policy, or evidence lineage.</w:t>
            </w:r>
          </w:p>
        </w:tc>
      </w:tr>
      <w:tr>
        <w:tc>
          <w:tcPr>
            <w:tcW w:type="dxa" w:w="2800"/>
            <w:tcMar>
              <w:top w:w="80" w:type="dxa"/>
              <w:start w:w="120" w:type="dxa"/>
              <w:bottom w:w="80" w:type="dxa"/>
              <w:end w:w="120" w:type="dxa"/>
            </w:tcMar>
            <w:vAlign w:val="center"/>
          </w:tcPr>
          <w:p>
            <w:pPr>
              <w:spacing w:after="20"/>
            </w:pPr>
            <w:r>
              <w:rPr>
                <w:rFonts w:ascii="Calibri" w:hAnsi="Calibri"/>
                <w:b w:val="0"/>
                <w:i w:val="0"/>
                <w:color w:val="243443"/>
                <w:sz w:val="18"/>
              </w:rPr>
              <w:t>Zerodha historical data/login</w:t>
            </w:r>
          </w:p>
        </w:tc>
        <w:tc>
          <w:tcPr>
            <w:tcW w:type="dxa" w:w="2860"/>
            <w:tcMar>
              <w:top w:w="80" w:type="dxa"/>
              <w:start w:w="120" w:type="dxa"/>
              <w:bottom w:w="80" w:type="dxa"/>
              <w:end w:w="120" w:type="dxa"/>
            </w:tcMar>
            <w:vAlign w:val="center"/>
          </w:tcPr>
          <w:p>
            <w:pPr>
              <w:spacing w:after="20"/>
            </w:pPr>
            <w:r>
              <w:rPr>
                <w:rFonts w:ascii="Calibri" w:hAnsi="Calibri"/>
                <w:b w:val="0"/>
                <w:i w:val="0"/>
                <w:color w:val="243443"/>
                <w:sz w:val="18"/>
              </w:rPr>
              <w:t>broker-zerodha-adapter + connection modules</w:t>
            </w:r>
          </w:p>
        </w:tc>
        <w:tc>
          <w:tcPr>
            <w:tcW w:type="dxa" w:w="3700"/>
            <w:tcMar>
              <w:top w:w="80" w:type="dxa"/>
              <w:start w:w="120" w:type="dxa"/>
              <w:bottom w:w="80" w:type="dxa"/>
              <w:end w:w="120" w:type="dxa"/>
            </w:tcMar>
            <w:vAlign w:val="center"/>
          </w:tcPr>
          <w:p>
            <w:pPr>
              <w:spacing w:after="20"/>
            </w:pPr>
            <w:r>
              <w:rPr>
                <w:rFonts w:ascii="Calibri" w:hAnsi="Calibri"/>
                <w:b w:val="0"/>
                <w:i w:val="0"/>
                <w:color w:val="243443"/>
                <w:sz w:val="18"/>
              </w:rPr>
              <w:t>No current quote provider; deliberately no live order adapter.</w:t>
            </w:r>
          </w:p>
        </w:tc>
      </w:tr>
      <w:tr>
        <w:tc>
          <w:tcPr>
            <w:tcW w:type="dxa" w:w="2800"/>
            <w:tcMar>
              <w:top w:w="80" w:type="dxa"/>
              <w:start w:w="120" w:type="dxa"/>
              <w:bottom w:w="80" w:type="dxa"/>
              <w:end w:w="120" w:type="dxa"/>
            </w:tcMar>
            <w:vAlign w:val="center"/>
          </w:tcPr>
          <w:p>
            <w:pPr>
              <w:spacing w:after="20"/>
            </w:pPr>
            <w:r>
              <w:rPr>
                <w:rFonts w:ascii="Calibri" w:hAnsi="Calibri"/>
                <w:b w:val="0"/>
                <w:i w:val="0"/>
                <w:color w:val="243443"/>
                <w:sz w:val="18"/>
              </w:rPr>
              <w:t>Broker workspace card</w:t>
            </w:r>
          </w:p>
        </w:tc>
        <w:tc>
          <w:tcPr>
            <w:tcW w:type="dxa" w:w="2860"/>
            <w:tcMar>
              <w:top w:w="80" w:type="dxa"/>
              <w:start w:w="120" w:type="dxa"/>
              <w:bottom w:w="80" w:type="dxa"/>
              <w:end w:w="120" w:type="dxa"/>
            </w:tcMar>
            <w:vAlign w:val="center"/>
          </w:tcPr>
          <w:p>
            <w:pPr>
              <w:spacing w:after="20"/>
            </w:pPr>
            <w:r>
              <w:rPr>
                <w:rFonts w:ascii="Calibri" w:hAnsi="Calibri"/>
                <w:b w:val="0"/>
                <w:i w:val="0"/>
                <w:color w:val="243443"/>
                <w:sz w:val="18"/>
              </w:rPr>
              <w:t>React App.tsx / broker.ts</w:t>
            </w:r>
          </w:p>
        </w:tc>
        <w:tc>
          <w:tcPr>
            <w:tcW w:type="dxa" w:w="3700"/>
            <w:tcMar>
              <w:top w:w="80" w:type="dxa"/>
              <w:start w:w="120" w:type="dxa"/>
              <w:bottom w:w="80" w:type="dxa"/>
              <w:end w:w="120" w:type="dxa"/>
            </w:tcMar>
            <w:vAlign w:val="center"/>
          </w:tcPr>
          <w:p>
            <w:pPr>
              <w:spacing w:after="20"/>
            </w:pPr>
            <w:r>
              <w:rPr>
                <w:rFonts w:ascii="Calibri" w:hAnsi="Calibri"/>
                <w:b w:val="0"/>
                <w:i w:val="0"/>
                <w:color w:val="243443"/>
                <w:sz w:val="18"/>
              </w:rPr>
              <w:t>Paper card is informational only; no portal routes or read/command models.</w:t>
            </w:r>
          </w:p>
        </w:tc>
      </w:tr>
    </w:tbl>
    <w:p>
      <w:pPr>
        <w:spacing w:after="20"/>
      </w:pPr>
    </w:p>
    <w:p>
      <w:pPr>
        <w:pStyle w:val="Heading2"/>
      </w:pPr>
      <w:r>
        <w:rPr>
          <w:rFonts w:ascii="Calibri" w:hAnsi="Calibri"/>
          <w:b w:val="0"/>
          <w:i w:val="0"/>
          <w:color w:val="243443"/>
          <w:sz w:val="22"/>
        </w:rPr>
        <w:t>Alignment references</w:t>
      </w:r>
    </w:p>
    <w:p>
      <w:pPr>
        <w:pStyle w:val="ListBullet"/>
        <w:spacing w:after="80" w:line="300" w:lineRule="auto"/>
        <w:ind w:left="540" w:hanging="271"/>
      </w:pPr>
      <w:r>
        <w:rPr>
          <w:rFonts w:ascii="Calibri" w:hAnsi="Calibri"/>
          <w:b w:val="0"/>
          <w:i w:val="0"/>
          <w:color w:val="243443"/>
          <w:sz w:val="22"/>
        </w:rPr>
        <w:t>PredictiveEdge Constitution v1.0: Human-in-Control, broker independence, explainability, event-driven and auditable AI.</w:t>
      </w:r>
    </w:p>
    <w:p>
      <w:pPr>
        <w:pStyle w:val="ListBullet"/>
        <w:spacing w:after="80" w:line="300" w:lineRule="auto"/>
        <w:ind w:left="540" w:hanging="271"/>
      </w:pPr>
      <w:r>
        <w:rPr>
          <w:rFonts w:ascii="Calibri" w:hAnsi="Calibri"/>
          <w:b w:val="0"/>
          <w:i w:val="0"/>
          <w:color w:val="243443"/>
          <w:sz w:val="22"/>
        </w:rPr>
        <w:t>PredictiveEdge System Architecture v1.0: Trading Intelligence Layer, Trade Execution Gateway, Broker Adapter Framework, and Continuous Learning lifecycle.</w:t>
      </w:r>
    </w:p>
    <w:p>
      <w:pPr>
        <w:pStyle w:val="ListBullet"/>
        <w:spacing w:after="80" w:line="300" w:lineRule="auto"/>
        <w:ind w:left="540" w:hanging="271"/>
      </w:pPr>
      <w:r>
        <w:rPr>
          <w:rFonts w:ascii="Calibri" w:hAnsi="Calibri"/>
          <w:b w:val="0"/>
          <w:i w:val="0"/>
          <w:color w:val="243443"/>
          <w:sz w:val="22"/>
        </w:rPr>
        <w:t>ADR-0001: broker-neutral adapter boundary, mandatory client-generated order IDs, and no live execution before gateway controls.</w:t>
      </w:r>
    </w:p>
    <w:p>
      <w:pPr>
        <w:pStyle w:val="ListBullet"/>
        <w:spacing w:after="80" w:line="300" w:lineRule="auto"/>
        <w:ind w:left="540" w:hanging="271"/>
      </w:pPr>
      <w:r>
        <w:rPr>
          <w:rFonts w:ascii="Calibri" w:hAnsi="Calibri"/>
          <w:b w:val="0"/>
          <w:i w:val="0"/>
          <w:color w:val="243443"/>
          <w:sz w:val="22"/>
        </w:rPr>
        <w:t>ADR-0002: Zerodha data, paper trading, and deterministic backtesting precede live trading.</w:t>
      </w:r>
    </w:p>
    <w:p>
      <w:pPr>
        <w:pStyle w:val="ListBullet"/>
        <w:spacing w:after="80" w:line="300" w:lineRule="auto"/>
        <w:ind w:left="540" w:hanging="271"/>
      </w:pPr>
      <w:r>
        <w:rPr>
          <w:rFonts w:ascii="Calibri" w:hAnsi="Calibri"/>
          <w:b w:val="0"/>
          <w:i w:val="0"/>
          <w:color w:val="243443"/>
          <w:sz w:val="22"/>
        </w:rPr>
        <w:t>Broker connection lifecycle: credentials remain backend-only and paper/backtest capabilities do not expose live-order endpoints.</w:t>
      </w:r>
    </w:p>
    <w:p>
      <w:pPr>
        <w:pStyle w:val="Heading1"/>
      </w:pPr>
      <w:r>
        <w:rPr>
          <w:rFonts w:ascii="Calibri" w:hAnsi="Calibri"/>
          <w:b w:val="0"/>
          <w:i w:val="0"/>
          <w:color w:val="243443"/>
          <w:sz w:val="22"/>
        </w:rPr>
        <w:t>Appendix B. Review checklist</w:t>
      </w:r>
    </w:p>
    <w:p>
      <w:pPr>
        <w:pStyle w:val="ListBullet"/>
        <w:spacing w:after="80" w:line="300" w:lineRule="auto"/>
        <w:ind w:left="540" w:hanging="271"/>
      </w:pPr>
      <w:r>
        <w:rPr>
          <w:rFonts w:ascii="Calibri" w:hAnsi="Calibri"/>
          <w:b w:val="0"/>
          <w:i w:val="0"/>
          <w:color w:val="243443"/>
          <w:sz w:val="22"/>
        </w:rPr>
        <w:t>Product: scope, portal journeys, reset behavior, and visible AI attribution accepted.</w:t>
      </w:r>
    </w:p>
    <w:p>
      <w:pPr>
        <w:pStyle w:val="ListBullet"/>
        <w:spacing w:after="80" w:line="300" w:lineRule="auto"/>
        <w:ind w:left="540" w:hanging="271"/>
      </w:pPr>
      <w:r>
        <w:rPr>
          <w:rFonts w:ascii="Calibri" w:hAnsi="Calibri"/>
          <w:b w:val="0"/>
          <w:i w:val="0"/>
          <w:color w:val="243443"/>
          <w:sz w:val="22"/>
        </w:rPr>
        <w:t>Architecture: module boundaries, ports, transaction/outbox model, and no-live dependency graph accepted.</w:t>
      </w:r>
    </w:p>
    <w:p>
      <w:pPr>
        <w:pStyle w:val="ListBullet"/>
        <w:spacing w:after="80" w:line="300" w:lineRule="auto"/>
        <w:ind w:left="540" w:hanging="271"/>
      </w:pPr>
      <w:r>
        <w:rPr>
          <w:rFonts w:ascii="Calibri" w:hAnsi="Calibri"/>
          <w:b w:val="0"/>
          <w:i w:val="0"/>
          <w:color w:val="243443"/>
          <w:sz w:val="22"/>
        </w:rPr>
        <w:t>AI: learning semantics, immutable lineage, evaluation policy ownership, and human promotion accepted.</w:t>
      </w:r>
    </w:p>
    <w:p>
      <w:pPr>
        <w:pStyle w:val="ListBullet"/>
        <w:spacing w:after="80" w:line="300" w:lineRule="auto"/>
        <w:ind w:left="540" w:hanging="271"/>
      </w:pPr>
      <w:r>
        <w:rPr>
          <w:rFonts w:ascii="Calibri" w:hAnsi="Calibri"/>
          <w:b w:val="0"/>
          <w:i w:val="0"/>
          <w:color w:val="243443"/>
          <w:sz w:val="22"/>
        </w:rPr>
        <w:t>Security: intent authorization, cross-user isolation, service capability, redaction, and rate limits accepted.</w:t>
      </w:r>
    </w:p>
    <w:p>
      <w:pPr>
        <w:pStyle w:val="ListBullet"/>
        <w:spacing w:after="80" w:line="300" w:lineRule="auto"/>
        <w:ind w:left="540" w:hanging="271"/>
      </w:pPr>
      <w:r>
        <w:rPr>
          <w:rFonts w:ascii="Calibri" w:hAnsi="Calibri"/>
          <w:b w:val="0"/>
          <w:i w:val="0"/>
          <w:color w:val="243443"/>
          <w:sz w:val="22"/>
        </w:rPr>
        <w:t>Data: quote source/freshness, accounting model, schema/migrations, and reconciliation accepted.</w:t>
      </w:r>
    </w:p>
    <w:p>
      <w:pPr>
        <w:pStyle w:val="ListBullet"/>
        <w:spacing w:after="80" w:line="300" w:lineRule="auto"/>
        <w:ind w:left="540" w:hanging="271"/>
      </w:pPr>
      <w:r>
        <w:rPr>
          <w:rFonts w:ascii="Calibri" w:hAnsi="Calibri"/>
          <w:b w:val="0"/>
          <w:i w:val="0"/>
          <w:color w:val="243443"/>
          <w:sz w:val="22"/>
        </w:rPr>
        <w:t>Engineering: delivery slices, API/events, test strategy, observability, and open-decision owners assigned.</w:t>
      </w:r>
    </w:p>
    <w:sectPr w:rsidR="00FC693F" w:rsidRPr="0006063C" w:rsidSect="00034616">
      <w:headerReference w:type="default" r:id="rId9"/>
      <w:footerReference w:type="default" r:id="rId10"/>
      <w:pgSz w:w="12240" w:h="15840"/>
      <w:pgMar w:top="108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E6D78"/>
        <w:sz w:val="16"/>
      </w:rPr>
      <w:t xml:space="preserve">Developer Design v0.1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E6D78"/>
        <w:sz w:val="16"/>
      </w:rPr>
      <w:t>PREDICTIVEEDGE  /  PAPER TRADING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34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E6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bCs/>
      <w:i/>
      <w:color w:val="5E6D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