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edictiveedge-system-architecture-v1.0"/>
    <w:p>
      <w:pPr>
        <w:pStyle w:val="Heading1"/>
      </w:pPr>
      <w:r>
        <w:t xml:space="preserve">PredictiveEdge System Architecture 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Review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PredictiveEdge Architecture Team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July 2026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high-level system architecture of PredictiveEdge.</w:t>
      </w:r>
    </w:p>
    <w:p>
      <w:pPr>
        <w:pStyle w:val="BodyText"/>
      </w:pPr>
      <w:r>
        <w:t xml:space="preserve">It serves as the primary architectural reference for all contributors and establishes the boundaries, responsibilities, and interactions between major components of the platform.</w:t>
      </w:r>
    </w:p>
    <w:p>
      <w:pPr>
        <w:pStyle w:val="BodyText"/>
      </w:pPr>
      <w:r>
        <w:t xml:space="preserve">All future architecture decisions, modules, APIs, and plugins should align with this document.</w:t>
      </w:r>
    </w:p>
    <w:p>
      <w:r>
        <w:pict>
          <v:rect style="width:0;height:1.5pt" o:hralign="center" o:hrstd="t" o:hr="t"/>
        </w:pict>
      </w:r>
    </w:p>
    <w:bookmarkEnd w:id="21"/>
    <w:bookmarkStart w:id="22" w:name="product-vision"/>
    <w:p>
      <w:pPr>
        <w:pStyle w:val="Heading1"/>
      </w:pPr>
      <w:r>
        <w:t xml:space="preserve">2. Product Vision</w:t>
      </w:r>
    </w:p>
    <w:p>
      <w:pPr>
        <w:pStyle w:val="FirstParagraph"/>
      </w:pPr>
      <w:r>
        <w:t xml:space="preserve">PredictiveEdge is an</w:t>
      </w:r>
      <w:r>
        <w:t xml:space="preserve"> </w:t>
      </w:r>
      <w:r>
        <w:rPr>
          <w:b/>
          <w:bCs/>
        </w:rPr>
        <w:t xml:space="preserve">Open Source AI Trading Intelligence Platform</w:t>
      </w:r>
      <w:r>
        <w:t xml:space="preserve">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not a broker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 a trading exchange</w:t>
      </w:r>
      <w:r>
        <w:t xml:space="preserve">.</w:t>
      </w:r>
    </w:p>
    <w:p>
      <w:pPr>
        <w:pStyle w:val="BodyText"/>
      </w:pPr>
      <w:r>
        <w:t xml:space="preserve">Instead, it provides an intelligent decision layer above existing brokers to help traders make better decisions before, during, and after every trade.</w:t>
      </w:r>
    </w:p>
    <w:p>
      <w:r>
        <w:pict>
          <v:rect style="width:0;height:1.5pt" o:hralign="center" o:hrstd="t" o:hr="t"/>
        </w:pict>
      </w:r>
    </w:p>
    <w:bookmarkEnd w:id="22"/>
    <w:bookmarkStart w:id="23" w:name="primary-goals"/>
    <w:p>
      <w:pPr>
        <w:pStyle w:val="Heading1"/>
      </w:pPr>
      <w:r>
        <w:t xml:space="preserve">3. Primary Goals</w:t>
      </w:r>
    </w:p>
    <w:p>
      <w:pPr>
        <w:pStyle w:val="FirstParagraph"/>
      </w:pPr>
      <w:r>
        <w:t xml:space="preserve">The platform aims to:</w:t>
      </w:r>
    </w:p>
    <w:p>
      <w:pPr>
        <w:pStyle w:val="Compact"/>
        <w:numPr>
          <w:ilvl w:val="0"/>
          <w:numId w:val="1001"/>
        </w:numPr>
      </w:pPr>
      <w:r>
        <w:t xml:space="preserve">Deliver AI-assisted trade analysis.</w:t>
      </w:r>
    </w:p>
    <w:p>
      <w:pPr>
        <w:pStyle w:val="Compact"/>
        <w:numPr>
          <w:ilvl w:val="0"/>
          <w:numId w:val="1001"/>
        </w:numPr>
      </w:pPr>
      <w:r>
        <w:t xml:space="preserve">Support multiple brokers through a common abstraction layer.</w:t>
      </w:r>
    </w:p>
    <w:p>
      <w:pPr>
        <w:pStyle w:val="Compact"/>
        <w:numPr>
          <w:ilvl w:val="0"/>
          <w:numId w:val="1001"/>
        </w:numPr>
      </w:pPr>
      <w:r>
        <w:t xml:space="preserve">Remain broker-independent.</w:t>
      </w:r>
    </w:p>
    <w:p>
      <w:pPr>
        <w:pStyle w:val="Compact"/>
        <w:numPr>
          <w:ilvl w:val="0"/>
          <w:numId w:val="1001"/>
        </w:numPr>
      </w:pPr>
      <w:r>
        <w:t xml:space="preserve">Provide explainable AI rather than black-box recommendations.</w:t>
      </w:r>
    </w:p>
    <w:p>
      <w:pPr>
        <w:pStyle w:val="Compact"/>
        <w:numPr>
          <w:ilvl w:val="0"/>
          <w:numId w:val="1001"/>
        </w:numPr>
      </w:pPr>
      <w:r>
        <w:t xml:space="preserve">Enable both retail and professional traders.</w:t>
      </w:r>
    </w:p>
    <w:p>
      <w:pPr>
        <w:pStyle w:val="Compact"/>
        <w:numPr>
          <w:ilvl w:val="0"/>
          <w:numId w:val="1001"/>
        </w:numPr>
      </w:pPr>
      <w:r>
        <w:t xml:space="preserve">Build a community-driven open-source ecosystem.</w:t>
      </w:r>
    </w:p>
    <w:p>
      <w:r>
        <w:pict>
          <v:rect style="width:0;height:1.5pt" o:hralign="center" o:hrstd="t" o:hr="t"/>
        </w:pict>
      </w:r>
    </w:p>
    <w:bookmarkEnd w:id="23"/>
    <w:bookmarkStart w:id="29" w:name="core-principles"/>
    <w:p>
      <w:pPr>
        <w:pStyle w:val="Heading1"/>
      </w:pPr>
      <w:r>
        <w:t xml:space="preserve">4. Core Principles</w:t>
      </w:r>
    </w:p>
    <w:bookmarkStart w:id="24" w:name="broker-independence"/>
    <w:p>
      <w:pPr>
        <w:pStyle w:val="Heading2"/>
      </w:pPr>
      <w:r>
        <w:t xml:space="preserve">4.1 Broker Independence</w:t>
      </w:r>
    </w:p>
    <w:p>
      <w:pPr>
        <w:pStyle w:val="FirstParagraph"/>
      </w:pPr>
      <w:r>
        <w:t xml:space="preserve">PredictiveEdge must never depend on a specific broker.</w:t>
      </w:r>
    </w:p>
    <w:p>
      <w:pPr>
        <w:pStyle w:val="BodyText"/>
      </w:pPr>
      <w:r>
        <w:t xml:space="preserve">All broker integrations must be implemented as plugins using the Broker Adapter Framework.</w:t>
      </w:r>
    </w:p>
    <w:p>
      <w:r>
        <w:pict>
          <v:rect style="width:0;height:1.5pt" o:hralign="center" o:hrstd="t" o:hr="t"/>
        </w:pict>
      </w:r>
    </w:p>
    <w:bookmarkEnd w:id="24"/>
    <w:bookmarkStart w:id="25" w:name="ai-is-advisory-by-default"/>
    <w:p>
      <w:pPr>
        <w:pStyle w:val="Heading2"/>
      </w:pPr>
      <w:r>
        <w:t xml:space="preserve">4.2 AI is Advisory by Default</w:t>
      </w:r>
    </w:p>
    <w:p>
      <w:pPr>
        <w:pStyle w:val="FirstParagraph"/>
      </w:pPr>
      <w:r>
        <w:t xml:space="preserve">AI assists traders by analysing opportunities and risk.</w:t>
      </w:r>
    </w:p>
    <w:p>
      <w:pPr>
        <w:pStyle w:val="BodyText"/>
      </w:pPr>
      <w:r>
        <w:t xml:space="preserve">The trader remains in control of execution.</w:t>
      </w:r>
    </w:p>
    <w:p>
      <w:pPr>
        <w:pStyle w:val="BodyText"/>
      </w:pPr>
      <w:r>
        <w:t xml:space="preserve">Optionally, users may enable AI-assisted execution through configurable settings.</w:t>
      </w:r>
    </w:p>
    <w:p>
      <w:r>
        <w:pict>
          <v:rect style="width:0;height:1.5pt" o:hralign="center" o:hrstd="t" o:hr="t"/>
        </w:pict>
      </w:r>
    </w:p>
    <w:bookmarkEnd w:id="25"/>
    <w:bookmarkStart w:id="26" w:name="explainable-decisions"/>
    <w:p>
      <w:pPr>
        <w:pStyle w:val="Heading2"/>
      </w:pPr>
      <w:r>
        <w:t xml:space="preserve">4.3 Explainable Decisions</w:t>
      </w:r>
    </w:p>
    <w:p>
      <w:pPr>
        <w:pStyle w:val="FirstParagraph"/>
      </w:pPr>
      <w:r>
        <w:t xml:space="preserve">Every AI recommendation must include:</w:t>
      </w:r>
    </w:p>
    <w:p>
      <w:pPr>
        <w:pStyle w:val="Compact"/>
        <w:numPr>
          <w:ilvl w:val="0"/>
          <w:numId w:val="1002"/>
        </w:numPr>
      </w:pPr>
      <w:r>
        <w:t xml:space="preserve">Reasoning</w:t>
      </w:r>
    </w:p>
    <w:p>
      <w:pPr>
        <w:pStyle w:val="Compact"/>
        <w:numPr>
          <w:ilvl w:val="0"/>
          <w:numId w:val="1002"/>
        </w:numPr>
      </w:pPr>
      <w:r>
        <w:t xml:space="preserve">Confidence Score</w:t>
      </w:r>
    </w:p>
    <w:p>
      <w:pPr>
        <w:pStyle w:val="Compact"/>
        <w:numPr>
          <w:ilvl w:val="0"/>
          <w:numId w:val="1002"/>
        </w:numPr>
      </w:pPr>
      <w:r>
        <w:t xml:space="preserve">Supporting indicators</w:t>
      </w:r>
    </w:p>
    <w:p>
      <w:pPr>
        <w:pStyle w:val="Compact"/>
        <w:numPr>
          <w:ilvl w:val="0"/>
          <w:numId w:val="1002"/>
        </w:numPr>
      </w:pPr>
      <w:r>
        <w:t xml:space="preserve">Risk analysis</w:t>
      </w:r>
    </w:p>
    <w:p>
      <w:pPr>
        <w:pStyle w:val="Compact"/>
        <w:numPr>
          <w:ilvl w:val="0"/>
          <w:numId w:val="1002"/>
        </w:numPr>
      </w:pPr>
      <w:r>
        <w:t xml:space="preserve">Suggested stop-loss levels</w:t>
      </w:r>
    </w:p>
    <w:p>
      <w:pPr>
        <w:pStyle w:val="Compact"/>
        <w:numPr>
          <w:ilvl w:val="0"/>
          <w:numId w:val="1002"/>
        </w:numPr>
      </w:pPr>
      <w:r>
        <w:t xml:space="preserve">Suggested target levels</w:t>
      </w:r>
    </w:p>
    <w:p>
      <w:r>
        <w:pict>
          <v:rect style="width:0;height:1.5pt" o:hralign="center" o:hrstd="t" o:hr="t"/>
        </w:pict>
      </w:r>
    </w:p>
    <w:bookmarkEnd w:id="26"/>
    <w:bookmarkStart w:id="27" w:name="event-driven-design"/>
    <w:p>
      <w:pPr>
        <w:pStyle w:val="Heading2"/>
      </w:pPr>
      <w:r>
        <w:t xml:space="preserve">4.4 Event-Driven Design</w:t>
      </w:r>
    </w:p>
    <w:p>
      <w:pPr>
        <w:pStyle w:val="FirstParagraph"/>
      </w:pPr>
      <w:r>
        <w:t xml:space="preserve">Market events, broker events, AI events, and portfolio events are exchanged through an internal event model to keep modules loosely coupled.</w:t>
      </w:r>
    </w:p>
    <w:p>
      <w:r>
        <w:pict>
          <v:rect style="width:0;height:1.5pt" o:hralign="center" o:hrstd="t" o:hr="t"/>
        </w:pict>
      </w:r>
    </w:p>
    <w:bookmarkEnd w:id="27"/>
    <w:bookmarkStart w:id="28" w:name="plugin-first"/>
    <w:p>
      <w:pPr>
        <w:pStyle w:val="Heading2"/>
      </w:pPr>
      <w:r>
        <w:t xml:space="preserve">4.5 Plugin First</w:t>
      </w:r>
    </w:p>
    <w:p>
      <w:pPr>
        <w:pStyle w:val="FirstParagraph"/>
      </w:pPr>
      <w:r>
        <w:t xml:space="preserve">Every external integration should be replaceable.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3"/>
        </w:numPr>
      </w:pPr>
      <w:r>
        <w:t xml:space="preserve">Brokers</w:t>
      </w:r>
    </w:p>
    <w:p>
      <w:pPr>
        <w:pStyle w:val="Compact"/>
        <w:numPr>
          <w:ilvl w:val="0"/>
          <w:numId w:val="1003"/>
        </w:numPr>
      </w:pPr>
      <w:r>
        <w:t xml:space="preserve">AI Providers</w:t>
      </w:r>
    </w:p>
    <w:p>
      <w:pPr>
        <w:pStyle w:val="Compact"/>
        <w:numPr>
          <w:ilvl w:val="0"/>
          <w:numId w:val="1003"/>
        </w:numPr>
      </w:pPr>
      <w:r>
        <w:t xml:space="preserve">Market Data Providers</w:t>
      </w:r>
    </w:p>
    <w:p>
      <w:pPr>
        <w:pStyle w:val="Compact"/>
        <w:numPr>
          <w:ilvl w:val="0"/>
          <w:numId w:val="1003"/>
        </w:numPr>
      </w:pPr>
      <w:r>
        <w:t xml:space="preserve">Notification Providers</w:t>
      </w:r>
    </w:p>
    <w:p>
      <w:pPr>
        <w:pStyle w:val="Compact"/>
        <w:numPr>
          <w:ilvl w:val="0"/>
          <w:numId w:val="1003"/>
        </w:numPr>
      </w:pPr>
      <w:r>
        <w:t xml:space="preserve">Authentication Providers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high-level-architecture"/>
    <w:p>
      <w:pPr>
        <w:pStyle w:val="Heading1"/>
      </w:pPr>
      <w:r>
        <w:t xml:space="preserve">5. High-Level Architecture</w:t>
      </w:r>
    </w:p>
    <w:p>
      <w:pPr>
        <w:pStyle w:val="FirstParagraph"/>
      </w:pPr>
      <w:r>
        <w:t xml:space="preserve">The platform consists of six logical layers:</w:t>
      </w:r>
    </w:p>
    <w:p>
      <w:pPr>
        <w:pStyle w:val="Compact"/>
        <w:numPr>
          <w:ilvl w:val="0"/>
          <w:numId w:val="1004"/>
        </w:numPr>
      </w:pPr>
      <w:r>
        <w:t xml:space="preserve">Presentation Layer</w:t>
      </w:r>
    </w:p>
    <w:p>
      <w:pPr>
        <w:pStyle w:val="Compact"/>
        <w:numPr>
          <w:ilvl w:val="0"/>
          <w:numId w:val="1004"/>
        </w:numPr>
      </w:pPr>
      <w:r>
        <w:t xml:space="preserve">Application Layer</w:t>
      </w:r>
    </w:p>
    <w:p>
      <w:pPr>
        <w:pStyle w:val="Compact"/>
        <w:numPr>
          <w:ilvl w:val="0"/>
          <w:numId w:val="1004"/>
        </w:numPr>
      </w:pPr>
      <w:r>
        <w:t xml:space="preserve">Trading Intelligence Layer</w:t>
      </w:r>
    </w:p>
    <w:p>
      <w:pPr>
        <w:pStyle w:val="Compact"/>
        <w:numPr>
          <w:ilvl w:val="0"/>
          <w:numId w:val="1004"/>
        </w:numPr>
      </w:pPr>
      <w:r>
        <w:t xml:space="preserve">Trade Execution Gateway</w:t>
      </w:r>
    </w:p>
    <w:p>
      <w:pPr>
        <w:pStyle w:val="Compact"/>
        <w:numPr>
          <w:ilvl w:val="0"/>
          <w:numId w:val="1004"/>
        </w:numPr>
      </w:pPr>
      <w:r>
        <w:t xml:space="preserve">Broker Adapter Framework</w:t>
      </w:r>
    </w:p>
    <w:p>
      <w:pPr>
        <w:pStyle w:val="Compact"/>
        <w:numPr>
          <w:ilvl w:val="0"/>
          <w:numId w:val="1004"/>
        </w:numPr>
      </w:pPr>
      <w:r>
        <w:t xml:space="preserve">Infrastructure Layer</w:t>
      </w:r>
    </w:p>
    <w:p>
      <w:pPr>
        <w:pStyle w:val="FirstParagraph"/>
      </w:pPr>
      <w:r>
        <w:t xml:space="preserve">Each layer has a clearly defined responsibility and communicates only through well-defined interfaces.</w:t>
      </w:r>
    </w:p>
    <w:p>
      <w:r>
        <w:pict>
          <v:rect style="width:0;height:1.5pt" o:hralign="center" o:hrstd="t" o:hr="t"/>
        </w:pict>
      </w:r>
    </w:p>
    <w:bookmarkEnd w:id="30"/>
    <w:bookmarkStart w:id="37" w:name="layer-responsibilities"/>
    <w:p>
      <w:pPr>
        <w:pStyle w:val="Heading1"/>
      </w:pPr>
      <w:r>
        <w:t xml:space="preserve">6. Layer Responsibilities</w:t>
      </w:r>
    </w:p>
    <w:bookmarkStart w:id="31" w:name="presentation-layer"/>
    <w:p>
      <w:pPr>
        <w:pStyle w:val="Heading2"/>
      </w:pPr>
      <w:r>
        <w:t xml:space="preserve">6.1 Presentation Layer</w:t>
      </w:r>
    </w:p>
    <w:p>
      <w:pPr>
        <w:pStyle w:val="FirstParagraph"/>
      </w:pPr>
      <w:r>
        <w:t xml:space="preserve">Provides user interaction.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Web application</w:t>
      </w:r>
    </w:p>
    <w:p>
      <w:pPr>
        <w:pStyle w:val="Compact"/>
        <w:numPr>
          <w:ilvl w:val="0"/>
          <w:numId w:val="1005"/>
        </w:numPr>
      </w:pPr>
      <w:r>
        <w:t xml:space="preserve">Mobile application (future)</w:t>
      </w:r>
    </w:p>
    <w:p>
      <w:pPr>
        <w:pStyle w:val="Compact"/>
        <w:numPr>
          <w:ilvl w:val="0"/>
          <w:numId w:val="1005"/>
        </w:numPr>
      </w:pPr>
      <w:r>
        <w:t xml:space="preserve">REST API</w:t>
      </w:r>
    </w:p>
    <w:p>
      <w:pPr>
        <w:pStyle w:val="Compact"/>
        <w:numPr>
          <w:ilvl w:val="0"/>
          <w:numId w:val="1005"/>
        </w:numPr>
      </w:pPr>
      <w:r>
        <w:t xml:space="preserve">WebSocket updates</w:t>
      </w:r>
    </w:p>
    <w:p>
      <w:pPr>
        <w:pStyle w:val="Compact"/>
        <w:numPr>
          <w:ilvl w:val="0"/>
          <w:numId w:val="1005"/>
        </w:numPr>
      </w:pPr>
      <w:r>
        <w:t xml:space="preserve">User dashboards</w:t>
      </w:r>
    </w:p>
    <w:p>
      <w:pPr>
        <w:pStyle w:val="FirstParagraph"/>
      </w:pPr>
      <w:r>
        <w:t xml:space="preserve">Technology (initial):</w:t>
      </w:r>
    </w:p>
    <w:p>
      <w:pPr>
        <w:pStyle w:val="Compact"/>
        <w:numPr>
          <w:ilvl w:val="0"/>
          <w:numId w:val="1006"/>
        </w:numPr>
      </w:pPr>
      <w:r>
        <w:t xml:space="preserve">React</w:t>
      </w:r>
    </w:p>
    <w:p>
      <w:pPr>
        <w:pStyle w:val="Compact"/>
        <w:numPr>
          <w:ilvl w:val="0"/>
          <w:numId w:val="1006"/>
        </w:numPr>
      </w:pPr>
      <w:r>
        <w:t xml:space="preserve">TypeScript</w:t>
      </w:r>
    </w:p>
    <w:p>
      <w:pPr>
        <w:pStyle w:val="Compact"/>
        <w:numPr>
          <w:ilvl w:val="0"/>
          <w:numId w:val="1006"/>
        </w:numPr>
      </w:pPr>
      <w:r>
        <w:t xml:space="preserve">Progressive Web App</w:t>
      </w:r>
    </w:p>
    <w:p>
      <w:r>
        <w:pict>
          <v:rect style="width:0;height:1.5pt" o:hralign="center" o:hrstd="t" o:hr="t"/>
        </w:pict>
      </w:r>
    </w:p>
    <w:bookmarkEnd w:id="31"/>
    <w:bookmarkStart w:id="32" w:name="application-layer"/>
    <w:p>
      <w:pPr>
        <w:pStyle w:val="Heading2"/>
      </w:pPr>
      <w:r>
        <w:t xml:space="preserve">6.2 Application Layer</w:t>
      </w:r>
    </w:p>
    <w:p>
      <w:pPr>
        <w:pStyle w:val="FirstParagraph"/>
      </w:pPr>
      <w:r>
        <w:t xml:space="preserve">Coordinates user-facing business capabilities.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Authentication</w:t>
      </w:r>
    </w:p>
    <w:p>
      <w:pPr>
        <w:pStyle w:val="Compact"/>
        <w:numPr>
          <w:ilvl w:val="0"/>
          <w:numId w:val="1007"/>
        </w:numPr>
      </w:pPr>
      <w:r>
        <w:t xml:space="preserve">User Profiles</w:t>
      </w:r>
    </w:p>
    <w:p>
      <w:pPr>
        <w:pStyle w:val="Compact"/>
        <w:numPr>
          <w:ilvl w:val="0"/>
          <w:numId w:val="1007"/>
        </w:numPr>
      </w:pPr>
      <w:r>
        <w:t xml:space="preserve">Portfolio</w:t>
      </w:r>
    </w:p>
    <w:p>
      <w:pPr>
        <w:pStyle w:val="Compact"/>
        <w:numPr>
          <w:ilvl w:val="0"/>
          <w:numId w:val="1007"/>
        </w:numPr>
      </w:pPr>
      <w:r>
        <w:t xml:space="preserve">Watchlists</w:t>
      </w:r>
    </w:p>
    <w:p>
      <w:pPr>
        <w:pStyle w:val="Compact"/>
        <w:numPr>
          <w:ilvl w:val="0"/>
          <w:numId w:val="1007"/>
        </w:numPr>
      </w:pPr>
      <w:r>
        <w:t xml:space="preserve">Alerts</w:t>
      </w:r>
    </w:p>
    <w:p>
      <w:pPr>
        <w:pStyle w:val="Compact"/>
        <w:numPr>
          <w:ilvl w:val="0"/>
          <w:numId w:val="1007"/>
        </w:numPr>
      </w:pPr>
      <w:r>
        <w:t xml:space="preserve">Notifications</w:t>
      </w:r>
    </w:p>
    <w:p>
      <w:pPr>
        <w:pStyle w:val="Compact"/>
        <w:numPr>
          <w:ilvl w:val="0"/>
          <w:numId w:val="1007"/>
        </w:numPr>
      </w:pPr>
      <w:r>
        <w:t xml:space="preserve">Workspace Management</w:t>
      </w:r>
    </w:p>
    <w:p>
      <w:pPr>
        <w:pStyle w:val="Compact"/>
        <w:numPr>
          <w:ilvl w:val="0"/>
          <w:numId w:val="1007"/>
        </w:numPr>
      </w:pPr>
      <w:r>
        <w:t xml:space="preserve">User Settings</w:t>
      </w:r>
    </w:p>
    <w:p>
      <w:pPr>
        <w:pStyle w:val="FirstParagraph"/>
      </w:pPr>
      <w:r>
        <w:t xml:space="preserve">This layer does not perform AI analysis or broker communication directly.</w:t>
      </w:r>
    </w:p>
    <w:p>
      <w:r>
        <w:pict>
          <v:rect style="width:0;height:1.5pt" o:hralign="center" o:hrstd="t" o:hr="t"/>
        </w:pict>
      </w:r>
    </w:p>
    <w:bookmarkEnd w:id="32"/>
    <w:bookmarkStart w:id="33" w:name="trading-intelligence-layer"/>
    <w:p>
      <w:pPr>
        <w:pStyle w:val="Heading2"/>
      </w:pPr>
      <w:r>
        <w:t xml:space="preserve">6.3 Trading Intelligence Layer</w:t>
      </w:r>
    </w:p>
    <w:p>
      <w:pPr>
        <w:pStyle w:val="FirstParagraph"/>
      </w:pPr>
      <w:r>
        <w:t xml:space="preserve">This is the core of PredictiveEdge.</w:t>
      </w:r>
    </w:p>
    <w:p>
      <w:pPr>
        <w:pStyle w:val="BodyText"/>
      </w:pPr>
      <w:r>
        <w:t xml:space="preserve">Responsibilities include:</w:t>
      </w:r>
    </w:p>
    <w:p>
      <w:pPr>
        <w:pStyle w:val="Compact"/>
        <w:numPr>
          <w:ilvl w:val="0"/>
          <w:numId w:val="1008"/>
        </w:numPr>
      </w:pPr>
      <w:r>
        <w:t xml:space="preserve">AI Decision Engine</w:t>
      </w:r>
    </w:p>
    <w:p>
      <w:pPr>
        <w:pStyle w:val="Compact"/>
        <w:numPr>
          <w:ilvl w:val="0"/>
          <w:numId w:val="1008"/>
        </w:numPr>
      </w:pPr>
      <w:r>
        <w:t xml:space="preserve">Strategy Engine</w:t>
      </w:r>
    </w:p>
    <w:p>
      <w:pPr>
        <w:pStyle w:val="Compact"/>
        <w:numPr>
          <w:ilvl w:val="0"/>
          <w:numId w:val="1008"/>
        </w:numPr>
      </w:pPr>
      <w:r>
        <w:t xml:space="preserve">Risk Engine</w:t>
      </w:r>
    </w:p>
    <w:p>
      <w:pPr>
        <w:pStyle w:val="Compact"/>
        <w:numPr>
          <w:ilvl w:val="0"/>
          <w:numId w:val="1008"/>
        </w:numPr>
      </w:pPr>
      <w:r>
        <w:t xml:space="preserve">Scanner Engine</w:t>
      </w:r>
    </w:p>
    <w:p>
      <w:pPr>
        <w:pStyle w:val="Compact"/>
        <w:numPr>
          <w:ilvl w:val="0"/>
          <w:numId w:val="1008"/>
        </w:numPr>
      </w:pPr>
      <w:r>
        <w:t xml:space="preserve">Indicator Engine</w:t>
      </w:r>
    </w:p>
    <w:p>
      <w:pPr>
        <w:pStyle w:val="Compact"/>
        <w:numPr>
          <w:ilvl w:val="0"/>
          <w:numId w:val="1008"/>
        </w:numPr>
      </w:pPr>
      <w:r>
        <w:t xml:space="preserve">Pattern Recognition</w:t>
      </w:r>
    </w:p>
    <w:p>
      <w:pPr>
        <w:pStyle w:val="Compact"/>
        <w:numPr>
          <w:ilvl w:val="0"/>
          <w:numId w:val="1008"/>
        </w:numPr>
      </w:pPr>
      <w:r>
        <w:t xml:space="preserve">News &amp; Sentiment Analysis</w:t>
      </w:r>
    </w:p>
    <w:p>
      <w:pPr>
        <w:pStyle w:val="Compact"/>
        <w:numPr>
          <w:ilvl w:val="0"/>
          <w:numId w:val="1008"/>
        </w:numPr>
      </w:pPr>
      <w:r>
        <w:t xml:space="preserve">Portfolio Intelligence</w:t>
      </w:r>
    </w:p>
    <w:p>
      <w:pPr>
        <w:pStyle w:val="Compact"/>
        <w:numPr>
          <w:ilvl w:val="0"/>
          <w:numId w:val="1008"/>
        </w:numPr>
      </w:pPr>
      <w:r>
        <w:t xml:space="preserve">Backtesting</w:t>
      </w:r>
    </w:p>
    <w:p>
      <w:pPr>
        <w:pStyle w:val="Compact"/>
        <w:numPr>
          <w:ilvl w:val="0"/>
          <w:numId w:val="1008"/>
        </w:numPr>
      </w:pPr>
      <w:r>
        <w:t xml:space="preserve">Explainable AI</w:t>
      </w:r>
    </w:p>
    <w:p>
      <w:pPr>
        <w:pStyle w:val="Compact"/>
        <w:numPr>
          <w:ilvl w:val="0"/>
          <w:numId w:val="1008"/>
        </w:numPr>
      </w:pPr>
      <w:r>
        <w:t xml:space="preserve">Trade Planner</w:t>
      </w:r>
    </w:p>
    <w:p>
      <w:pPr>
        <w:pStyle w:val="Compact"/>
        <w:numPr>
          <w:ilvl w:val="0"/>
          <w:numId w:val="1008"/>
        </w:numPr>
      </w:pPr>
      <w:r>
        <w:t xml:space="preserve">Trade Passport Generation</w:t>
      </w:r>
    </w:p>
    <w:p>
      <w:pPr>
        <w:pStyle w:val="FirstParagraph"/>
      </w:pPr>
      <w:r>
        <w:t xml:space="preserve">No direct broker communication occurs in this layer.</w:t>
      </w:r>
    </w:p>
    <w:p>
      <w:r>
        <w:pict>
          <v:rect style="width:0;height:1.5pt" o:hralign="center" o:hrstd="t" o:hr="t"/>
        </w:pict>
      </w:r>
    </w:p>
    <w:bookmarkEnd w:id="33"/>
    <w:bookmarkStart w:id="34" w:name="trade-execution-gateway"/>
    <w:p>
      <w:pPr>
        <w:pStyle w:val="Heading2"/>
      </w:pPr>
      <w:r>
        <w:t xml:space="preserve">6.4 Trade Execution Gateway</w:t>
      </w:r>
    </w:p>
    <w:p>
      <w:pPr>
        <w:pStyle w:val="FirstParagraph"/>
      </w:pPr>
      <w:r>
        <w:t xml:space="preserve">Acts as the safety boundary between AI recommendations and broker execution.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Validate orders</w:t>
      </w:r>
    </w:p>
    <w:p>
      <w:pPr>
        <w:pStyle w:val="Compact"/>
        <w:numPr>
          <w:ilvl w:val="0"/>
          <w:numId w:val="1009"/>
        </w:numPr>
      </w:pPr>
      <w:r>
        <w:t xml:space="preserve">Apply user preferences</w:t>
      </w:r>
    </w:p>
    <w:p>
      <w:pPr>
        <w:pStyle w:val="Compact"/>
        <w:numPr>
          <w:ilvl w:val="0"/>
          <w:numId w:val="1009"/>
        </w:numPr>
      </w:pPr>
      <w:r>
        <w:t xml:space="preserve">Apply risk limits</w:t>
      </w:r>
    </w:p>
    <w:p>
      <w:pPr>
        <w:pStyle w:val="Compact"/>
        <w:numPr>
          <w:ilvl w:val="0"/>
          <w:numId w:val="1009"/>
        </w:numPr>
      </w:pPr>
      <w:r>
        <w:t xml:space="preserve">Calculate position size</w:t>
      </w:r>
    </w:p>
    <w:p>
      <w:pPr>
        <w:pStyle w:val="Compact"/>
        <w:numPr>
          <w:ilvl w:val="0"/>
          <w:numId w:val="1009"/>
        </w:numPr>
      </w:pPr>
      <w:r>
        <w:t xml:space="preserve">Generate Stop Loss (SL1, SL2, SL3)</w:t>
      </w:r>
    </w:p>
    <w:p>
      <w:pPr>
        <w:pStyle w:val="Compact"/>
        <w:numPr>
          <w:ilvl w:val="0"/>
          <w:numId w:val="1009"/>
        </w:numPr>
      </w:pPr>
      <w:r>
        <w:t xml:space="preserve">Generate Targets (T1, T2, T3)</w:t>
      </w:r>
    </w:p>
    <w:p>
      <w:pPr>
        <w:pStyle w:val="Compact"/>
        <w:numPr>
          <w:ilvl w:val="0"/>
          <w:numId w:val="1009"/>
        </w:numPr>
      </w:pPr>
      <w:r>
        <w:t xml:space="preserve">Create Bracket/OCO orders (where supported)</w:t>
      </w:r>
    </w:p>
    <w:p>
      <w:pPr>
        <w:pStyle w:val="Compact"/>
        <w:numPr>
          <w:ilvl w:val="0"/>
          <w:numId w:val="1009"/>
        </w:numPr>
      </w:pPr>
      <w:r>
        <w:t xml:space="preserve">Prevent duplicate execution</w:t>
      </w:r>
    </w:p>
    <w:p>
      <w:pPr>
        <w:pStyle w:val="Compact"/>
        <w:numPr>
          <w:ilvl w:val="0"/>
          <w:numId w:val="1009"/>
        </w:numPr>
      </w:pPr>
      <w:r>
        <w:t xml:space="preserve">Record execution audit</w:t>
      </w:r>
    </w:p>
    <w:p>
      <w:pPr>
        <w:pStyle w:val="FirstParagraph"/>
      </w:pPr>
      <w:r>
        <w:t xml:space="preserve">Every trade passes through this gateway.</w:t>
      </w:r>
    </w:p>
    <w:p>
      <w:r>
        <w:pict>
          <v:rect style="width:0;height:1.5pt" o:hralign="center" o:hrstd="t" o:hr="t"/>
        </w:pict>
      </w:r>
    </w:p>
    <w:bookmarkEnd w:id="34"/>
    <w:bookmarkStart w:id="35" w:name="broker-adapter-framework"/>
    <w:p>
      <w:pPr>
        <w:pStyle w:val="Heading2"/>
      </w:pPr>
      <w:r>
        <w:t xml:space="preserve">6.5 Broker Adapter Framework</w:t>
      </w:r>
    </w:p>
    <w:p>
      <w:pPr>
        <w:pStyle w:val="FirstParagraph"/>
      </w:pPr>
      <w:r>
        <w:t xml:space="preserve">Provides a common interface for all supported brokers.</w:t>
      </w:r>
    </w:p>
    <w:p>
      <w:pPr>
        <w:pStyle w:val="BodyText"/>
      </w:pPr>
      <w:r>
        <w:t xml:space="preserve">Initial adapters:</w:t>
      </w:r>
    </w:p>
    <w:p>
      <w:pPr>
        <w:pStyle w:val="Compact"/>
        <w:numPr>
          <w:ilvl w:val="0"/>
          <w:numId w:val="1010"/>
        </w:numPr>
      </w:pPr>
      <w:r>
        <w:t xml:space="preserve">FYERS</w:t>
      </w:r>
    </w:p>
    <w:p>
      <w:pPr>
        <w:pStyle w:val="Compact"/>
        <w:numPr>
          <w:ilvl w:val="0"/>
          <w:numId w:val="1010"/>
        </w:numPr>
      </w:pPr>
      <w:r>
        <w:t xml:space="preserve">Zerodha</w:t>
      </w:r>
    </w:p>
    <w:p>
      <w:pPr>
        <w:pStyle w:val="Compact"/>
        <w:numPr>
          <w:ilvl w:val="0"/>
          <w:numId w:val="1010"/>
        </w:numPr>
      </w:pPr>
      <w:r>
        <w:t xml:space="preserve">Groww</w:t>
      </w:r>
    </w:p>
    <w:p>
      <w:pPr>
        <w:pStyle w:val="Compact"/>
        <w:numPr>
          <w:ilvl w:val="0"/>
          <w:numId w:val="1010"/>
        </w:numPr>
      </w:pPr>
      <w:r>
        <w:t xml:space="preserve">Upstox</w:t>
      </w:r>
    </w:p>
    <w:p>
      <w:pPr>
        <w:pStyle w:val="Compact"/>
        <w:numPr>
          <w:ilvl w:val="0"/>
          <w:numId w:val="1010"/>
        </w:numPr>
      </w:pPr>
      <w:r>
        <w:t xml:space="preserve">Angel One</w:t>
      </w:r>
    </w:p>
    <w:p>
      <w:pPr>
        <w:pStyle w:val="Compact"/>
        <w:numPr>
          <w:ilvl w:val="0"/>
          <w:numId w:val="1010"/>
        </w:numPr>
      </w:pPr>
      <w:r>
        <w:t xml:space="preserve">Paper Trading</w:t>
      </w:r>
    </w:p>
    <w:p>
      <w:pPr>
        <w:pStyle w:val="FirstParagraph"/>
      </w:pPr>
      <w:r>
        <w:t xml:space="preserve">Future brokers can be added without changing the platform core.</w:t>
      </w:r>
    </w:p>
    <w:p>
      <w:r>
        <w:pict>
          <v:rect style="width:0;height:1.5pt" o:hralign="center" o:hrstd="t" o:hr="t"/>
        </w:pict>
      </w:r>
    </w:p>
    <w:bookmarkEnd w:id="35"/>
    <w:bookmarkStart w:id="36" w:name="infrastructure-layer"/>
    <w:p>
      <w:pPr>
        <w:pStyle w:val="Heading2"/>
      </w:pPr>
      <w:r>
        <w:t xml:space="preserve">6.6 Infrastructure Layer</w:t>
      </w:r>
    </w:p>
    <w:p>
      <w:pPr>
        <w:pStyle w:val="FirstParagraph"/>
      </w:pPr>
      <w:r>
        <w:t xml:space="preserve">Provides shared technical capabilities.</w:t>
      </w:r>
    </w:p>
    <w:p>
      <w:pPr>
        <w:pStyle w:val="BodyText"/>
      </w:pPr>
      <w:r>
        <w:t xml:space="preserve">Components include:</w:t>
      </w:r>
    </w:p>
    <w:p>
      <w:pPr>
        <w:pStyle w:val="Compact"/>
        <w:numPr>
          <w:ilvl w:val="0"/>
          <w:numId w:val="1011"/>
        </w:numPr>
      </w:pPr>
      <w:r>
        <w:t xml:space="preserve">PostgreSQL</w:t>
      </w:r>
    </w:p>
    <w:p>
      <w:pPr>
        <w:pStyle w:val="Compact"/>
        <w:numPr>
          <w:ilvl w:val="0"/>
          <w:numId w:val="1011"/>
        </w:numPr>
      </w:pPr>
      <w:r>
        <w:t xml:space="preserve">Redis</w:t>
      </w:r>
    </w:p>
    <w:p>
      <w:pPr>
        <w:pStyle w:val="Compact"/>
        <w:numPr>
          <w:ilvl w:val="0"/>
          <w:numId w:val="1011"/>
        </w:numPr>
      </w:pPr>
      <w:r>
        <w:t xml:space="preserve">Object Storage</w:t>
      </w:r>
    </w:p>
    <w:p>
      <w:pPr>
        <w:pStyle w:val="Compact"/>
        <w:numPr>
          <w:ilvl w:val="0"/>
          <w:numId w:val="1011"/>
        </w:numPr>
      </w:pPr>
      <w:r>
        <w:t xml:space="preserve">Event Streaming</w:t>
      </w:r>
    </w:p>
    <w:p>
      <w:pPr>
        <w:pStyle w:val="Compact"/>
        <w:numPr>
          <w:ilvl w:val="0"/>
          <w:numId w:val="1011"/>
        </w:numPr>
      </w:pPr>
      <w:r>
        <w:t xml:space="preserve">AI Model Runtime (Ollama)</w:t>
      </w:r>
    </w:p>
    <w:p>
      <w:pPr>
        <w:pStyle w:val="Compact"/>
        <w:numPr>
          <w:ilvl w:val="0"/>
          <w:numId w:val="1011"/>
        </w:numPr>
      </w:pPr>
      <w:r>
        <w:t xml:space="preserve">Cloud AI Providers</w:t>
      </w:r>
    </w:p>
    <w:p>
      <w:pPr>
        <w:pStyle w:val="Compact"/>
        <w:numPr>
          <w:ilvl w:val="0"/>
          <w:numId w:val="1011"/>
        </w:numPr>
      </w:pPr>
      <w:r>
        <w:t xml:space="preserve">Logging</w:t>
      </w:r>
    </w:p>
    <w:p>
      <w:pPr>
        <w:pStyle w:val="Compact"/>
        <w:numPr>
          <w:ilvl w:val="0"/>
          <w:numId w:val="1011"/>
        </w:numPr>
      </w:pPr>
      <w:r>
        <w:t xml:space="preserve">Monitoring</w:t>
      </w:r>
    </w:p>
    <w:p>
      <w:pPr>
        <w:pStyle w:val="Compact"/>
        <w:numPr>
          <w:ilvl w:val="0"/>
          <w:numId w:val="1011"/>
        </w:numPr>
      </w:pPr>
      <w:r>
        <w:t xml:space="preserve">Scheduler</w:t>
      </w:r>
    </w:p>
    <w:p>
      <w:pPr>
        <w:pStyle w:val="FirstParagraph"/>
      </w:pPr>
      <w:r>
        <w:t xml:space="preserve">Infrastructure services must remain independent from business logic.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xternal-systems"/>
    <w:p>
      <w:pPr>
        <w:pStyle w:val="Heading1"/>
      </w:pPr>
      <w:r>
        <w:t xml:space="preserve">7. External Systems</w:t>
      </w:r>
    </w:p>
    <w:p>
      <w:pPr>
        <w:pStyle w:val="FirstParagraph"/>
      </w:pPr>
      <w:r>
        <w:t xml:space="preserve">PredictiveEdge interacts with:</w:t>
      </w:r>
    </w:p>
    <w:p>
      <w:pPr>
        <w:pStyle w:val="Compact"/>
        <w:numPr>
          <w:ilvl w:val="0"/>
          <w:numId w:val="1012"/>
        </w:numPr>
      </w:pPr>
      <w:r>
        <w:t xml:space="preserve">Broker APIs</w:t>
      </w:r>
    </w:p>
    <w:p>
      <w:pPr>
        <w:pStyle w:val="Compact"/>
        <w:numPr>
          <w:ilvl w:val="0"/>
          <w:numId w:val="1012"/>
        </w:numPr>
      </w:pPr>
      <w:r>
        <w:t xml:space="preserve">Market Data Providers</w:t>
      </w:r>
    </w:p>
    <w:p>
      <w:pPr>
        <w:pStyle w:val="Compact"/>
        <w:numPr>
          <w:ilvl w:val="0"/>
          <w:numId w:val="1012"/>
        </w:numPr>
      </w:pPr>
      <w:r>
        <w:t xml:space="preserve">Stock Exchanges</w:t>
      </w:r>
    </w:p>
    <w:p>
      <w:pPr>
        <w:pStyle w:val="Compact"/>
        <w:numPr>
          <w:ilvl w:val="0"/>
          <w:numId w:val="1012"/>
        </w:numPr>
      </w:pPr>
      <w:r>
        <w:t xml:space="preserve">News Providers</w:t>
      </w:r>
    </w:p>
    <w:p>
      <w:pPr>
        <w:pStyle w:val="Compact"/>
        <w:numPr>
          <w:ilvl w:val="0"/>
          <w:numId w:val="1012"/>
        </w:numPr>
      </w:pPr>
      <w:r>
        <w:t xml:space="preserve">AI Providers</w:t>
      </w:r>
    </w:p>
    <w:p>
      <w:pPr>
        <w:pStyle w:val="Compact"/>
        <w:numPr>
          <w:ilvl w:val="0"/>
          <w:numId w:val="1012"/>
        </w:numPr>
      </w:pPr>
      <w:r>
        <w:t xml:space="preserve">Email Services</w:t>
      </w:r>
    </w:p>
    <w:p>
      <w:pPr>
        <w:pStyle w:val="Compact"/>
        <w:numPr>
          <w:ilvl w:val="0"/>
          <w:numId w:val="1012"/>
        </w:numPr>
      </w:pPr>
      <w:r>
        <w:t xml:space="preserve">SMS Providers</w:t>
      </w:r>
    </w:p>
    <w:p>
      <w:pPr>
        <w:pStyle w:val="Compact"/>
        <w:numPr>
          <w:ilvl w:val="0"/>
          <w:numId w:val="1012"/>
        </w:numPr>
      </w:pPr>
      <w:r>
        <w:t xml:space="preserve">Push Notification Services</w:t>
      </w:r>
    </w:p>
    <w:p>
      <w:pPr>
        <w:pStyle w:val="FirstParagraph"/>
      </w:pPr>
      <w:r>
        <w:t xml:space="preserve">These integrations are isolated through adapters.</w:t>
      </w:r>
    </w:p>
    <w:p>
      <w:r>
        <w:pict>
          <v:rect style="width:0;height:1.5pt" o:hralign="center" o:hrstd="t" o:hr="t"/>
        </w:pict>
      </w:r>
    </w:p>
    <w:bookmarkEnd w:id="38"/>
    <w:bookmarkStart w:id="39" w:name="trade-lifecycle"/>
    <w:p>
      <w:pPr>
        <w:pStyle w:val="Heading1"/>
      </w:pPr>
      <w:r>
        <w:t xml:space="preserve">8. Trade Lifecycle</w:t>
      </w:r>
    </w:p>
    <w:p>
      <w:pPr>
        <w:pStyle w:val="FirstParagraph"/>
      </w:pPr>
      <w:r>
        <w:t xml:space="preserve">A trade progresses through the following stages:</w:t>
      </w:r>
    </w:p>
    <w:p>
      <w:pPr>
        <w:pStyle w:val="Compact"/>
        <w:numPr>
          <w:ilvl w:val="0"/>
          <w:numId w:val="1013"/>
        </w:numPr>
      </w:pPr>
      <w:r>
        <w:t xml:space="preserve">Market Observation</w:t>
      </w:r>
    </w:p>
    <w:p>
      <w:pPr>
        <w:pStyle w:val="Compact"/>
        <w:numPr>
          <w:ilvl w:val="0"/>
          <w:numId w:val="1013"/>
        </w:numPr>
      </w:pPr>
      <w:r>
        <w:t xml:space="preserve">Opportunity Detection</w:t>
      </w:r>
    </w:p>
    <w:p>
      <w:pPr>
        <w:pStyle w:val="Compact"/>
        <w:numPr>
          <w:ilvl w:val="0"/>
          <w:numId w:val="1013"/>
        </w:numPr>
      </w:pPr>
      <w:r>
        <w:t xml:space="preserve">AI Analysis</w:t>
      </w:r>
    </w:p>
    <w:p>
      <w:pPr>
        <w:pStyle w:val="Compact"/>
        <w:numPr>
          <w:ilvl w:val="0"/>
          <w:numId w:val="1013"/>
        </w:numPr>
      </w:pPr>
      <w:r>
        <w:t xml:space="preserve">Risk Assessment</w:t>
      </w:r>
    </w:p>
    <w:p>
      <w:pPr>
        <w:pStyle w:val="Compact"/>
        <w:numPr>
          <w:ilvl w:val="0"/>
          <w:numId w:val="1013"/>
        </w:numPr>
      </w:pPr>
      <w:r>
        <w:t xml:space="preserve">Trade Plan Generation</w:t>
      </w:r>
    </w:p>
    <w:p>
      <w:pPr>
        <w:pStyle w:val="Compact"/>
        <w:numPr>
          <w:ilvl w:val="0"/>
          <w:numId w:val="1013"/>
        </w:numPr>
      </w:pPr>
      <w:r>
        <w:t xml:space="preserve">User Review (optional based on settings)</w:t>
      </w:r>
    </w:p>
    <w:p>
      <w:pPr>
        <w:pStyle w:val="Compact"/>
        <w:numPr>
          <w:ilvl w:val="0"/>
          <w:numId w:val="1013"/>
        </w:numPr>
      </w:pPr>
      <w:r>
        <w:t xml:space="preserve">Broker Execution</w:t>
      </w:r>
    </w:p>
    <w:p>
      <w:pPr>
        <w:pStyle w:val="Compact"/>
        <w:numPr>
          <w:ilvl w:val="0"/>
          <w:numId w:val="1013"/>
        </w:numPr>
      </w:pPr>
      <w:r>
        <w:t xml:space="preserve">Trade Monitoring</w:t>
      </w:r>
    </w:p>
    <w:p>
      <w:pPr>
        <w:pStyle w:val="Compact"/>
        <w:numPr>
          <w:ilvl w:val="0"/>
          <w:numId w:val="1013"/>
        </w:numPr>
      </w:pPr>
      <w:r>
        <w:t xml:space="preserve">Exit Recommendation</w:t>
      </w:r>
    </w:p>
    <w:p>
      <w:pPr>
        <w:pStyle w:val="Compact"/>
        <w:numPr>
          <w:ilvl w:val="0"/>
          <w:numId w:val="1013"/>
        </w:numPr>
      </w:pPr>
      <w:r>
        <w:t xml:space="preserve">Post-Trade Analysis</w:t>
      </w:r>
    </w:p>
    <w:p>
      <w:pPr>
        <w:pStyle w:val="Compact"/>
        <w:numPr>
          <w:ilvl w:val="0"/>
          <w:numId w:val="1013"/>
        </w:numPr>
      </w:pPr>
      <w:r>
        <w:t xml:space="preserve">Continuous Learning</w:t>
      </w:r>
    </w:p>
    <w:p>
      <w:pPr>
        <w:pStyle w:val="FirstParagraph"/>
      </w:pPr>
      <w:r>
        <w:t xml:space="preserve">This lifecycle forms the foundation for future automation.</w:t>
      </w:r>
    </w:p>
    <w:p>
      <w:r>
        <w:pict>
          <v:rect style="width:0;height:1.5pt" o:hralign="center" o:hrstd="t" o:hr="t"/>
        </w:pict>
      </w:r>
    </w:p>
    <w:bookmarkEnd w:id="39"/>
    <w:bookmarkStart w:id="40" w:name="architectural-constraints"/>
    <w:p>
      <w:pPr>
        <w:pStyle w:val="Heading1"/>
      </w:pPr>
      <w:r>
        <w:t xml:space="preserve">9. Architectural Constraints</w:t>
      </w:r>
    </w:p>
    <w:p>
      <w:pPr>
        <w:pStyle w:val="FirstParagraph"/>
      </w:pPr>
      <w:r>
        <w:t xml:space="preserve">The following constraints apply to all modules:</w:t>
      </w:r>
    </w:p>
    <w:p>
      <w:pPr>
        <w:pStyle w:val="Compact"/>
        <w:numPr>
          <w:ilvl w:val="0"/>
          <w:numId w:val="1014"/>
        </w:numPr>
      </w:pPr>
      <w:r>
        <w:t xml:space="preserve">No broker-specific logic in the core platform.</w:t>
      </w:r>
    </w:p>
    <w:p>
      <w:pPr>
        <w:pStyle w:val="Compact"/>
        <w:numPr>
          <w:ilvl w:val="0"/>
          <w:numId w:val="1014"/>
        </w:numPr>
      </w:pPr>
      <w:r>
        <w:t xml:space="preserve">No AI provider-specific logic in business modules.</w:t>
      </w:r>
    </w:p>
    <w:p>
      <w:pPr>
        <w:pStyle w:val="Compact"/>
        <w:numPr>
          <w:ilvl w:val="0"/>
          <w:numId w:val="1014"/>
        </w:numPr>
      </w:pPr>
      <w:r>
        <w:t xml:space="preserve">Business logic must not depend on UI frameworks.</w:t>
      </w:r>
    </w:p>
    <w:p>
      <w:pPr>
        <w:pStyle w:val="Compact"/>
        <w:numPr>
          <w:ilvl w:val="0"/>
          <w:numId w:val="1014"/>
        </w:numPr>
      </w:pPr>
      <w:r>
        <w:t xml:space="preserve">Modules communicate through interfaces and events.</w:t>
      </w:r>
    </w:p>
    <w:p>
      <w:pPr>
        <w:pStyle w:val="Compact"/>
        <w:numPr>
          <w:ilvl w:val="0"/>
          <w:numId w:val="1014"/>
        </w:numPr>
      </w:pPr>
      <w:r>
        <w:t xml:space="preserve">Components should remain independently testable.</w:t>
      </w:r>
    </w:p>
    <w:p>
      <w:r>
        <w:pict>
          <v:rect style="width:0;height:1.5pt" o:hralign="center" o:hrstd="t" o:hr="t"/>
        </w:pict>
      </w:r>
    </w:p>
    <w:bookmarkEnd w:id="40"/>
    <w:bookmarkStart w:id="41" w:name="technology-direction"/>
    <w:p>
      <w:pPr>
        <w:pStyle w:val="Heading1"/>
      </w:pPr>
      <w:r>
        <w:t xml:space="preserve">10. Technology Direction</w:t>
      </w:r>
    </w:p>
    <w:p>
      <w:pPr>
        <w:pStyle w:val="FirstParagraph"/>
      </w:pPr>
      <w:r>
        <w:t xml:space="preserve">Initial technology choices:</w:t>
      </w:r>
    </w:p>
    <w:p>
      <w:pPr>
        <w:pStyle w:val="Compact"/>
        <w:numPr>
          <w:ilvl w:val="0"/>
          <w:numId w:val="1015"/>
        </w:numPr>
      </w:pPr>
      <w:r>
        <w:t xml:space="preserve">Java 21</w:t>
      </w:r>
    </w:p>
    <w:p>
      <w:pPr>
        <w:pStyle w:val="Compact"/>
        <w:numPr>
          <w:ilvl w:val="0"/>
          <w:numId w:val="1015"/>
        </w:numPr>
      </w:pPr>
      <w:r>
        <w:t xml:space="preserve">Spring Boot</w:t>
      </w:r>
    </w:p>
    <w:p>
      <w:pPr>
        <w:pStyle w:val="Compact"/>
        <w:numPr>
          <w:ilvl w:val="0"/>
          <w:numId w:val="1015"/>
        </w:numPr>
      </w:pPr>
      <w:r>
        <w:t xml:space="preserve">Spring AI</w:t>
      </w:r>
    </w:p>
    <w:p>
      <w:pPr>
        <w:pStyle w:val="Compact"/>
        <w:numPr>
          <w:ilvl w:val="0"/>
          <w:numId w:val="1015"/>
        </w:numPr>
      </w:pPr>
      <w:r>
        <w:t xml:space="preserve">React</w:t>
      </w:r>
    </w:p>
    <w:p>
      <w:pPr>
        <w:pStyle w:val="Compact"/>
        <w:numPr>
          <w:ilvl w:val="0"/>
          <w:numId w:val="1015"/>
        </w:numPr>
      </w:pPr>
      <w:r>
        <w:t xml:space="preserve">PostgreSQL</w:t>
      </w:r>
    </w:p>
    <w:p>
      <w:pPr>
        <w:pStyle w:val="Compact"/>
        <w:numPr>
          <w:ilvl w:val="0"/>
          <w:numId w:val="1015"/>
        </w:numPr>
      </w:pPr>
      <w:r>
        <w:t xml:space="preserve">Redis</w:t>
      </w:r>
    </w:p>
    <w:p>
      <w:pPr>
        <w:pStyle w:val="Compact"/>
        <w:numPr>
          <w:ilvl w:val="0"/>
          <w:numId w:val="1015"/>
        </w:numPr>
      </w:pPr>
      <w:r>
        <w:t xml:space="preserve">Kafka (planned)</w:t>
      </w:r>
    </w:p>
    <w:p>
      <w:pPr>
        <w:pStyle w:val="Compact"/>
        <w:numPr>
          <w:ilvl w:val="0"/>
          <w:numId w:val="1015"/>
        </w:numPr>
      </w:pPr>
      <w:r>
        <w:t xml:space="preserve">Ollama (default local AI)</w:t>
      </w:r>
    </w:p>
    <w:p>
      <w:pPr>
        <w:pStyle w:val="Compact"/>
        <w:numPr>
          <w:ilvl w:val="0"/>
          <w:numId w:val="1015"/>
        </w:numPr>
      </w:pPr>
      <w:r>
        <w:t xml:space="preserve">OpenAI (optional)</w:t>
      </w:r>
    </w:p>
    <w:p>
      <w:pPr>
        <w:pStyle w:val="Compact"/>
        <w:numPr>
          <w:ilvl w:val="0"/>
          <w:numId w:val="1015"/>
        </w:numPr>
      </w:pPr>
      <w:r>
        <w:t xml:space="preserve">Docker</w:t>
      </w:r>
    </w:p>
    <w:p>
      <w:pPr>
        <w:pStyle w:val="Compact"/>
        <w:numPr>
          <w:ilvl w:val="0"/>
          <w:numId w:val="1015"/>
        </w:numPr>
      </w:pPr>
      <w:r>
        <w:t xml:space="preserve">Kubernetes (future)</w:t>
      </w:r>
    </w:p>
    <w:p>
      <w:pPr>
        <w:pStyle w:val="FirstParagraph"/>
      </w:pPr>
      <w:r>
        <w:t xml:space="preserve">These technologies may evolve without changing the architectural principles.</w:t>
      </w:r>
    </w:p>
    <w:p>
      <w:r>
        <w:pict>
          <v:rect style="width:0;height:1.5pt" o:hralign="center" o:hrstd="t" o:hr="t"/>
        </w:pict>
      </w:r>
    </w:p>
    <w:bookmarkEnd w:id="41"/>
    <w:bookmarkStart w:id="42" w:name="future-evolution"/>
    <w:p>
      <w:pPr>
        <w:pStyle w:val="Heading1"/>
      </w:pPr>
      <w:r>
        <w:t xml:space="preserve">11. Future Evolution</w:t>
      </w:r>
    </w:p>
    <w:p>
      <w:pPr>
        <w:pStyle w:val="FirstParagraph"/>
      </w:pPr>
      <w:r>
        <w:t xml:space="preserve">Future versions of the architecture will introduce:</w:t>
      </w:r>
    </w:p>
    <w:p>
      <w:pPr>
        <w:pStyle w:val="Compact"/>
        <w:numPr>
          <w:ilvl w:val="0"/>
          <w:numId w:val="1016"/>
        </w:numPr>
      </w:pPr>
      <w:r>
        <w:t xml:space="preserve">Plugin Marketplace</w:t>
      </w:r>
    </w:p>
    <w:p>
      <w:pPr>
        <w:pStyle w:val="Compact"/>
        <w:numPr>
          <w:ilvl w:val="0"/>
          <w:numId w:val="1016"/>
        </w:numPr>
      </w:pPr>
      <w:r>
        <w:t xml:space="preserve">Strategy Marketplace</w:t>
      </w:r>
    </w:p>
    <w:p>
      <w:pPr>
        <w:pStyle w:val="Compact"/>
        <w:numPr>
          <w:ilvl w:val="0"/>
          <w:numId w:val="1016"/>
        </w:numPr>
      </w:pPr>
      <w:r>
        <w:t xml:space="preserve">AI Model Marketplace</w:t>
      </w:r>
    </w:p>
    <w:p>
      <w:pPr>
        <w:pStyle w:val="Compact"/>
        <w:numPr>
          <w:ilvl w:val="0"/>
          <w:numId w:val="1016"/>
        </w:numPr>
      </w:pPr>
      <w:r>
        <w:t xml:space="preserve">Multi-user collaboration</w:t>
      </w:r>
    </w:p>
    <w:p>
      <w:pPr>
        <w:pStyle w:val="Compact"/>
        <w:numPr>
          <w:ilvl w:val="0"/>
          <w:numId w:val="1016"/>
        </w:numPr>
      </w:pPr>
      <w:r>
        <w:t xml:space="preserve">Mobile applications</w:t>
      </w:r>
    </w:p>
    <w:p>
      <w:pPr>
        <w:pStyle w:val="Compact"/>
        <w:numPr>
          <w:ilvl w:val="0"/>
          <w:numId w:val="1016"/>
        </w:numPr>
      </w:pPr>
      <w:r>
        <w:t xml:space="preserve">Cloud-native deployment</w:t>
      </w:r>
    </w:p>
    <w:p>
      <w:pPr>
        <w:pStyle w:val="Compact"/>
        <w:numPr>
          <w:ilvl w:val="0"/>
          <w:numId w:val="1016"/>
        </w:numPr>
      </w:pPr>
      <w:r>
        <w:t xml:space="preserve">Distributed event processing</w:t>
      </w:r>
    </w:p>
    <w:p>
      <w:pPr>
        <w:pStyle w:val="FirstParagraph"/>
      </w:pPr>
      <w:r>
        <w:t xml:space="preserve">The layered architecture defined in this document is intended to support these future capabilities without requiring major redesign.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1"/>
      </w:pPr>
      <w:r>
        <w:t xml:space="preserve">12. Conclusion</w:t>
      </w:r>
    </w:p>
    <w:p>
      <w:pPr>
        <w:pStyle w:val="FirstParagraph"/>
      </w:pPr>
      <w:r>
        <w:t xml:space="preserve">The primary objective of PredictiveEdge is to provide a broker-independent, AI-driven trading intelligence platform that empowers traders with transparent, explainable, and extensible decision support.</w:t>
      </w:r>
    </w:p>
    <w:p>
      <w:pPr>
        <w:pStyle w:val="BodyText"/>
      </w:pPr>
      <w:r>
        <w:t xml:space="preserve">This document establishes the architectural foundation upon which all future modules, integrations, and engineering decisions will be built.</w:t>
      </w:r>
    </w:p>
    <w:p>
      <w:pPr>
        <w:pStyle w:val="BodyText"/>
      </w:pPr>
      <w:r>
        <w:t xml:space="preserve">Subsequent documents will define the system context, component interactions, event model, deployment architecture, and implementation details.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2026-07-08T16:41:25Z</dcterms:created>
  <dcterms:modified xsi:type="dcterms:W3CDTF">2026-07-08T16:41:25Z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