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keepLines/>
        <w:keepNext/>
      </w:pPr>
      <w:r>
        <w:drawing>
          <wp:inline xmlns:a="http://schemas.openxmlformats.org/drawingml/2006/main" xmlns:pic="http://schemas.openxmlformats.org/drawingml/2006/picture">
            <wp:extent cx="914400" cy="464695"/>
            <wp:docPr id="1" name="Picture 1"/>
            <wp:cNvGraphicFramePr>
              <a:graphicFrameLocks noChangeAspect="1"/>
            </wp:cNvGraphicFramePr>
            <a:graphic>
              <a:graphicData uri="http://schemas.openxmlformats.org/drawingml/2006/picture">
                <pic:pic>
                  <pic:nvPicPr>
                    <pic:cNvPr id="0" name="BF logo.jpg"/>
                    <pic:cNvPicPr/>
                  </pic:nvPicPr>
                  <pic:blipFill>
                    <a:blip r:embed="rId9"/>
                    <a:stretch>
                      <a:fillRect/>
                    </a:stretch>
                  </pic:blipFill>
                  <pic:spPr>
                    <a:xfrm>
                      <a:off x="0" y="0"/>
                      <a:ext cx="914400" cy="464695"/>
                    </a:xfrm>
                    <a:prstGeom prst="rect"/>
                  </pic:spPr>
                </pic:pic>
              </a:graphicData>
            </a:graphic>
          </wp:inline>
        </w:drawing>
      </w:r>
    </w:p>
    <w:p>
      <w:pPr>
        <w:jc w:val="center"/>
        <w:spacing w:before="0" w:after="80"/>
        <w:keepLines/>
        <w:keepNext/>
      </w:pPr>
      <w:r>
        <w:rPr>
          <w:rFonts w:ascii="Franklin Gothic Book" w:hAnsi="Franklin Gothic Book"/>
          <w:b/>
          <w:sz w:val="28"/>
          <w:u w:val="single"/>
        </w:rPr>
        <w:t>January 22, 2026</w:t>
      </w:r>
    </w:p>
    <w:tbl>
      <w:tblPr>
        <w:tblW w:type="auto" w:w="0"/>
        <w:tblLayout w:type="fixed"/>
        <w:tblLook w:firstColumn="1" w:firstRow="1" w:lastColumn="0" w:lastRow="0" w:noHBand="0" w:noVBand="1" w:val="04A0"/>
      </w:tblPr>
      <w:tblGrid>
        <w:gridCol w:w="4320"/>
        <w:gridCol w:w="4320"/>
      </w:tblGrid>
      <w:tr>
        <w:tc>
          <w:tcPr>
            <w:tcW w:type="dxa" w:w="4320"/>
          </w:tcPr>
          <w:p>
            <w:pPr>
              <w:keepLines/>
              <w:keepNext/>
            </w:pPr>
            <w:r>
              <w:rPr>
                <w:rFonts w:ascii="Franklin Gothic Book" w:hAnsi="Franklin Gothic Book"/>
                <w:b w:val="0"/>
                <w:sz w:val="24"/>
                <w:u w:val="none"/>
              </w:rPr>
              <w:t>ABC Insurance Company</w:t>
              <w:br/>
            </w:r>
            <w:r>
              <w:rPr>
                <w:rFonts w:ascii="Franklin Gothic Book" w:hAnsi="Franklin Gothic Book"/>
                <w:b w:val="0"/>
                <w:sz w:val="24"/>
                <w:u w:val="none"/>
              </w:rPr>
              <w:t>Attn: CLM-2024-001234</w:t>
              <w:br/>
            </w:r>
            <w:r>
              <w:rPr>
                <w:rFonts w:ascii="Franklin Gothic Book" w:hAnsi="Franklin Gothic Book"/>
                <w:b w:val="0"/>
                <w:sz w:val="24"/>
                <w:u w:val="none"/>
              </w:rPr>
              <w:t>123 Insurance Street</w:t>
              <w:br/>
              <w:t>New York, NY 10001</w:t>
              <w:br/>
            </w:r>
            <w:r>
              <w:rPr>
                <w:rFonts w:ascii="Franklin Gothic Book" w:hAnsi="Franklin Gothic Book"/>
                <w:b w:val="0"/>
                <w:sz w:val="24"/>
                <w:u w:val="none"/>
              </w:rPr>
              <w:t>Tel: (212) 555-1234</w:t>
              <w:br/>
            </w:r>
            <w:r>
              <w:rPr>
                <w:rFonts w:ascii="Franklin Gothic Book" w:hAnsi="Franklin Gothic Book"/>
                <w:b w:val="0"/>
                <w:sz w:val="24"/>
                <w:u w:val="none"/>
              </w:rPr>
              <w:t>Fax: (212) 555-5678</w:t>
              <w:br/>
            </w:r>
          </w:p>
        </w:tc>
        <w:tc>
          <w:tcPr>
            <w:tcW w:type="dxa" w:w="4320"/>
          </w:tcPr>
          <w:p>
            <w:pPr>
              <w:jc w:val="right"/>
            </w:pPr>
            <w:r>
              <w:rPr>
                <w:rFonts w:ascii="Franklin Gothic Book" w:hAnsi="Franklin Gothic Book"/>
                <w:b w:val="0"/>
                <w:sz w:val="24"/>
                <w:u w:val="none"/>
              </w:rPr>
              <w:t>Sent Via Certified U.S. Mail</w:t>
              <w:br/>
              <w:t>Facsimile</w:t>
            </w:r>
          </w:p>
        </w:tc>
      </w:tr>
    </w:tbl>
    <w:p>
      <w:pPr>
        <w:jc w:val="center"/>
        <w:spacing w:before="80" w:after="80"/>
        <w:keepLines/>
        <w:keepNext/>
      </w:pPr>
      <w:r>
        <w:rPr>
          <w:rFonts w:ascii="Franklin Gothic Book" w:hAnsi="Franklin Gothic Book"/>
          <w:b/>
          <w:sz w:val="36"/>
          <w:u w:val="single"/>
        </w:rPr>
        <w:t>*** MOTOR VEHICLE ACCIDENT POLICY LIMIT DEMAND ***</w:t>
      </w:r>
    </w:p>
    <w:p>
      <w:pPr>
        <w:jc w:val="center"/>
        <w:spacing w:before="0" w:after="80"/>
        <w:keepLines/>
        <w:keepNext/>
      </w:pPr>
      <w:r>
        <w:rPr>
          <w:rFonts w:ascii="Franklin Gothic Book" w:hAnsi="Franklin Gothic Book"/>
          <w:b w:val="0"/>
          <w:sz w:val="24"/>
          <w:u w:val="none"/>
        </w:rPr>
        <w:t>Client: John Michael Johnson</w:t>
        <w:br/>
      </w:r>
      <w:r>
        <w:rPr>
          <w:rFonts w:ascii="Franklin Gothic Book" w:hAnsi="Franklin Gothic Book"/>
          <w:b w:val="0"/>
          <w:sz w:val="24"/>
          <w:u w:val="none"/>
        </w:rPr>
        <w:t>Date of Loss: 06/15/2025</w:t>
        <w:br/>
      </w:r>
      <w:r>
        <w:rPr>
          <w:rFonts w:ascii="Franklin Gothic Book" w:hAnsi="Franklin Gothic Book"/>
          <w:b w:val="0"/>
          <w:sz w:val="24"/>
          <w:u w:val="none"/>
        </w:rPr>
        <w:t>Your Insured: James Robert Smith</w:t>
        <w:br/>
      </w:r>
      <w:r>
        <w:rPr>
          <w:rFonts w:ascii="Franklin Gothic Book" w:hAnsi="Franklin Gothic Book"/>
          <w:b w:val="0"/>
          <w:sz w:val="24"/>
          <w:u w:val="none"/>
        </w:rPr>
        <w:t>Claim #: CLM-2024-001234</w:t>
        <w:br/>
      </w:r>
      <w:r>
        <w:rPr>
          <w:rFonts w:ascii="Franklin Gothic Book" w:hAnsi="Franklin Gothic Book"/>
          <w:b w:val="0"/>
          <w:sz w:val="24"/>
          <w:u w:val="none"/>
        </w:rPr>
        <w:t>Adjuster: Sarah Adams</w:t>
        <w:br/>
      </w:r>
    </w:p>
    <w:p>
      <w:pPr>
        <w:jc w:val="center"/>
        <w:spacing w:before="80" w:after="80"/>
        <w:keepLines/>
        <w:keepNext/>
      </w:pPr>
      <w:r>
        <w:rPr>
          <w:rFonts w:ascii="Franklin Gothic Book" w:hAnsi="Franklin Gothic Book"/>
          <w:b/>
          <w:sz w:val="24"/>
          <w:u w:val="single"/>
        </w:rPr>
        <w:t>THIS LETTER IS FOR THE PURPOSE OF SETTLEMENT ONLY;</w:t>
        <w:br/>
        <w:t>IT IS NOT TO BE USED AS EVIDENCE OF ANY KIND.</w:t>
        <w:br/>
        <w:t>(CALIFORNIA EVIDENCE CODE SECTIONS 1152-54, ET SEQ.)</w:t>
        <w:br/>
        <w:t>THE CONTENTS OF THIS DEMAND SHALL NOT BE REPRODUCED</w:t>
        <w:br/>
        <w:t>OR REDISTRIBUTED FOR ANY PURPOSE.</w:t>
      </w:r>
    </w:p>
    <w:p>
      <w:pPr>
        <w:spacing w:before="0" w:after="20"/>
      </w:pPr>
      <w:r>
        <w:rPr>
          <w:rFonts w:ascii="Franklin Gothic Book" w:hAnsi="Franklin Gothic Book"/>
          <w:b w:val="0"/>
          <w:sz w:val="24"/>
          <w:u w:val="none"/>
        </w:rPr>
        <w:t>To Whom It May Concern:</w:t>
      </w:r>
    </w:p>
    <w:p>
      <w:r>
        <w:rPr>
          <w:rFonts w:ascii="Franklin Gothic Book" w:hAnsi="Franklin Gothic Book"/>
          <w:b w:val="0"/>
          <w:sz w:val="24"/>
          <w:u w:val="none"/>
        </w:rPr>
        <w:t xml:space="preserve">This office represents </w:t>
      </w:r>
      <w:r>
        <w:rPr>
          <w:rFonts w:ascii="Franklin Gothic Book" w:hAnsi="Franklin Gothic Book"/>
          <w:b/>
          <w:sz w:val="24"/>
          <w:u w:val="none"/>
        </w:rPr>
        <w:t>Mr John Michael Johnson (“Mr Johnson”)</w:t>
      </w:r>
      <w:r>
        <w:rPr>
          <w:rFonts w:ascii="Franklin Gothic Book" w:hAnsi="Franklin Gothic Book"/>
          <w:b w:val="0"/>
          <w:sz w:val="24"/>
          <w:u w:val="none"/>
        </w:rPr>
        <w:t xml:space="preserve"> in the above-referenced incident involving your insured. We hereby extend this formal offer of settlement as set forth herein.</w:t>
      </w:r>
    </w:p>
    <w:p>
      <w:pPr>
        <w:jc w:val="center"/>
        <w:spacing w:before="80" w:after="40"/>
        <w:keepLines/>
        <w:keepNext/>
      </w:pPr>
      <w:r>
        <w:rPr>
          <w:rFonts w:ascii="Franklin Gothic Book" w:hAnsi="Franklin Gothic Book"/>
          <w:b/>
          <w:sz w:val="32"/>
          <w:u w:val="single"/>
        </w:rPr>
        <w:t>THE INCIDENT</w:t>
      </w:r>
    </w:p>
    <w:p>
      <w:pPr>
        <w:jc w:val="both"/>
      </w:pPr>
      <w:r>
        <w:rPr>
          <w:rFonts w:ascii="Franklin Gothic Book" w:hAnsi="Franklin Gothic Book"/>
          <w:b w:val="0"/>
          <w:sz w:val="24"/>
          <w:u w:val="none"/>
        </w:rPr>
        <w:t>On June 15, 2025, at approximately 2:30 PM, Plaintiff John Michael Johnson was lawfully operating his vehicle when he was struck by a vehicle operated by James Robert Smith at the intersection of Main Street and Fifth Avenue. The defendant failed to obey a red traffic signal, causing a violent collision. As a result of this incident, Plaintiff sustained serious bodily injuries requiring immediate emergency medical treatment.</w:t>
      </w:r>
    </w:p>
    <w:p>
      <w:r>
        <w:br w:type="page"/>
      </w:r>
    </w:p>
    <w:p>
      <w:pPr>
        <w:jc w:val="center"/>
        <w:spacing w:before="80" w:after="80"/>
      </w:pPr>
      <w:r>
        <w:rPr>
          <w:rFonts w:ascii="Franklin Gothic Book" w:hAnsi="Franklin Gothic Book"/>
          <w:b/>
          <w:sz w:val="32"/>
          <w:u w:val="single"/>
        </w:rPr>
        <w:t>SUMMARY OF MEDICAL CARE &amp; INJURIES</w:t>
      </w:r>
    </w:p>
    <w:p>
      <w:pPr>
        <w:jc w:val="both"/>
        <w:spacing w:before="0" w:after="60"/>
      </w:pPr>
      <w:r>
        <w:rPr>
          <w:rFonts w:ascii="Franklin Gothic Book" w:hAnsi="Franklin Gothic Book"/>
          <w:b w:val="0"/>
          <w:sz w:val="24"/>
          <w:u w:val="none"/>
        </w:rPr>
        <w:t>June 15, 2025 – Emergency Room Visit: Plaintiff presented to the emergency department with severe pain and visible trauma. Diagnostic imaging revealed a comminuted fracture of the left femur. Emergency orthopedic surgery was performed the same day.</w:t>
      </w:r>
    </w:p>
    <w:p>
      <w:pPr>
        <w:jc w:val="both"/>
        <w:spacing w:before="0" w:after="60"/>
      </w:pPr>
      <w:r>
        <w:rPr>
          <w:rFonts w:ascii="Franklin Gothic Book" w:hAnsi="Franklin Gothic Book"/>
          <w:b w:val="0"/>
          <w:sz w:val="24"/>
          <w:u w:val="none"/>
        </w:rPr>
        <w:t>June 20, 2025 – Post-Operative Follow-Up: Plaintiff returned for follow-up evaluation. Imaging confirmed proper placement of orthopedic hardware. Physical therapy was initiated with ongoing pain management.</w:t>
      </w:r>
    </w:p>
    <w:p>
      <w:r>
        <w:br w:type="page"/>
      </w:r>
    </w:p>
    <w:p>
      <w:pPr>
        <w:jc w:val="center"/>
        <w:spacing w:before="0" w:after="120"/>
      </w:pPr>
      <w:r>
        <w:rPr>
          <w:rFonts w:ascii="Franklin Gothic Book" w:hAnsi="Franklin Gothic Book"/>
          <w:b/>
          <w:sz w:val="32"/>
          <w:u w:val="single"/>
        </w:rPr>
        <w:t>CLAIM FOR COMPENSATION</w:t>
      </w:r>
    </w:p>
    <w:p>
      <w:pPr>
        <w:jc w:val="left"/>
        <w:spacing w:before="0" w:after="80"/>
      </w:pPr>
      <w:r>
        <w:rPr>
          <w:rFonts w:ascii="Franklin Gothic Book" w:hAnsi="Franklin Gothic Book"/>
          <w:b w:val="0"/>
          <w:sz w:val="24"/>
          <w:u w:val="none"/>
        </w:rPr>
        <w:t>Mr. Johnson is entitled to full and fair compensation for losses incurred in this accident. Relevant California law provides as follows:</w:t>
      </w:r>
    </w:p>
    <w:p>
      <w:pPr>
        <w:jc w:val="center"/>
        <w:spacing w:before="0" w:after="80"/>
      </w:pPr>
      <w:r>
        <w:rPr>
          <w:rFonts w:ascii="Franklin Gothic Book" w:hAnsi="Franklin Gothic Book"/>
          <w:b w:val="0"/>
          <w:sz w:val="24"/>
          <w:u w:val="single"/>
        </w:rPr>
        <w:t>Civil Code § 3333.  Torts in General</w:t>
      </w:r>
    </w:p>
    <w:p>
      <w:pPr>
        <w:jc w:val="center"/>
        <w:spacing w:before="0" w:after="80"/>
      </w:pPr>
      <w:r>
        <w:rPr>
          <w:rFonts w:ascii="Franklin Gothic Book" w:hAnsi="Franklin Gothic Book"/>
          <w:b w:val="0"/>
          <w:sz w:val="24"/>
          <w:u w:val="none"/>
        </w:rPr>
        <w:t>Breach of obligation other than contract. For the breach of an obligation not arising from contract, the measure of damages, except where otherwise expressly provided by this code, is the amount which will compensate for all the detriment proximately caused thereby, whether it could have been anticipated or not.</w:t>
      </w:r>
    </w:p>
    <w:p>
      <w:pPr>
        <w:jc w:val="left"/>
        <w:spacing w:before="0" w:after="80"/>
      </w:pPr>
      <w:r>
        <w:rPr>
          <w:rFonts w:ascii="Franklin Gothic Book" w:hAnsi="Franklin Gothic Book"/>
          <w:b w:val="0"/>
          <w:sz w:val="24"/>
          <w:u w:val="none"/>
        </w:rPr>
        <w:t>Mr. Johnson is also entitled to recover for all the pain and suffering experienced as a result of this accident:</w:t>
      </w:r>
    </w:p>
    <w:p>
      <w:pPr>
        <w:jc w:val="center"/>
        <w:spacing w:before="0" w:after="80"/>
      </w:pPr>
      <w:r>
        <w:rPr>
          <w:rFonts w:ascii="Franklin Gothic Book" w:hAnsi="Franklin Gothic Book"/>
          <w:b w:val="0"/>
          <w:sz w:val="24"/>
          <w:u w:val="none"/>
        </w:rPr>
        <w:t>Pain and suffering is a unitary concept, encompassing all of the physical and emotional trauma occasioned by an injury. Plaintiff is entitled to compensatory damages for all physical pain suffered . . . and also for resulting fright, nervousness, anxiety, worry, mortification, shock, humiliation, indignity, embarrassment, apprehension, terror, or ordeal. Capelouto v. Kaiser Foundation Hospitals (1972) 7 Cal.App.3d 889, 893-894.</w:t>
      </w:r>
    </w:p>
    <w:p>
      <w:pPr>
        <w:jc w:val="left"/>
        <w:spacing w:before="0" w:after="80"/>
      </w:pPr>
      <w:r>
        <w:rPr>
          <w:rFonts w:ascii="Franklin Gothic Book" w:hAnsi="Franklin Gothic Book"/>
          <w:b w:val="0"/>
          <w:sz w:val="24"/>
          <w:u w:val="none"/>
        </w:rPr>
        <w:t>The applicable jury instruction provides, in pertinent part, as follows:</w:t>
      </w:r>
    </w:p>
    <w:p>
      <w:pPr>
        <w:jc w:val="center"/>
        <w:spacing w:before="0" w:after="80"/>
      </w:pPr>
      <w:r>
        <w:rPr>
          <w:rFonts w:ascii="Franklin Gothic Book" w:hAnsi="Franklin Gothic Book"/>
          <w:b/>
          <w:sz w:val="32"/>
          <w:u w:val="none"/>
        </w:rPr>
        <w:t>CACI 3905A</w:t>
      </w:r>
    </w:p>
    <w:p>
      <w:pPr>
        <w:jc w:val="center"/>
        <w:spacing w:before="0" w:after="80"/>
      </w:pPr>
      <w:r>
        <w:rPr>
          <w:rFonts w:ascii="Franklin Gothic Book" w:hAnsi="Franklin Gothic Book"/>
          <w:b w:val="0"/>
          <w:sz w:val="24"/>
          <w:u w:val="none"/>
        </w:rPr>
        <w:t>Mr. Johnson is also entitled to recover for all past and future noneconomic damages caused by your insured’s negligence, including physical pain, mental suffering, loss of enjoyment of life, disfigurement, physical impairment, inconvenience, grief, anxiety, humiliation, and emotional distress. (CACI 3905A, Physical Pain, Mental Suffering, and Emotional Distress)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anklin Gothic Book" w:hAnsi="Franklin Gothic Book"/>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