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0"/>
      </w:pPr>
      <w:r>
        <w:drawing>
          <wp:inline distT="0" distB="0" distL="0" distR="0">
            <wp:extent cx="6858000" cy="92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858000" cy="923925"/>
                    </a:xfrm>
                    <a:prstGeom prst="rect">
                      <a:avLst/>
                    </a:prstGeom>
                  </pic:spPr>
                </pic:pic>
              </a:graphicData>
            </a:graphic>
          </wp:inline>
        </w:drawing>
      </w:r>
    </w:p>
    <w:tbl>
      <w:tblPr>
        <w:tblW w:type="dxa" w:w="9224"/>
        <w:tblBorders>
          <w:top w:val="single" w:color="auto" w:sz="4"/>
          <w:left w:val="single" w:color="auto" w:sz="4"/>
          <w:bottom w:val="single" w:color="auto" w:sz="4"/>
          <w:right w:val="single" w:color="auto" w:sz="4"/>
          <w:insideH w:val="single" w:color="auto" w:sz="4"/>
          <w:insideV w:val="single" w:color="auto" w:sz="4"/>
        </w:tblBorders>
      </w:tblPr>
      <w:tblGrid>
        <w:gridCol w:w="4612"/>
        <w:gridCol w:w="4612"/>
      </w:tblGrid>
      <w:tr>
        <w:tc>
          <w:tcPr>
            <w:tcBorders>
              <w:top w:val="none" w:color="FFFFFF" w:sz="0"/>
              <w:left w:val="none" w:color="FFFFFF" w:sz="0"/>
              <w:bottom w:val="none" w:color="FFFFFF" w:sz="0"/>
              <w:right w:val="none" w:color="FFFFFF" w:sz="0"/>
            </w:tcBorders>
          </w:tcPr>
          <w:p>
            <w:pPr>
              <w:spacing w:after="160" w:before="0"/>
              <w:jc w:val="left"/>
            </w:pPr>
            <w:r>
              <w:rPr>
                <w:rFonts w:ascii="Arial" w:cs="Arial" w:eastAsia="Arial" w:hAnsi="Arial"/>
                <w:b/>
                <w:bCs/>
                <w:i w:val="false"/>
                <w:iCs w:val="false"/>
                <w:color w:val="1A1A1A"/>
                <w:sz w:val="22"/>
                <w:szCs w:val="22"/>
              </w:rPr>
              <w:t xml:space="preserve">Ref: </w:t>
            </w:r>
            <w:r>
              <w:rPr>
                <w:rFonts w:ascii="Arial" w:cs="Arial" w:eastAsia="Arial" w:hAnsi="Arial"/>
                <w:b/>
                <w:bCs/>
                <w:i w:val="false"/>
                <w:iCs w:val="false"/>
                <w:color w:val="1A1A1A"/>
                <w:sz w:val="22"/>
                <w:szCs w:val="22"/>
              </w:rPr>
              <w:t xml:space="preserve">GFS/SS/SCCL/2026/001</w:t>
            </w:r>
          </w:p>
        </w:tc>
        <w:tc>
          <w:tcPr>
            <w:tcBorders>
              <w:top w:val="none" w:color="FFFFFF" w:sz="0"/>
              <w:left w:val="none" w:color="FFFFFF" w:sz="0"/>
              <w:bottom w:val="none" w:color="FFFFFF" w:sz="0"/>
              <w:right w:val="none" w:color="FFFFFF" w:sz="0"/>
            </w:tcBorders>
          </w:tcPr>
          <w:p>
            <w:pPr>
              <w:spacing w:after="160" w:before="0"/>
              <w:jc w:val="right"/>
            </w:pPr>
            <w:r>
              <w:rPr>
                <w:rFonts w:ascii="Arial" w:cs="Arial" w:eastAsia="Arial" w:hAnsi="Arial"/>
                <w:b/>
                <w:bCs/>
                <w:i w:val="false"/>
                <w:iCs w:val="false"/>
                <w:color w:val="1A1A1A"/>
                <w:sz w:val="22"/>
                <w:szCs w:val="22"/>
              </w:rPr>
              <w:t xml:space="preserve">Date: </w:t>
            </w:r>
            <w:r>
              <w:rPr>
                <w:rFonts w:ascii="Arial" w:cs="Arial" w:eastAsia="Arial" w:hAnsi="Arial"/>
                <w:b w:val="false"/>
                <w:bCs w:val="false"/>
                <w:i w:val="false"/>
                <w:iCs w:val="false"/>
                <w:color w:val="1A1A1A"/>
                <w:sz w:val="22"/>
                <w:szCs w:val="22"/>
              </w:rPr>
              <w:t xml:space="preserve">7th May 2026</w:t>
            </w:r>
          </w:p>
        </w:tc>
      </w:tr>
    </w:tbl>
    <w:p>
      <w:pPr>
        <w:spacing w:after="200" w:before="0"/>
      </w:pPr>
    </w:p>
    <w:p>
      <w:pPr>
        <w:spacing w:after="40" w:before="0"/>
        <w:jc w:val="left"/>
      </w:pPr>
      <w:r>
        <w:rPr>
          <w:rFonts w:ascii="Arial" w:cs="Arial" w:eastAsia="Arial" w:hAnsi="Arial"/>
          <w:b w:val="false"/>
          <w:bCs w:val="false"/>
          <w:i w:val="false"/>
          <w:iCs w:val="false"/>
          <w:color w:val="1A1A1A"/>
          <w:sz w:val="22"/>
          <w:szCs w:val="22"/>
        </w:rPr>
        <w:t xml:space="preserve">To,</w:t>
      </w:r>
    </w:p>
    <w:p>
      <w:pPr>
        <w:spacing w:after="40" w:before="0"/>
        <w:jc w:val="left"/>
      </w:pPr>
      <w:r>
        <w:rPr>
          <w:rFonts w:ascii="Arial" w:cs="Arial" w:eastAsia="Arial" w:hAnsi="Arial"/>
          <w:b/>
          <w:bCs/>
          <w:i w:val="false"/>
          <w:iCs w:val="false"/>
          <w:color w:val="1A1A1A"/>
          <w:sz w:val="26"/>
          <w:szCs w:val="26"/>
        </w:rPr>
        <w:t xml:space="preserve">Dr. Buddhaprakash Jyoti, IAS</w:t>
      </w:r>
    </w:p>
    <w:p>
      <w:pPr>
        <w:spacing w:after="40" w:before="0"/>
        <w:jc w:val="left"/>
      </w:pPr>
      <w:r>
        <w:rPr>
          <w:rFonts w:ascii="Arial" w:cs="Arial" w:eastAsia="Arial" w:hAnsi="Arial"/>
          <w:b w:val="false"/>
          <w:bCs w:val="false"/>
          <w:i w:val="false"/>
          <w:iCs w:val="false"/>
          <w:color w:val="1A1A1A"/>
          <w:sz w:val="22"/>
          <w:szCs w:val="22"/>
        </w:rPr>
        <w:t xml:space="preserve">Chairman &amp; Managing Director,</w:t>
      </w:r>
    </w:p>
    <w:p>
      <w:pPr>
        <w:spacing w:after="40" w:before="0"/>
        <w:jc w:val="left"/>
      </w:pPr>
      <w:r>
        <w:rPr>
          <w:rFonts w:ascii="Arial" w:cs="Arial" w:eastAsia="Arial" w:hAnsi="Arial"/>
          <w:b w:val="false"/>
          <w:bCs w:val="false"/>
          <w:i w:val="false"/>
          <w:iCs w:val="false"/>
          <w:color w:val="1A1A1A"/>
          <w:sz w:val="22"/>
          <w:szCs w:val="22"/>
        </w:rPr>
        <w:t xml:space="preserve">The Singareni Collieries Company Limited (SCCL),</w:t>
      </w:r>
    </w:p>
    <w:p>
      <w:pPr>
        <w:spacing w:after="40" w:before="0"/>
        <w:jc w:val="left"/>
      </w:pPr>
      <w:r>
        <w:rPr>
          <w:rFonts w:ascii="Arial" w:cs="Arial" w:eastAsia="Arial" w:hAnsi="Arial"/>
          <w:b w:val="false"/>
          <w:bCs w:val="false"/>
          <w:i w:val="false"/>
          <w:iCs w:val="false"/>
          <w:color w:val="1A1A1A"/>
          <w:sz w:val="22"/>
          <w:szCs w:val="22"/>
        </w:rPr>
        <w:t xml:space="preserve">Kothagudem, Bhadradri Kothagudem District,</w:t>
      </w:r>
    </w:p>
    <w:p>
      <w:pPr>
        <w:spacing w:after="220" w:before="0"/>
        <w:jc w:val="left"/>
      </w:pPr>
      <w:r>
        <w:rPr>
          <w:rFonts w:ascii="Arial" w:cs="Arial" w:eastAsia="Arial" w:hAnsi="Arial"/>
          <w:b w:val="false"/>
          <w:bCs w:val="false"/>
          <w:i w:val="false"/>
          <w:iCs w:val="false"/>
          <w:color w:val="1A1A1A"/>
          <w:sz w:val="22"/>
          <w:szCs w:val="22"/>
        </w:rPr>
        <w:t xml:space="preserve">Telangana.</w:t>
      </w:r>
    </w:p>
    <w:p>
      <w:pPr>
        <w:spacing w:after="220" w:before="0"/>
        <w:jc w:val="left"/>
      </w:pPr>
      <w:r>
        <w:rPr>
          <w:rFonts w:ascii="Arial" w:cs="Arial" w:eastAsia="Arial" w:hAnsi="Arial"/>
          <w:b/>
          <w:bCs/>
          <w:i w:val="false"/>
          <w:iCs w:val="false"/>
          <w:color w:val="1A1A1A"/>
          <w:sz w:val="22"/>
          <w:szCs w:val="22"/>
        </w:rPr>
        <w:t xml:space="preserve">Sub: </w:t>
      </w:r>
      <w:r>
        <w:rPr>
          <w:rFonts w:ascii="Arial" w:cs="Arial" w:eastAsia="Arial" w:hAnsi="Arial"/>
          <w:b w:val="false"/>
          <w:bCs w:val="false"/>
          <w:i w:val="false"/>
          <w:iCs w:val="false"/>
          <w:color w:val="1A1A1A"/>
          <w:sz w:val="22"/>
          <w:szCs w:val="22"/>
        </w:rPr>
        <w:t xml:space="preserve">Endorsement for CSR Funding Support — </w:t>
      </w:r>
      <w:r>
        <w:rPr>
          <w:rFonts w:ascii="Arial" w:cs="Arial" w:eastAsia="Arial" w:hAnsi="Arial"/>
          <w:b/>
          <w:bCs/>
          <w:i/>
          <w:iCs/>
          <w:color w:val="1A1A1A"/>
          <w:sz w:val="22"/>
          <w:szCs w:val="22"/>
        </w:rPr>
        <w:t xml:space="preserve">Sthree Swabhiman</w:t>
      </w:r>
      <w:r>
        <w:rPr>
          <w:rFonts w:ascii="Arial" w:cs="Arial" w:eastAsia="Arial" w:hAnsi="Arial"/>
          <w:b w:val="false"/>
          <w:bCs w:val="false"/>
          <w:i w:val="false"/>
          <w:iCs w:val="false"/>
          <w:color w:val="1A1A1A"/>
          <w:sz w:val="22"/>
          <w:szCs w:val="22"/>
        </w:rPr>
        <w:t xml:space="preserve"> — Menstrual Hygiene and Dignity Initiative for Girls in MJPTBCWREIS Residential Institutions across SCCL Coal Belt Districts of Telangana — Reg.</w:t>
      </w:r>
    </w:p>
    <w:p>
      <w:pPr>
        <w:spacing w:after="160" w:before="0"/>
        <w:jc w:val="left"/>
      </w:pPr>
      <w:r>
        <w:rPr>
          <w:rFonts w:ascii="Arial" w:cs="Arial" w:eastAsia="Arial" w:hAnsi="Arial"/>
          <w:b w:val="false"/>
          <w:bCs w:val="false"/>
          <w:i w:val="false"/>
          <w:iCs w:val="false"/>
          <w:color w:val="1A1A1A"/>
          <w:sz w:val="22"/>
          <w:szCs w:val="22"/>
        </w:rPr>
        <w:t xml:space="preserve">Respected Sir,</w:t>
      </w:r>
    </w:p>
    <w:p>
      <w:pPr>
        <w:spacing w:after="160" w:before="0"/>
        <w:jc w:val="left"/>
      </w:pPr>
      <w:r>
        <w:rPr>
          <w:rFonts w:ascii="Arial" w:cs="Arial" w:eastAsia="Arial" w:hAnsi="Arial"/>
          <w:b w:val="false"/>
          <w:bCs w:val="false"/>
          <w:i w:val="false"/>
          <w:iCs w:val="false"/>
          <w:color w:val="1A1A1A"/>
          <w:sz w:val="22"/>
          <w:szCs w:val="22"/>
        </w:rPr>
        <w:t xml:space="preserve">I am pleased to endorse </w:t>
      </w:r>
      <w:r>
        <w:rPr>
          <w:rFonts w:ascii="Arial" w:cs="Arial" w:eastAsia="Arial" w:hAnsi="Arial"/>
          <w:b/>
          <w:bCs/>
          <w:i/>
          <w:iCs/>
          <w:color w:val="1A1A1A"/>
          <w:sz w:val="22"/>
          <w:szCs w:val="22"/>
        </w:rPr>
        <w:t xml:space="preserve">Sthree Swabhiman</w:t>
      </w:r>
      <w:r>
        <w:rPr>
          <w:rFonts w:ascii="Arial" w:cs="Arial" w:eastAsia="Arial" w:hAnsi="Arial"/>
          <w:b w:val="false"/>
          <w:bCs w:val="false"/>
          <w:i w:val="false"/>
          <w:iCs w:val="false"/>
          <w:color w:val="1A1A1A"/>
          <w:sz w:val="22"/>
          <w:szCs w:val="22"/>
        </w:rPr>
        <w:t xml:space="preserve"> — a structured Menstrual Hygiene and Dignity Initiative implemented by </w:t>
      </w:r>
      <w:r>
        <w:rPr>
          <w:rFonts w:ascii="Arial" w:cs="Arial" w:eastAsia="Arial" w:hAnsi="Arial"/>
          <w:b/>
          <w:bCs/>
          <w:i w:val="false"/>
          <w:iCs w:val="false"/>
          <w:color w:val="1A1A1A"/>
          <w:sz w:val="22"/>
          <w:szCs w:val="22"/>
        </w:rPr>
        <w:t xml:space="preserve">Give For Society</w:t>
      </w:r>
      <w:r>
        <w:rPr>
          <w:rFonts w:ascii="Arial" w:cs="Arial" w:eastAsia="Arial" w:hAnsi="Arial"/>
          <w:b w:val="false"/>
          <w:bCs w:val="false"/>
          <w:i w:val="false"/>
          <w:iCs w:val="false"/>
          <w:color w:val="1A1A1A"/>
          <w:sz w:val="22"/>
          <w:szCs w:val="22"/>
        </w:rPr>
        <w:t xml:space="preserve"> — for SCCL’s CSR consideration. The programme operates under a formal </w:t>
      </w:r>
      <w:r>
        <w:rPr>
          <w:rFonts w:ascii="Arial" w:cs="Arial" w:eastAsia="Arial" w:hAnsi="Arial"/>
          <w:b/>
          <w:bCs/>
          <w:i w:val="false"/>
          <w:iCs w:val="false"/>
          <w:color w:val="1A1A1A"/>
          <w:sz w:val="22"/>
          <w:szCs w:val="22"/>
        </w:rPr>
        <w:t xml:space="preserve">Memorandum of Collaboration with the Secretary, MJPTBCWREIS</w:t>
      </w:r>
      <w:r>
        <w:rPr>
          <w:rFonts w:ascii="Arial" w:cs="Arial" w:eastAsia="Arial" w:hAnsi="Arial"/>
          <w:b w:val="false"/>
          <w:bCs w:val="false"/>
          <w:i w:val="false"/>
          <w:iCs w:val="false"/>
          <w:color w:val="1A1A1A"/>
          <w:sz w:val="22"/>
          <w:szCs w:val="22"/>
        </w:rPr>
        <w:t xml:space="preserve"> (Lr.No.C2/3357/2025, dated 11th September 2025), covering all 275 girls’ residential schools, junior colleges, and degree colleges under MJPTBCWREIS across Telangana. The MoC has been circulated to all Regional Coordinating Officers and Principals of girls’ institutions statewide.</w:t>
      </w:r>
    </w:p>
    <w:p>
      <w:pPr>
        <w:spacing w:after="160" w:before="0"/>
        <w:jc w:val="left"/>
      </w:pPr>
      <w:r>
        <w:rPr>
          <w:rFonts w:ascii="Arial" w:cs="Arial" w:eastAsia="Arial" w:hAnsi="Arial"/>
          <w:b w:val="false"/>
          <w:bCs w:val="false"/>
          <w:i w:val="false"/>
          <w:iCs w:val="false"/>
          <w:color w:val="1A1A1A"/>
          <w:sz w:val="22"/>
          <w:szCs w:val="22"/>
        </w:rPr>
        <w:t xml:space="preserve">For SCCL’s CSR consideration, this proposal covers the </w:t>
      </w:r>
      <w:r>
        <w:rPr>
          <w:rFonts w:ascii="Arial" w:cs="Arial" w:eastAsia="Arial" w:hAnsi="Arial"/>
          <w:b/>
          <w:bCs/>
          <w:i w:val="false"/>
          <w:iCs w:val="false"/>
          <w:color w:val="1A1A1A"/>
          <w:sz w:val="22"/>
          <w:szCs w:val="22"/>
        </w:rPr>
        <w:t xml:space="preserve">four erstwhile districts that form SCCL’s primary coal belt operational geography</w:t>
      </w:r>
      <w:r>
        <w:rPr>
          <w:rFonts w:ascii="Arial" w:cs="Arial" w:eastAsia="Arial" w:hAnsi="Arial"/>
          <w:b w:val="false"/>
          <w:bCs w:val="false"/>
          <w:i w:val="false"/>
          <w:iCs w:val="false"/>
          <w:color w:val="1A1A1A"/>
          <w:sz w:val="22"/>
          <w:szCs w:val="22"/>
        </w:rPr>
        <w:t xml:space="preserve"> — specifically KB Asifabad and Mancherial (Adilabad region); Jayashankar Bhupalpally, Mahabubabad, and Mulugu (Warangal region); Peddapalli (Karimnagar region); and Bhadradri Kothagudem (Khammam region). The adolescent girls in MJPTBCWREIS residential institutions across these four districts are, in many cases, daughters of SCCL’s workforce, mining community members, and families from the backward class, scheduled caste, and scheduled tribe communities that sustain SCCL’s operations. A CSR investment here reaches your own communities.</w:t>
      </w:r>
    </w:p>
    <w:p>
      <w:pPr>
        <w:spacing w:after="180" w:before="0"/>
        <w:jc w:val="left"/>
      </w:pPr>
      <w:r>
        <w:rPr>
          <w:rFonts w:ascii="Arial" w:cs="Arial" w:eastAsia="Arial" w:hAnsi="Arial"/>
          <w:b w:val="false"/>
          <w:bCs w:val="false"/>
          <w:i w:val="false"/>
          <w:iCs w:val="false"/>
          <w:color w:val="1A1A1A"/>
          <w:sz w:val="22"/>
          <w:szCs w:val="22"/>
        </w:rPr>
        <w:t xml:space="preserve">The programme delivers four components in every institution: structured annual </w:t>
      </w:r>
      <w:r>
        <w:rPr>
          <w:rFonts w:ascii="Arial" w:cs="Arial" w:eastAsia="Arial" w:hAnsi="Arial"/>
          <w:b/>
          <w:bCs/>
          <w:i w:val="false"/>
          <w:iCs w:val="false"/>
          <w:color w:val="1A1A1A"/>
          <w:sz w:val="22"/>
          <w:szCs w:val="22"/>
        </w:rPr>
        <w:t xml:space="preserve">MHM awareness sessions</w:t>
      </w:r>
      <w:r>
        <w:rPr>
          <w:rFonts w:ascii="Arial" w:cs="Arial" w:eastAsia="Arial" w:hAnsi="Arial"/>
          <w:b w:val="false"/>
          <w:bCs w:val="false"/>
          <w:i w:val="false"/>
          <w:iCs w:val="false"/>
          <w:color w:val="1A1A1A"/>
          <w:sz w:val="22"/>
          <w:szCs w:val="22"/>
        </w:rPr>
        <w:t xml:space="preserve">; one-time </w:t>
      </w:r>
      <w:r>
        <w:rPr>
          <w:rFonts w:ascii="Arial" w:cs="Arial" w:eastAsia="Arial" w:hAnsi="Arial"/>
          <w:b/>
          <w:bCs/>
          <w:i w:val="false"/>
          <w:iCs w:val="false"/>
          <w:color w:val="1A1A1A"/>
          <w:sz w:val="22"/>
          <w:szCs w:val="22"/>
        </w:rPr>
        <w:t xml:space="preserve">sanitary napkin starter kits</w:t>
      </w:r>
      <w:r>
        <w:rPr>
          <w:rFonts w:ascii="Arial" w:cs="Arial" w:eastAsia="Arial" w:hAnsi="Arial"/>
          <w:b w:val="false"/>
          <w:bCs w:val="false"/>
          <w:i w:val="false"/>
          <w:iCs w:val="false"/>
          <w:color w:val="1A1A1A"/>
          <w:sz w:val="22"/>
          <w:szCs w:val="22"/>
        </w:rPr>
        <w:t xml:space="preserve"> (12 packs per newly enrolled girl); wall-mounted </w:t>
      </w:r>
      <w:r>
        <w:rPr>
          <w:rFonts w:ascii="Arial" w:cs="Arial" w:eastAsia="Arial" w:hAnsi="Arial"/>
          <w:b/>
          <w:bCs/>
          <w:i w:val="false"/>
          <w:iCs w:val="false"/>
          <w:color w:val="1A1A1A"/>
          <w:sz w:val="22"/>
          <w:szCs w:val="22"/>
        </w:rPr>
        <w:t xml:space="preserve">eco-friendly incinerators</w:t>
      </w:r>
      <w:r>
        <w:rPr>
          <w:rFonts w:ascii="Arial" w:cs="Arial" w:eastAsia="Arial" w:hAnsi="Arial"/>
          <w:b w:val="false"/>
          <w:bCs w:val="false"/>
          <w:i w:val="false"/>
          <w:iCs w:val="false"/>
          <w:color w:val="1A1A1A"/>
          <w:sz w:val="22"/>
          <w:szCs w:val="22"/>
        </w:rPr>
        <w:t xml:space="preserve"> (2 per institution, 10+ year service life); and </w:t>
      </w:r>
      <w:r>
        <w:rPr>
          <w:rFonts w:ascii="Arial" w:cs="Arial" w:eastAsia="Arial" w:hAnsi="Arial"/>
          <w:b/>
          <w:bCs/>
          <w:i w:val="false"/>
          <w:iCs w:val="false"/>
          <w:color w:val="1A1A1A"/>
          <w:sz w:val="22"/>
          <w:szCs w:val="22"/>
        </w:rPr>
        <w:t xml:space="preserve">Training of Trainers</w:t>
      </w:r>
      <w:r>
        <w:rPr>
          <w:rFonts w:ascii="Arial" w:cs="Arial" w:eastAsia="Arial" w:hAnsi="Arial"/>
          <w:b w:val="false"/>
          <w:bCs w:val="false"/>
          <w:i w:val="false"/>
          <w:iCs w:val="false"/>
          <w:color w:val="1A1A1A"/>
          <w:sz w:val="22"/>
          <w:szCs w:val="22"/>
        </w:rPr>
        <w:t xml:space="preserve"> for institutional staff to sustain the programme independently from Year 2 — without continued NGO presence.</w:t>
      </w:r>
    </w:p>
    <w:p>
      <w:pPr>
        <w:spacing w:after="80" w:before="0"/>
        <w:jc w:val="left"/>
      </w:pPr>
      <w:r>
        <w:rPr>
          <w:rFonts w:ascii="Arial" w:cs="Arial" w:eastAsia="Arial" w:hAnsi="Arial"/>
          <w:b/>
          <w:bCs/>
          <w:i w:val="false"/>
          <w:iCs w:val="false"/>
          <w:color w:val="1F3864"/>
          <w:sz w:val="21"/>
          <w:szCs w:val="21"/>
        </w:rPr>
        <w:t xml:space="preserve">Proposed Coverage — SCCL Coal Belt Districts Only (Coal-Bearing Districts)</w:t>
      </w:r>
    </w:p>
    <w:tbl>
      <w:tblPr>
        <w:tblW w:type="dxa" w:w="9224"/>
        <w:tblBorders>
          <w:top w:val="single" w:color="auto" w:sz="4"/>
          <w:left w:val="single" w:color="auto" w:sz="4"/>
          <w:bottom w:val="single" w:color="auto" w:sz="4"/>
          <w:right w:val="single" w:color="auto" w:sz="4"/>
          <w:insideH w:val="single" w:color="auto" w:sz="4"/>
          <w:insideV w:val="single" w:color="auto" w:sz="4"/>
        </w:tblBorders>
      </w:tblPr>
      <w:tblGrid>
        <w:gridCol w:w="1800"/>
        <w:gridCol w:w="2824"/>
        <w:gridCol w:w="1200"/>
        <w:gridCol w:w="1100"/>
        <w:gridCol w:w="1000"/>
        <w:gridCol w:w="1300"/>
      </w:tblGrid>
      <w:tr>
        <w:tc>
          <w:tcPr>
            <w:tcW w:type="dxa" w:w="18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spacing w:after="160" w:before="0"/>
              <w:jc w:val="left"/>
            </w:pPr>
            <w:r>
              <w:rPr>
                <w:rFonts w:ascii="Arial" w:cs="Arial" w:eastAsia="Arial" w:hAnsi="Arial"/>
                <w:b/>
                <w:bCs/>
                <w:i w:val="false"/>
                <w:iCs w:val="false"/>
                <w:color w:val="FFFFFF"/>
                <w:sz w:val="18"/>
                <w:szCs w:val="18"/>
              </w:rPr>
              <w:t xml:space="preserve">Region</w:t>
            </w:r>
          </w:p>
        </w:tc>
        <w:tc>
          <w:tcPr>
            <w:tcW w:type="dxa" w:w="2824"/>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spacing w:after="160" w:before="0"/>
              <w:jc w:val="left"/>
            </w:pPr>
            <w:r>
              <w:rPr>
                <w:rFonts w:ascii="Arial" w:cs="Arial" w:eastAsia="Arial" w:hAnsi="Arial"/>
                <w:b/>
                <w:bCs/>
                <w:i w:val="false"/>
                <w:iCs w:val="false"/>
                <w:color w:val="FFFFFF"/>
                <w:sz w:val="18"/>
                <w:szCs w:val="18"/>
              </w:rPr>
              <w:t xml:space="preserve">Districts Covered</w:t>
            </w:r>
          </w:p>
        </w:tc>
        <w:tc>
          <w:tcPr>
            <w:tcW w:type="dxa" w:w="12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spacing w:after="160" w:before="0"/>
              <w:jc w:val="left"/>
            </w:pPr>
            <w:r>
              <w:rPr>
                <w:rFonts w:ascii="Arial" w:cs="Arial" w:eastAsia="Arial" w:hAnsi="Arial"/>
                <w:b/>
                <w:bCs/>
                <w:i w:val="false"/>
                <w:iCs w:val="false"/>
                <w:color w:val="FFFFFF"/>
                <w:sz w:val="18"/>
                <w:szCs w:val="18"/>
              </w:rPr>
              <w:t xml:space="preserve">Institutions</w:t>
            </w:r>
          </w:p>
        </w:tc>
        <w:tc>
          <w:tcPr>
            <w:tcW w:type="dxa" w:w="11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spacing w:after="160" w:before="0"/>
              <w:jc w:val="left"/>
            </w:pPr>
            <w:r>
              <w:rPr>
                <w:rFonts w:ascii="Arial" w:cs="Arial" w:eastAsia="Arial" w:hAnsi="Arial"/>
                <w:b/>
                <w:bCs/>
                <w:i w:val="false"/>
                <w:iCs w:val="false"/>
                <w:color w:val="FFFFFF"/>
                <w:sz w:val="18"/>
                <w:szCs w:val="18"/>
              </w:rPr>
              <w:t xml:space="preserve">Girls Reached</w:t>
            </w:r>
          </w:p>
        </w:tc>
        <w:tc>
          <w:tcPr>
            <w:tcW w:type="dxa" w:w="10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spacing w:after="160" w:before="0"/>
              <w:jc w:val="left"/>
            </w:pPr>
            <w:r>
              <w:rPr>
                <w:rFonts w:ascii="Arial" w:cs="Arial" w:eastAsia="Arial" w:hAnsi="Arial"/>
                <w:b/>
                <w:bCs/>
                <w:i w:val="false"/>
                <w:iCs w:val="false"/>
                <w:color w:val="FFFFFF"/>
                <w:sz w:val="18"/>
                <w:szCs w:val="18"/>
              </w:rPr>
              <w:t xml:space="preserve">Incinerators</w:t>
            </w:r>
          </w:p>
        </w:tc>
        <w:tc>
          <w:tcPr>
            <w:tcW w:type="dxa" w:w="13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spacing w:after="160" w:before="0"/>
              <w:jc w:val="left"/>
            </w:pPr>
            <w:r>
              <w:rPr>
                <w:rFonts w:ascii="Arial" w:cs="Arial" w:eastAsia="Arial" w:hAnsi="Arial"/>
                <w:b/>
                <w:bCs/>
                <w:i w:val="false"/>
                <w:iCs w:val="false"/>
                <w:color w:val="FFFFFF"/>
                <w:sz w:val="18"/>
                <w:szCs w:val="18"/>
              </w:rPr>
              <w:t xml:space="preserve">CSR Ask</w:t>
            </w:r>
          </w:p>
        </w:tc>
      </w:tr>
      <w:tr>
        <w:tc>
          <w:tcPr>
            <w:tcW w:type="dxa" w:w="180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spacing w:after="160" w:before="0"/>
              <w:jc w:val="left"/>
            </w:pPr>
            <w:r>
              <w:rPr>
                <w:rFonts w:ascii="Arial" w:cs="Arial" w:eastAsia="Arial" w:hAnsi="Arial"/>
                <w:b/>
                <w:bCs/>
                <w:i w:val="false"/>
                <w:iCs w:val="false"/>
                <w:color w:val="1F3864"/>
                <w:sz w:val="18"/>
                <w:szCs w:val="18"/>
              </w:rPr>
              <w:t xml:space="preserve">Adilabad</w:t>
            </w:r>
          </w:p>
        </w:tc>
        <w:tc>
          <w:tcPr>
            <w:tcW w:type="dxa" w:w="2824"/>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spacing w:after="160" w:before="0"/>
              <w:jc w:val="left"/>
            </w:pPr>
            <w:r>
              <w:rPr>
                <w:rFonts w:ascii="Arial" w:cs="Arial" w:eastAsia="Arial" w:hAnsi="Arial"/>
                <w:b w:val="false"/>
                <w:bCs w:val="false"/>
                <w:i w:val="false"/>
                <w:iCs w:val="false"/>
                <w:color w:val="1A1A1A"/>
                <w:sz w:val="18"/>
                <w:szCs w:val="18"/>
              </w:rPr>
              <w:t xml:space="preserve">KB Asifabad + Mancherial
(incl. nearby institutions)</w:t>
            </w:r>
          </w:p>
        </w:tc>
        <w:tc>
          <w:tcPr>
            <w:tcW w:type="dxa" w:w="120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spacing w:after="160" w:before="0"/>
              <w:jc w:val="center"/>
            </w:pPr>
            <w:r>
              <w:rPr>
                <w:rFonts w:ascii="Arial" w:cs="Arial" w:eastAsia="Arial" w:hAnsi="Arial"/>
                <w:b w:val="false"/>
                <w:bCs w:val="false"/>
                <w:i w:val="false"/>
                <w:iCs w:val="false"/>
                <w:color w:val="1A1A1A"/>
                <w:sz w:val="18"/>
                <w:szCs w:val="18"/>
              </w:rPr>
              <w:t xml:space="preserve">15</w:t>
            </w:r>
          </w:p>
        </w:tc>
        <w:tc>
          <w:tcPr>
            <w:tcW w:type="dxa" w:w="110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spacing w:after="160" w:before="0"/>
              <w:jc w:val="center"/>
            </w:pPr>
            <w:r>
              <w:rPr>
                <w:rFonts w:ascii="Arial" w:cs="Arial" w:eastAsia="Arial" w:hAnsi="Arial"/>
                <w:b w:val="false"/>
                <w:bCs w:val="false"/>
                <w:i w:val="false"/>
                <w:iCs w:val="false"/>
                <w:color w:val="1A1A1A"/>
                <w:sz w:val="18"/>
                <w:szCs w:val="18"/>
              </w:rPr>
              <w:t xml:space="preserve">~6,709</w:t>
            </w:r>
          </w:p>
        </w:tc>
        <w:tc>
          <w:tcPr>
            <w:tcW w:type="dxa" w:w="100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spacing w:after="160" w:before="0"/>
              <w:jc w:val="center"/>
            </w:pPr>
            <w:r>
              <w:rPr>
                <w:rFonts w:ascii="Arial" w:cs="Arial" w:eastAsia="Arial" w:hAnsi="Arial"/>
                <w:b w:val="false"/>
                <w:bCs w:val="false"/>
                <w:i w:val="false"/>
                <w:iCs w:val="false"/>
                <w:color w:val="1A1A1A"/>
                <w:sz w:val="18"/>
                <w:szCs w:val="18"/>
              </w:rPr>
              <w:t xml:space="preserve">30</w:t>
            </w:r>
          </w:p>
        </w:tc>
        <w:tc>
          <w:tcPr>
            <w:tcW w:type="dxa" w:w="130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spacing w:after="160" w:before="0"/>
              <w:jc w:val="right"/>
            </w:pPr>
            <w:r>
              <w:rPr>
                <w:rFonts w:ascii="Arial" w:cs="Arial" w:eastAsia="Arial" w:hAnsi="Arial"/>
                <w:b/>
                <w:bCs/>
                <w:i w:val="false"/>
                <w:iCs w:val="false"/>
                <w:color w:val="1A1A1A"/>
                <w:sz w:val="18"/>
                <w:szCs w:val="18"/>
              </w:rPr>
              <w:t xml:space="preserve">₹43.89 L</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160" w:before="0"/>
              <w:jc w:val="left"/>
            </w:pPr>
            <w:r>
              <w:rPr>
                <w:rFonts w:ascii="Arial" w:cs="Arial" w:eastAsia="Arial" w:hAnsi="Arial"/>
                <w:b/>
                <w:bCs/>
                <w:i w:val="false"/>
                <w:iCs w:val="false"/>
                <w:color w:val="1F3864"/>
                <w:sz w:val="18"/>
                <w:szCs w:val="18"/>
              </w:rPr>
              <w:t xml:space="preserve">Karimnagar</w:t>
            </w:r>
          </w:p>
        </w:tc>
        <w:tc>
          <w:tcPr>
            <w:tcW w:type="dxa" w:w="2824"/>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160" w:before="0"/>
              <w:jc w:val="left"/>
            </w:pPr>
            <w:r>
              <w:rPr>
                <w:rFonts w:ascii="Arial" w:cs="Arial" w:eastAsia="Arial" w:hAnsi="Arial"/>
                <w:b w:val="false"/>
                <w:bCs w:val="false"/>
                <w:i w:val="false"/>
                <w:iCs w:val="false"/>
                <w:color w:val="1A1A1A"/>
                <w:sz w:val="18"/>
                <w:szCs w:val="18"/>
              </w:rPr>
              <w:t xml:space="preserve">Peddapalli + adjoining
coal belt mandals</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160" w:before="0"/>
              <w:jc w:val="center"/>
            </w:pPr>
            <w:r>
              <w:rPr>
                <w:rFonts w:ascii="Arial" w:cs="Arial" w:eastAsia="Arial" w:hAnsi="Arial"/>
                <w:b w:val="false"/>
                <w:bCs w:val="false"/>
                <w:i w:val="false"/>
                <w:iCs w:val="false"/>
                <w:color w:val="1A1A1A"/>
                <w:sz w:val="18"/>
                <w:szCs w:val="18"/>
              </w:rPr>
              <w:t xml:space="preserve">9</w:t>
            </w:r>
          </w:p>
        </w:tc>
        <w:tc>
          <w:tcPr>
            <w:tcW w:type="dxa" w:w="11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160" w:before="0"/>
              <w:jc w:val="center"/>
            </w:pPr>
            <w:r>
              <w:rPr>
                <w:rFonts w:ascii="Arial" w:cs="Arial" w:eastAsia="Arial" w:hAnsi="Arial"/>
                <w:b w:val="false"/>
                <w:bCs w:val="false"/>
                <w:i w:val="false"/>
                <w:iCs w:val="false"/>
                <w:color w:val="1A1A1A"/>
                <w:sz w:val="18"/>
                <w:szCs w:val="18"/>
              </w:rPr>
              <w:t xml:space="preserve">~4,025</w:t>
            </w:r>
          </w:p>
        </w:tc>
        <w:tc>
          <w:tcPr>
            <w:tcW w:type="dxa" w:w="1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160" w:before="0"/>
              <w:jc w:val="center"/>
            </w:pPr>
            <w:r>
              <w:rPr>
                <w:rFonts w:ascii="Arial" w:cs="Arial" w:eastAsia="Arial" w:hAnsi="Arial"/>
                <w:b w:val="false"/>
                <w:bCs w:val="false"/>
                <w:i w:val="false"/>
                <w:iCs w:val="false"/>
                <w:color w:val="1A1A1A"/>
                <w:sz w:val="18"/>
                <w:szCs w:val="18"/>
              </w:rPr>
              <w:t xml:space="preserve">18</w:t>
            </w:r>
          </w:p>
        </w:tc>
        <w:tc>
          <w:tcPr>
            <w:tcW w:type="dxa" w:w="13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160" w:before="0"/>
              <w:jc w:val="right"/>
            </w:pPr>
            <w:r>
              <w:rPr>
                <w:rFonts w:ascii="Arial" w:cs="Arial" w:eastAsia="Arial" w:hAnsi="Arial"/>
                <w:b/>
                <w:bCs/>
                <w:i w:val="false"/>
                <w:iCs w:val="false"/>
                <w:color w:val="1A1A1A"/>
                <w:sz w:val="18"/>
                <w:szCs w:val="18"/>
              </w:rPr>
              <w:t xml:space="preserve">₹26.33 L</w:t>
            </w:r>
          </w:p>
        </w:tc>
      </w:tr>
      <w:tr>
        <w:tc>
          <w:tcPr>
            <w:tcW w:type="dxa" w:w="180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spacing w:after="160" w:before="0"/>
              <w:jc w:val="left"/>
            </w:pPr>
            <w:r>
              <w:rPr>
                <w:rFonts w:ascii="Arial" w:cs="Arial" w:eastAsia="Arial" w:hAnsi="Arial"/>
                <w:b/>
                <w:bCs/>
                <w:i w:val="false"/>
                <w:iCs w:val="false"/>
                <w:color w:val="1F3864"/>
                <w:sz w:val="18"/>
                <w:szCs w:val="18"/>
              </w:rPr>
              <w:t xml:space="preserve">Warangal</w:t>
            </w:r>
          </w:p>
        </w:tc>
        <w:tc>
          <w:tcPr>
            <w:tcW w:type="dxa" w:w="2824"/>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spacing w:after="160" w:before="0"/>
              <w:jc w:val="left"/>
            </w:pPr>
            <w:r>
              <w:rPr>
                <w:rFonts w:ascii="Arial" w:cs="Arial" w:eastAsia="Arial" w:hAnsi="Arial"/>
                <w:b w:val="false"/>
                <w:bCs w:val="false"/>
                <w:i w:val="false"/>
                <w:iCs w:val="false"/>
                <w:color w:val="1A1A1A"/>
                <w:sz w:val="18"/>
                <w:szCs w:val="18"/>
              </w:rPr>
              <w:t xml:space="preserve">JSK Bhupalpally + Mahabubabad
+ Mulugu + adjoining</w:t>
            </w:r>
          </w:p>
        </w:tc>
        <w:tc>
          <w:tcPr>
            <w:tcW w:type="dxa" w:w="120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spacing w:after="160" w:before="0"/>
              <w:jc w:val="center"/>
            </w:pPr>
            <w:r>
              <w:rPr>
                <w:rFonts w:ascii="Arial" w:cs="Arial" w:eastAsia="Arial" w:hAnsi="Arial"/>
                <w:b w:val="false"/>
                <w:bCs w:val="false"/>
                <w:i w:val="false"/>
                <w:iCs w:val="false"/>
                <w:color w:val="1A1A1A"/>
                <w:sz w:val="18"/>
                <w:szCs w:val="18"/>
              </w:rPr>
              <w:t xml:space="preserve">22</w:t>
            </w:r>
          </w:p>
        </w:tc>
        <w:tc>
          <w:tcPr>
            <w:tcW w:type="dxa" w:w="110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spacing w:after="160" w:before="0"/>
              <w:jc w:val="center"/>
            </w:pPr>
            <w:r>
              <w:rPr>
                <w:rFonts w:ascii="Arial" w:cs="Arial" w:eastAsia="Arial" w:hAnsi="Arial"/>
                <w:b w:val="false"/>
                <w:bCs w:val="false"/>
                <w:i w:val="false"/>
                <w:iCs w:val="false"/>
                <w:color w:val="1A1A1A"/>
                <w:sz w:val="18"/>
                <w:szCs w:val="18"/>
              </w:rPr>
              <w:t xml:space="preserve">~9,840</w:t>
            </w:r>
          </w:p>
        </w:tc>
        <w:tc>
          <w:tcPr>
            <w:tcW w:type="dxa" w:w="100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spacing w:after="160" w:before="0"/>
              <w:jc w:val="center"/>
            </w:pPr>
            <w:r>
              <w:rPr>
                <w:rFonts w:ascii="Arial" w:cs="Arial" w:eastAsia="Arial" w:hAnsi="Arial"/>
                <w:b w:val="false"/>
                <w:bCs w:val="false"/>
                <w:i w:val="false"/>
                <w:iCs w:val="false"/>
                <w:color w:val="1A1A1A"/>
                <w:sz w:val="18"/>
                <w:szCs w:val="18"/>
              </w:rPr>
              <w:t xml:space="preserve">44</w:t>
            </w:r>
          </w:p>
        </w:tc>
        <w:tc>
          <w:tcPr>
            <w:tcW w:type="dxa" w:w="130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spacing w:after="160" w:before="0"/>
              <w:jc w:val="right"/>
            </w:pPr>
            <w:r>
              <w:rPr>
                <w:rFonts w:ascii="Arial" w:cs="Arial" w:eastAsia="Arial" w:hAnsi="Arial"/>
                <w:b/>
                <w:bCs/>
                <w:i w:val="false"/>
                <w:iCs w:val="false"/>
                <w:color w:val="1A1A1A"/>
                <w:sz w:val="18"/>
                <w:szCs w:val="18"/>
              </w:rPr>
              <w:t xml:space="preserve">₹64.37 L</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160" w:before="0"/>
              <w:jc w:val="left"/>
            </w:pPr>
            <w:r>
              <w:rPr>
                <w:rFonts w:ascii="Arial" w:cs="Arial" w:eastAsia="Arial" w:hAnsi="Arial"/>
                <w:b/>
                <w:bCs/>
                <w:i w:val="false"/>
                <w:iCs w:val="false"/>
                <w:color w:val="1F3864"/>
                <w:sz w:val="18"/>
                <w:szCs w:val="18"/>
              </w:rPr>
              <w:t xml:space="preserve">Khammam</w:t>
            </w:r>
          </w:p>
        </w:tc>
        <w:tc>
          <w:tcPr>
            <w:tcW w:type="dxa" w:w="2824"/>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160" w:before="0"/>
              <w:jc w:val="left"/>
            </w:pPr>
            <w:r>
              <w:rPr>
                <w:rFonts w:ascii="Arial" w:cs="Arial" w:eastAsia="Arial" w:hAnsi="Arial"/>
                <w:b w:val="false"/>
                <w:bCs w:val="false"/>
                <w:i w:val="false"/>
                <w:iCs w:val="false"/>
                <w:color w:val="1A1A1A"/>
                <w:sz w:val="18"/>
                <w:szCs w:val="18"/>
              </w:rPr>
              <w:t xml:space="preserve">Bhadradri Kothagudem
+ adjoining coal belt</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160" w:before="0"/>
              <w:jc w:val="center"/>
            </w:pPr>
            <w:r>
              <w:rPr>
                <w:rFonts w:ascii="Arial" w:cs="Arial" w:eastAsia="Arial" w:hAnsi="Arial"/>
                <w:b w:val="false"/>
                <w:bCs w:val="false"/>
                <w:i w:val="false"/>
                <w:iCs w:val="false"/>
                <w:color w:val="1A1A1A"/>
                <w:sz w:val="18"/>
                <w:szCs w:val="18"/>
              </w:rPr>
              <w:t xml:space="preserve">14</w:t>
            </w:r>
          </w:p>
        </w:tc>
        <w:tc>
          <w:tcPr>
            <w:tcW w:type="dxa" w:w="11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160" w:before="0"/>
              <w:jc w:val="center"/>
            </w:pPr>
            <w:r>
              <w:rPr>
                <w:rFonts w:ascii="Arial" w:cs="Arial" w:eastAsia="Arial" w:hAnsi="Arial"/>
                <w:b w:val="false"/>
                <w:bCs w:val="false"/>
                <w:i w:val="false"/>
                <w:iCs w:val="false"/>
                <w:color w:val="1A1A1A"/>
                <w:sz w:val="18"/>
                <w:szCs w:val="18"/>
              </w:rPr>
              <w:t xml:space="preserve">~6,262</w:t>
            </w:r>
          </w:p>
        </w:tc>
        <w:tc>
          <w:tcPr>
            <w:tcW w:type="dxa" w:w="1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160" w:before="0"/>
              <w:jc w:val="center"/>
            </w:pPr>
            <w:r>
              <w:rPr>
                <w:rFonts w:ascii="Arial" w:cs="Arial" w:eastAsia="Arial" w:hAnsi="Arial"/>
                <w:b w:val="false"/>
                <w:bCs w:val="false"/>
                <w:i w:val="false"/>
                <w:iCs w:val="false"/>
                <w:color w:val="1A1A1A"/>
                <w:sz w:val="18"/>
                <w:szCs w:val="18"/>
              </w:rPr>
              <w:t xml:space="preserve">28</w:t>
            </w:r>
          </w:p>
        </w:tc>
        <w:tc>
          <w:tcPr>
            <w:tcW w:type="dxa" w:w="13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160" w:before="0"/>
              <w:jc w:val="right"/>
            </w:pPr>
            <w:r>
              <w:rPr>
                <w:rFonts w:ascii="Arial" w:cs="Arial" w:eastAsia="Arial" w:hAnsi="Arial"/>
                <w:b/>
                <w:bCs/>
                <w:i w:val="false"/>
                <w:iCs w:val="false"/>
                <w:color w:val="1A1A1A"/>
                <w:sz w:val="18"/>
                <w:szCs w:val="18"/>
              </w:rPr>
              <w:t xml:space="preserve">₹40.96 L</w:t>
            </w:r>
          </w:p>
        </w:tc>
      </w:tr>
      <w:tr>
        <w:tc>
          <w:tcPr>
            <w:gridSpan w:val="2"/>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pPr>
              <w:spacing w:after="160" w:before="0"/>
              <w:jc w:val="right"/>
            </w:pPr>
            <w:r>
              <w:rPr>
                <w:rFonts w:ascii="Arial" w:cs="Arial" w:eastAsia="Arial" w:hAnsi="Arial"/>
                <w:b/>
                <w:bCs/>
                <w:i w:val="false"/>
                <w:iCs w:val="false"/>
                <w:color w:val="FFFFFF"/>
                <w:sz w:val="20"/>
                <w:szCs w:val="20"/>
              </w:rPr>
              <w:t xml:space="preserve">TOTAL — 4 Coal Belt Districts</w:t>
            </w:r>
          </w:p>
        </w:tc>
        <w:tc>
          <w:tcPr>
            <w:tcW w:type="dxa" w:w="1200"/>
            <w:tcBorders>
              <w:top w:val="single" w:color="DDDDDD" w:sz="4"/>
              <w:left w:val="single" w:color="DDDDDD" w:sz="4"/>
              <w:bottom w:val="single" w:color="DDDDDD" w:sz="4"/>
              <w:right w:val="single" w:color="DDDDDD" w:sz="4"/>
            </w:tcBorders>
            <w:shd w:fill="1F3864" w:val="clear"/>
            <w:tcMar>
              <w:top w:type="dxa" w:w="80"/>
              <w:left w:type="dxa" w:w="120"/>
              <w:bottom w:type="dxa" w:w="80"/>
              <w:right w:type="dxa" w:w="120"/>
            </w:tcMar>
            <w:vAlign w:val="center"/>
          </w:tcPr>
          <w:p>
            <w:pPr>
              <w:spacing w:after="160" w:before="0"/>
              <w:jc w:val="center"/>
            </w:pPr>
            <w:r>
              <w:rPr>
                <w:rFonts w:ascii="Arial" w:cs="Arial" w:eastAsia="Arial" w:hAnsi="Arial"/>
                <w:b/>
                <w:bCs/>
                <w:i w:val="false"/>
                <w:iCs w:val="false"/>
                <w:color w:val="FFFFFF"/>
                <w:sz w:val="18"/>
                <w:szCs w:val="18"/>
              </w:rPr>
              <w:t xml:space="preserve">60 institutions</w:t>
            </w:r>
          </w:p>
        </w:tc>
        <w:tc>
          <w:tcPr>
            <w:tcW w:type="dxa" w:w="1100"/>
            <w:tcBorders>
              <w:top w:val="single" w:color="DDDDDD" w:sz="4"/>
              <w:left w:val="single" w:color="DDDDDD" w:sz="4"/>
              <w:bottom w:val="single" w:color="DDDDDD" w:sz="4"/>
              <w:right w:val="single" w:color="DDDDDD" w:sz="4"/>
            </w:tcBorders>
            <w:shd w:fill="1F3864" w:val="clear"/>
            <w:tcMar>
              <w:top w:type="dxa" w:w="80"/>
              <w:left w:type="dxa" w:w="120"/>
              <w:bottom w:type="dxa" w:w="80"/>
              <w:right w:type="dxa" w:w="120"/>
            </w:tcMar>
            <w:vAlign w:val="center"/>
          </w:tcPr>
          <w:p>
            <w:pPr>
              <w:spacing w:after="160" w:before="0"/>
              <w:jc w:val="center"/>
            </w:pPr>
            <w:r>
              <w:rPr>
                <w:rFonts w:ascii="Arial" w:cs="Arial" w:eastAsia="Arial" w:hAnsi="Arial"/>
                <w:b/>
                <w:bCs/>
                <w:i w:val="false"/>
                <w:iCs w:val="false"/>
                <w:color w:val="FFFFFF"/>
                <w:sz w:val="18"/>
                <w:szCs w:val="18"/>
              </w:rPr>
              <w:t xml:space="preserve">~26,836</w:t>
            </w:r>
          </w:p>
        </w:tc>
        <w:tc>
          <w:tcPr>
            <w:tcW w:type="dxa" w:w="1000"/>
            <w:tcBorders>
              <w:top w:val="single" w:color="DDDDDD" w:sz="4"/>
              <w:left w:val="single" w:color="DDDDDD" w:sz="4"/>
              <w:bottom w:val="single" w:color="DDDDDD" w:sz="4"/>
              <w:right w:val="single" w:color="DDDDDD" w:sz="4"/>
            </w:tcBorders>
            <w:shd w:fill="1F3864" w:val="clear"/>
            <w:tcMar>
              <w:top w:type="dxa" w:w="80"/>
              <w:left w:type="dxa" w:w="120"/>
              <w:bottom w:type="dxa" w:w="80"/>
              <w:right w:type="dxa" w:w="120"/>
            </w:tcMar>
            <w:vAlign w:val="center"/>
          </w:tcPr>
          <w:p>
            <w:pPr>
              <w:spacing w:after="160" w:before="0"/>
              <w:jc w:val="center"/>
            </w:pPr>
            <w:r>
              <w:rPr>
                <w:rFonts w:ascii="Arial" w:cs="Arial" w:eastAsia="Arial" w:hAnsi="Arial"/>
                <w:b/>
                <w:bCs/>
                <w:i w:val="false"/>
                <w:iCs w:val="false"/>
                <w:color w:val="FFFFFF"/>
                <w:sz w:val="18"/>
                <w:szCs w:val="18"/>
              </w:rPr>
              <w:t xml:space="preserve">120</w:t>
            </w:r>
          </w:p>
        </w:tc>
        <w:tc>
          <w:tcPr>
            <w:tcW w:type="dxa" w:w="1300"/>
            <w:tcBorders>
              <w:top w:val="single" w:color="DDDDDD" w:sz="4"/>
              <w:left w:val="single" w:color="DDDDDD" w:sz="4"/>
              <w:bottom w:val="single" w:color="DDDDDD" w:sz="4"/>
              <w:right w:val="single" w:color="DDDDDD" w:sz="4"/>
            </w:tcBorders>
            <w:shd w:fill="1F3864" w:val="clear"/>
            <w:tcMar>
              <w:top w:type="dxa" w:w="80"/>
              <w:left w:type="dxa" w:w="120"/>
              <w:bottom w:type="dxa" w:w="80"/>
              <w:right w:type="dxa" w:w="120"/>
            </w:tcMar>
            <w:vAlign w:val="center"/>
          </w:tcPr>
          <w:p>
            <w:pPr>
              <w:spacing w:after="160" w:before="0"/>
              <w:jc w:val="right"/>
            </w:pPr>
            <w:r>
              <w:rPr>
                <w:rFonts w:ascii="Arial" w:cs="Arial" w:eastAsia="Arial" w:hAnsi="Arial"/>
                <w:b/>
                <w:bCs/>
                <w:i w:val="false"/>
                <w:iCs w:val="false"/>
                <w:color w:val="FFFFFF"/>
                <w:sz w:val="18"/>
                <w:szCs w:val="18"/>
              </w:rPr>
              <w:t xml:space="preserve">₹1,75,56,219</w:t>
            </w:r>
          </w:p>
        </w:tc>
      </w:tr>
    </w:tbl>
    <w:p>
      <w:pPr>
        <w:spacing w:after="140" w:before="0"/>
      </w:pPr>
    </w:p>
    <w:p>
      <w:pPr>
        <w:spacing w:after="80" w:before="0"/>
        <w:jc w:val="left"/>
      </w:pPr>
      <w:r>
        <w:rPr>
          <w:rFonts w:ascii="Arial" w:cs="Arial" w:eastAsia="Arial" w:hAnsi="Arial"/>
          <w:b/>
          <w:bCs/>
          <w:i w:val="false"/>
          <w:iCs w:val="false"/>
          <w:color w:val="1F3864"/>
          <w:sz w:val="21"/>
          <w:szCs w:val="21"/>
        </w:rPr>
        <w:t xml:space="preserve">Cost Breakdown by Component — 4 Districts Combined</w:t>
      </w:r>
    </w:p>
    <w:tbl>
      <w:tblPr>
        <w:tblW w:type="dxa" w:w="9224"/>
        <w:tblBorders>
          <w:top w:val="single" w:color="auto" w:sz="4"/>
          <w:left w:val="single" w:color="auto" w:sz="4"/>
          <w:bottom w:val="single" w:color="auto" w:sz="4"/>
          <w:right w:val="single" w:color="auto" w:sz="4"/>
          <w:insideH w:val="single" w:color="auto" w:sz="4"/>
          <w:insideV w:val="single" w:color="auto" w:sz="4"/>
        </w:tblBorders>
      </w:tblPr>
      <w:tblGrid>
        <w:gridCol w:w="4024"/>
        <w:gridCol w:w="2600"/>
        <w:gridCol w:w="2600"/>
      </w:tblGrid>
      <w:tr>
        <w:tc>
          <w:tcPr>
            <w:tcW w:type="dxa" w:w="4024"/>
            <w:tcBorders>
              <w:top w:val="single" w:color="FFFFFF" w:sz="4"/>
              <w:left w:val="single" w:color="FFFFFF" w:sz="4"/>
              <w:bottom w:val="single" w:color="FFFFFF" w:sz="4"/>
              <w:right w:val="single" w:color="FFFFFF" w:sz="4"/>
            </w:tcBorders>
            <w:shd w:fill="7B1F3A" w:val="clear"/>
            <w:tcMar>
              <w:top w:type="dxa" w:w="80"/>
              <w:left w:type="dxa" w:w="120"/>
              <w:bottom w:type="dxa" w:w="80"/>
              <w:right w:type="dxa" w:w="120"/>
            </w:tcMar>
            <w:vAlign w:val="center"/>
          </w:tcPr>
          <w:p>
            <w:pPr>
              <w:spacing w:after="160" w:before="0"/>
              <w:jc w:val="left"/>
            </w:pPr>
            <w:r>
              <w:rPr>
                <w:rFonts w:ascii="Arial" w:cs="Arial" w:eastAsia="Arial" w:hAnsi="Arial"/>
                <w:b/>
                <w:bCs/>
                <w:i w:val="false"/>
                <w:iCs w:val="false"/>
                <w:color w:val="FFFFFF"/>
                <w:sz w:val="18"/>
                <w:szCs w:val="18"/>
              </w:rPr>
              <w:t xml:space="preserve">Component</w:t>
            </w:r>
          </w:p>
        </w:tc>
        <w:tc>
          <w:tcPr>
            <w:tcW w:type="dxa" w:w="2600"/>
            <w:tcBorders>
              <w:top w:val="single" w:color="FFFFFF" w:sz="4"/>
              <w:left w:val="single" w:color="FFFFFF" w:sz="4"/>
              <w:bottom w:val="single" w:color="FFFFFF" w:sz="4"/>
              <w:right w:val="single" w:color="FFFFFF" w:sz="4"/>
            </w:tcBorders>
            <w:shd w:fill="7B1F3A" w:val="clear"/>
            <w:tcMar>
              <w:top w:type="dxa" w:w="80"/>
              <w:left w:type="dxa" w:w="120"/>
              <w:bottom w:type="dxa" w:w="80"/>
              <w:right w:type="dxa" w:w="120"/>
            </w:tcMar>
            <w:vAlign w:val="center"/>
          </w:tcPr>
          <w:p>
            <w:pPr>
              <w:spacing w:after="160" w:before="0"/>
              <w:jc w:val="left"/>
            </w:pPr>
            <w:r>
              <w:rPr>
                <w:rFonts w:ascii="Arial" w:cs="Arial" w:eastAsia="Arial" w:hAnsi="Arial"/>
                <w:b/>
                <w:bCs/>
                <w:i w:val="false"/>
                <w:iCs w:val="false"/>
                <w:color w:val="FFFFFF"/>
                <w:sz w:val="18"/>
                <w:szCs w:val="18"/>
              </w:rPr>
              <w:t xml:space="preserve">Coverage</w:t>
            </w:r>
          </w:p>
        </w:tc>
        <w:tc>
          <w:tcPr>
            <w:tcW w:type="dxa" w:w="2600"/>
            <w:tcBorders>
              <w:top w:val="single" w:color="FFFFFF" w:sz="4"/>
              <w:left w:val="single" w:color="FFFFFF" w:sz="4"/>
              <w:bottom w:val="single" w:color="FFFFFF" w:sz="4"/>
              <w:right w:val="single" w:color="FFFFFF" w:sz="4"/>
            </w:tcBorders>
            <w:shd w:fill="7B1F3A" w:val="clear"/>
            <w:tcMar>
              <w:top w:type="dxa" w:w="80"/>
              <w:left w:type="dxa" w:w="120"/>
              <w:bottom w:type="dxa" w:w="80"/>
              <w:right w:type="dxa" w:w="120"/>
            </w:tcMar>
            <w:vAlign w:val="center"/>
          </w:tcPr>
          <w:p>
            <w:pPr>
              <w:spacing w:after="160" w:before="0"/>
              <w:jc w:val="left"/>
            </w:pPr>
            <w:r>
              <w:rPr>
                <w:rFonts w:ascii="Arial" w:cs="Arial" w:eastAsia="Arial" w:hAnsi="Arial"/>
                <w:b/>
                <w:bCs/>
                <w:i w:val="false"/>
                <w:iCs w:val="false"/>
                <w:color w:val="FFFFFF"/>
                <w:sz w:val="18"/>
                <w:szCs w:val="18"/>
              </w:rPr>
              <w:t xml:space="preserve">Amount (₹)</w:t>
            </w:r>
          </w:p>
        </w:tc>
      </w:tr>
      <w:tr>
        <w:tc>
          <w:tcPr>
            <w:tcW w:type="dxa" w:w="4024"/>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spacing w:after="160" w:before="0"/>
              <w:jc w:val="left"/>
            </w:pPr>
            <w:r>
              <w:rPr>
                <w:rFonts w:ascii="Arial" w:cs="Arial" w:eastAsia="Arial" w:hAnsi="Arial"/>
                <w:b w:val="false"/>
                <w:bCs w:val="false"/>
                <w:i w:val="false"/>
                <w:iCs w:val="false"/>
                <w:color w:val="1A1A1A"/>
                <w:sz w:val="19"/>
                <w:szCs w:val="19"/>
              </w:rPr>
              <w:t xml:space="preserve">A.  MHM Awareness &amp; Capacity Building Sessions</w:t>
            </w:r>
          </w:p>
        </w:tc>
        <w:tc>
          <w:tcPr>
            <w:tcW w:type="dxa" w:w="260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spacing w:after="160" w:before="0"/>
              <w:jc w:val="left"/>
            </w:pPr>
            <w:r>
              <w:rPr>
                <w:rFonts w:ascii="Arial" w:cs="Arial" w:eastAsia="Arial" w:hAnsi="Arial"/>
                <w:b w:val="false"/>
                <w:bCs w:val="false"/>
                <w:i w:val="false"/>
                <w:iCs w:val="false"/>
                <w:color w:val="1A1A1A"/>
                <w:sz w:val="18"/>
                <w:szCs w:val="18"/>
              </w:rPr>
              <w:t xml:space="preserve">60 institutions</w:t>
            </w:r>
          </w:p>
        </w:tc>
        <w:tc>
          <w:tcPr>
            <w:tcW w:type="dxa" w:w="260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spacing w:after="160" w:before="0"/>
              <w:jc w:val="right"/>
            </w:pPr>
            <w:r>
              <w:rPr>
                <w:rFonts w:ascii="Arial" w:cs="Arial" w:eastAsia="Arial" w:hAnsi="Arial"/>
                <w:b w:val="false"/>
                <w:bCs w:val="false"/>
                <w:i w:val="false"/>
                <w:iCs w:val="false"/>
                <w:color w:val="1A1A1A"/>
                <w:sz w:val="19"/>
                <w:szCs w:val="19"/>
              </w:rPr>
              <w:t xml:space="preserve">15,00,000</w:t>
            </w:r>
          </w:p>
        </w:tc>
      </w:tr>
      <w:tr>
        <w:tc>
          <w:tcPr>
            <w:tcW w:type="dxa" w:w="4024"/>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160" w:before="0"/>
              <w:jc w:val="left"/>
            </w:pPr>
            <w:r>
              <w:rPr>
                <w:rFonts w:ascii="Arial" w:cs="Arial" w:eastAsia="Arial" w:hAnsi="Arial"/>
                <w:b w:val="false"/>
                <w:bCs w:val="false"/>
                <w:i w:val="false"/>
                <w:iCs w:val="false"/>
                <w:color w:val="1A1A1A"/>
                <w:sz w:val="19"/>
                <w:szCs w:val="19"/>
              </w:rPr>
              <w:t xml:space="preserve">B.  Sanitary Napkin Starter Kits (12 packs per newly enrolled girl)</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160" w:before="0"/>
              <w:jc w:val="left"/>
            </w:pPr>
            <w:r>
              <w:rPr>
                <w:rFonts w:ascii="Arial" w:cs="Arial" w:eastAsia="Arial" w:hAnsi="Arial"/>
                <w:b w:val="false"/>
                <w:bCs w:val="false"/>
                <w:i w:val="false"/>
                <w:iCs w:val="false"/>
                <w:color w:val="1A1A1A"/>
                <w:sz w:val="18"/>
                <w:szCs w:val="18"/>
              </w:rPr>
              <w:t xml:space="preserve">~26,836 girls × ₹45/pack</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160" w:before="0"/>
              <w:jc w:val="right"/>
            </w:pPr>
            <w:r>
              <w:rPr>
                <w:rFonts w:ascii="Arial" w:cs="Arial" w:eastAsia="Arial" w:hAnsi="Arial"/>
                <w:b w:val="false"/>
                <w:bCs w:val="false"/>
                <w:i w:val="false"/>
                <w:iCs w:val="false"/>
                <w:color w:val="1A1A1A"/>
                <w:sz w:val="19"/>
                <w:szCs w:val="19"/>
              </w:rPr>
              <w:t xml:space="preserve">1,10,80,000</w:t>
            </w:r>
          </w:p>
        </w:tc>
      </w:tr>
      <w:tr>
        <w:tc>
          <w:tcPr>
            <w:tcW w:type="dxa" w:w="4024"/>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spacing w:after="160" w:before="0"/>
              <w:jc w:val="left"/>
            </w:pPr>
            <w:r>
              <w:rPr>
                <w:rFonts w:ascii="Arial" w:cs="Arial" w:eastAsia="Arial" w:hAnsi="Arial"/>
                <w:b w:val="false"/>
                <w:bCs w:val="false"/>
                <w:i w:val="false"/>
                <w:iCs w:val="false"/>
                <w:color w:val="1A1A1A"/>
                <w:sz w:val="19"/>
                <w:szCs w:val="19"/>
              </w:rPr>
              <w:t xml:space="preserve">C.  IEC Materials (Telugu flipbooks, charts, posters)</w:t>
            </w:r>
          </w:p>
        </w:tc>
        <w:tc>
          <w:tcPr>
            <w:tcW w:type="dxa" w:w="260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spacing w:after="160" w:before="0"/>
              <w:jc w:val="left"/>
            </w:pPr>
            <w:r>
              <w:rPr>
                <w:rFonts w:ascii="Arial" w:cs="Arial" w:eastAsia="Arial" w:hAnsi="Arial"/>
                <w:b w:val="false"/>
                <w:bCs w:val="false"/>
                <w:i w:val="false"/>
                <w:iCs w:val="false"/>
                <w:color w:val="1A1A1A"/>
                <w:sz w:val="18"/>
                <w:szCs w:val="18"/>
              </w:rPr>
              <w:t xml:space="preserve">60 institutions</w:t>
            </w:r>
          </w:p>
        </w:tc>
        <w:tc>
          <w:tcPr>
            <w:tcW w:type="dxa" w:w="260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spacing w:after="160" w:before="0"/>
              <w:jc w:val="right"/>
            </w:pPr>
            <w:r>
              <w:rPr>
                <w:rFonts w:ascii="Arial" w:cs="Arial" w:eastAsia="Arial" w:hAnsi="Arial"/>
                <w:b w:val="false"/>
                <w:bCs w:val="false"/>
                <w:i w:val="false"/>
                <w:iCs w:val="false"/>
                <w:color w:val="1A1A1A"/>
                <w:sz w:val="19"/>
                <w:szCs w:val="19"/>
              </w:rPr>
              <w:t xml:space="preserve">1,80,000</w:t>
            </w:r>
          </w:p>
        </w:tc>
      </w:tr>
      <w:tr>
        <w:tc>
          <w:tcPr>
            <w:tcW w:type="dxa" w:w="4024"/>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160" w:before="0"/>
              <w:jc w:val="left"/>
            </w:pPr>
            <w:r>
              <w:rPr>
                <w:rFonts w:ascii="Arial" w:cs="Arial" w:eastAsia="Arial" w:hAnsi="Arial"/>
                <w:b w:val="false"/>
                <w:bCs w:val="false"/>
                <w:i w:val="false"/>
                <w:iCs w:val="false"/>
                <w:color w:val="1A1A1A"/>
                <w:sz w:val="19"/>
                <w:szCs w:val="19"/>
              </w:rPr>
              <w:t xml:space="preserve">D.  Sanitary Napkin Incinerators (2 per institution × ₹20,000)</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160" w:before="0"/>
              <w:jc w:val="left"/>
            </w:pPr>
            <w:r>
              <w:rPr>
                <w:rFonts w:ascii="Arial" w:cs="Arial" w:eastAsia="Arial" w:hAnsi="Arial"/>
                <w:b w:val="false"/>
                <w:bCs w:val="false"/>
                <w:i w:val="false"/>
                <w:iCs w:val="false"/>
                <w:color w:val="1A1A1A"/>
                <w:sz w:val="18"/>
                <w:szCs w:val="18"/>
              </w:rPr>
              <w:t xml:space="preserve">120 incinerators</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160" w:before="0"/>
              <w:jc w:val="right"/>
            </w:pPr>
            <w:r>
              <w:rPr>
                <w:rFonts w:ascii="Arial" w:cs="Arial" w:eastAsia="Arial" w:hAnsi="Arial"/>
                <w:b w:val="false"/>
                <w:bCs w:val="false"/>
                <w:i w:val="false"/>
                <w:iCs w:val="false"/>
                <w:color w:val="1A1A1A"/>
                <w:sz w:val="19"/>
                <w:szCs w:val="19"/>
              </w:rPr>
              <w:t xml:space="preserve">24,00,000</w:t>
            </w:r>
          </w:p>
        </w:tc>
      </w:tr>
      <w:tr>
        <w:tc>
          <w:tcPr>
            <w:tcW w:type="dxa" w:w="4024"/>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spacing w:after="160" w:before="0"/>
              <w:jc w:val="left"/>
            </w:pPr>
            <w:r>
              <w:rPr>
                <w:rFonts w:ascii="Arial" w:cs="Arial" w:eastAsia="Arial" w:hAnsi="Arial"/>
                <w:b w:val="false"/>
                <w:bCs w:val="false"/>
                <w:i w:val="false"/>
                <w:iCs w:val="false"/>
                <w:color w:val="1A1A1A"/>
                <w:sz w:val="19"/>
                <w:szCs w:val="19"/>
              </w:rPr>
              <w:t xml:space="preserve">E.  Monitoring, Coordination &amp; Annual Reporting</w:t>
            </w:r>
          </w:p>
        </w:tc>
        <w:tc>
          <w:tcPr>
            <w:tcW w:type="dxa" w:w="260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spacing w:after="160" w:before="0"/>
              <w:jc w:val="left"/>
            </w:pPr>
            <w:r>
              <w:rPr>
                <w:rFonts w:ascii="Arial" w:cs="Arial" w:eastAsia="Arial" w:hAnsi="Arial"/>
                <w:b w:val="false"/>
                <w:bCs w:val="false"/>
                <w:i w:val="false"/>
                <w:iCs w:val="false"/>
                <w:color w:val="1A1A1A"/>
                <w:sz w:val="18"/>
                <w:szCs w:val="18"/>
              </w:rPr>
              <w:t xml:space="preserve">12 months</w:t>
            </w:r>
          </w:p>
        </w:tc>
        <w:tc>
          <w:tcPr>
            <w:tcW w:type="dxa" w:w="260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spacing w:after="160" w:before="0"/>
              <w:jc w:val="right"/>
            </w:pPr>
            <w:r>
              <w:rPr>
                <w:rFonts w:ascii="Arial" w:cs="Arial" w:eastAsia="Arial" w:hAnsi="Arial"/>
                <w:b w:val="false"/>
                <w:bCs w:val="false"/>
                <w:i w:val="false"/>
                <w:iCs w:val="false"/>
                <w:color w:val="1A1A1A"/>
                <w:sz w:val="19"/>
                <w:szCs w:val="19"/>
              </w:rPr>
              <w:t xml:space="preserve">24,96,219</w:t>
            </w:r>
          </w:p>
        </w:tc>
      </w:tr>
      <w:tr>
        <w:tc>
          <w:tcPr>
            <w:gridSpan w:val="2"/>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pPr>
              <w:spacing w:after="160" w:before="0"/>
              <w:jc w:val="right"/>
            </w:pPr>
            <w:r>
              <w:rPr>
                <w:rFonts w:ascii="Arial" w:cs="Arial" w:eastAsia="Arial" w:hAnsi="Arial"/>
                <w:b/>
                <w:bCs/>
                <w:i w:val="false"/>
                <w:iCs w:val="false"/>
                <w:color w:val="FFFFFF"/>
                <w:sz w:val="20"/>
                <w:szCs w:val="20"/>
              </w:rPr>
              <w:t xml:space="preserve">TOTAL CSR INVESTMENT — 4 Coal Belt Districts</w:t>
            </w:r>
          </w:p>
        </w:tc>
        <w:tc>
          <w:tcPr>
            <w:tcW w:type="dxa" w:w="2600"/>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pPr>
              <w:spacing w:after="160" w:before="0"/>
              <w:jc w:val="right"/>
            </w:pPr>
            <w:r>
              <w:rPr>
                <w:rFonts w:ascii="Arial" w:cs="Arial" w:eastAsia="Arial" w:hAnsi="Arial"/>
                <w:b/>
                <w:bCs/>
                <w:i w:val="false"/>
                <w:iCs w:val="false"/>
                <w:color w:val="FFFFFF"/>
                <w:sz w:val="22"/>
                <w:szCs w:val="22"/>
              </w:rPr>
              <w:t xml:space="preserve">₹1,75,56,219</w:t>
            </w:r>
          </w:p>
        </w:tc>
      </w:tr>
    </w:tbl>
    <w:p>
      <w:pPr>
        <w:spacing w:after="180" w:before="0"/>
        <w:jc w:val="center"/>
      </w:pPr>
      <w:r>
        <w:rPr>
          <w:rFonts w:ascii="Arial" w:cs="Arial" w:eastAsia="Arial" w:hAnsi="Arial"/>
          <w:b w:val="false"/>
          <w:bCs w:val="false"/>
          <w:i/>
          <w:iCs/>
          <w:color w:val="666666"/>
          <w:sz w:val="18"/>
          <w:szCs w:val="18"/>
        </w:rPr>
        <w:t xml:space="preserve">INR One Crore, Seventy-Five Lakhs and Fifty-Six Thousand Only</w:t>
      </w:r>
    </w:p>
    <w:p>
      <w:pPr>
        <w:pBdr>
          <w:top w:val="single" w:color="1F3864" w:sz="4"/>
          <w:bottom w:val="single" w:color="1F3864" w:sz="4"/>
        </w:pBdr>
        <w:shd w:fill="F7F7F7" w:val="clear"/>
        <w:spacing w:after="0" w:before="0"/>
        <w:jc w:val="center"/>
      </w:pPr>
      <w:r>
        <w:rPr>
          <w:rFonts w:ascii="Arial" w:cs="Arial" w:eastAsia="Arial" w:hAnsi="Arial"/>
          <w:b/>
          <w:bCs/>
          <w:i w:val="false"/>
          <w:iCs w:val="false"/>
          <w:color w:val="1F3864"/>
          <w:sz w:val="19"/>
          <w:szCs w:val="19"/>
        </w:rPr>
        <w:t xml:space="preserve">Schedule VII — Clause (i) Healthcare &amp; Sanitation  •  Clause (ii) Education  •  Clause (iii) Gender Equality &amp; Women’s Empowerment</w:t>
      </w:r>
    </w:p>
    <w:p>
      <w:pPr>
        <w:shd w:fill="F7F7F7" w:val="clear"/>
        <w:spacing w:after="180" w:before="0"/>
        <w:jc w:val="center"/>
      </w:pPr>
      <w:r>
        <w:rPr>
          <w:rFonts w:ascii="Arial" w:cs="Arial" w:eastAsia="Arial" w:hAnsi="Arial"/>
          <w:b w:val="false"/>
          <w:bCs w:val="false"/>
          <w:i w:val="false"/>
          <w:iCs w:val="false"/>
          <w:color w:val="444444"/>
          <w:sz w:val="18"/>
          <w:szCs w:val="18"/>
        </w:rPr>
        <w:t xml:space="preserve">SDG 3 • SDG 4 • SDG 5 • SDG 6  •  Beti Bachao Beti Padhao  •  Swachh Bharat Mission</w:t>
      </w:r>
    </w:p>
    <w:p>
      <w:pPr>
        <w:pBdr>
          <w:top w:val="single" w:color="7B1F3A" w:sz="4"/>
          <w:bottom w:val="single" w:color="7B1F3A" w:sz="4"/>
        </w:pBdr>
        <w:shd w:fill="FDF0F3" w:val="clear"/>
        <w:spacing w:after="80" w:before="0"/>
        <w:jc w:val="center"/>
      </w:pPr>
      <w:r>
        <w:rPr>
          <w:rFonts w:ascii="Arial" w:cs="Arial" w:eastAsia="Arial" w:hAnsi="Arial"/>
          <w:b/>
          <w:bCs/>
          <w:i w:val="false"/>
          <w:iCs w:val="false"/>
          <w:color w:val="7B1F3A"/>
          <w:sz w:val="18"/>
          <w:szCs w:val="18"/>
        </w:rPr>
        <w:t xml:space="preserve">★  Telangana Governor’s Excellence Award 2025 — Corporate Volunteering, Organisation Category  •  MoC: Secretary MJPTBCWREIS (Lr.No.C2/3357/2025)  •  Pilot: Nov 2025, Warangal — 600+ students, 10 schools  ★</w:t>
      </w:r>
    </w:p>
    <w:p>
      <w:pPr>
        <w:spacing w:after="180" w:before="0"/>
      </w:pPr>
    </w:p>
    <w:p>
      <w:pPr>
        <w:spacing w:after="160" w:before="0"/>
        <w:jc w:val="left"/>
      </w:pPr>
      <w:r>
        <w:rPr>
          <w:rFonts w:ascii="Arial" w:cs="Arial" w:eastAsia="Arial" w:hAnsi="Arial"/>
          <w:b w:val="false"/>
          <w:bCs w:val="false"/>
          <w:i w:val="false"/>
          <w:iCs w:val="false"/>
          <w:color w:val="1A1A1A"/>
          <w:sz w:val="22"/>
          <w:szCs w:val="22"/>
        </w:rPr>
        <w:t xml:space="preserve">I request SCCL to consider funding </w:t>
      </w:r>
      <w:r>
        <w:rPr>
          <w:rFonts w:ascii="Arial" w:cs="Arial" w:eastAsia="Arial" w:hAnsi="Arial"/>
          <w:b/>
          <w:bCs/>
          <w:i/>
          <w:iCs/>
          <w:color w:val="1A1A1A"/>
          <w:sz w:val="22"/>
          <w:szCs w:val="22"/>
        </w:rPr>
        <w:t xml:space="preserve">Sthree Swabhiman</w:t>
      </w:r>
      <w:r>
        <w:rPr>
          <w:rFonts w:ascii="Arial" w:cs="Arial" w:eastAsia="Arial" w:hAnsi="Arial"/>
          <w:b w:val="false"/>
          <w:bCs w:val="false"/>
          <w:i w:val="false"/>
          <w:iCs w:val="false"/>
          <w:color w:val="1A1A1A"/>
          <w:sz w:val="22"/>
          <w:szCs w:val="22"/>
        </w:rPr>
        <w:t xml:space="preserve"> for these four districts either in full (₹1,40,45,000) or as individual district units — with Adilabad coal belt (₹43.89L), Karimnagar coal belt (₹26.33L), Warangal coal belt (₹64.37L), and Khammam coal belt (₹40.96L) — each independently fundable with its own reporting.</w:t>
      </w:r>
    </w:p>
    <w:p>
      <w:pPr>
        <w:spacing w:after="200" w:before="0"/>
        <w:jc w:val="left"/>
      </w:pPr>
      <w:r>
        <w:rPr>
          <w:rFonts w:ascii="Arial" w:cs="Arial" w:eastAsia="Arial" w:hAnsi="Arial"/>
          <w:b w:val="false"/>
          <w:bCs w:val="false"/>
          <w:i w:val="false"/>
          <w:iCs w:val="false"/>
          <w:color w:val="1A1A1A"/>
          <w:sz w:val="22"/>
          <w:szCs w:val="22"/>
        </w:rPr>
        <w:t xml:space="preserve">The complete Detailed Project Report, region-wise proposal, signed MoC with MJPTBCWREIS, and Give For Society’s organisation profile are enclosed. We request an opportunity to present this programme to SCCL’s CSR committee at your earliest convenience.</w:t>
      </w:r>
    </w:p>
    <w:p>
      <w:pPr>
        <w:spacing w:after="300" w:before="0"/>
        <w:jc w:val="left"/>
      </w:pPr>
      <w:r>
        <w:rPr>
          <w:rFonts w:ascii="Arial" w:cs="Arial" w:eastAsia="Arial" w:hAnsi="Arial"/>
          <w:b w:val="false"/>
          <w:bCs w:val="false"/>
          <w:i w:val="false"/>
          <w:iCs w:val="false"/>
          <w:color w:val="1A1A1A"/>
          <w:sz w:val="22"/>
          <w:szCs w:val="22"/>
        </w:rPr>
        <w:t xml:space="preserve">Yours sincerely,</w:t>
      </w:r>
    </w:p>
    <w:p>
      <w:pPr>
        <w:spacing w:after="40" w:before="0"/>
        <w:jc w:val="left"/>
      </w:pPr>
      <w:r>
        <w:rPr>
          <w:rFonts w:ascii="Arial" w:cs="Arial" w:eastAsia="Arial" w:hAnsi="Arial"/>
          <w:b/>
          <w:bCs/>
          <w:i w:val="false"/>
          <w:iCs w:val="false"/>
          <w:color w:val="1A1A1A"/>
          <w:sz w:val="26"/>
          <w:szCs w:val="26"/>
        </w:rPr>
        <w:t xml:space="preserve">Give For Society</w:t>
      </w:r>
    </w:p>
    <w:p>
      <w:pPr>
        <w:spacing w:after="40" w:before="0"/>
        <w:jc w:val="left"/>
      </w:pPr>
      <w:r>
        <w:rPr>
          <w:rFonts w:ascii="Arial" w:cs="Arial" w:eastAsia="Arial" w:hAnsi="Arial"/>
          <w:b w:val="false"/>
          <w:bCs w:val="false"/>
          <w:i w:val="false"/>
          <w:iCs w:val="false"/>
          <w:color w:val="1A1A1A"/>
          <w:sz w:val="22"/>
          <w:szCs w:val="22"/>
        </w:rPr>
        <w:t xml:space="preserve">Reg. No. 1255/2017  |  12A &amp; 80G Certified  |  Enrolled MP-LADS Implementing Agency</w:t>
      </w:r>
    </w:p>
    <w:p>
      <w:pPr>
        <w:spacing w:after="40" w:before="0"/>
        <w:jc w:val="left"/>
      </w:pPr>
      <w:r>
        <w:rPr>
          <w:rFonts w:ascii="Arial" w:cs="Arial" w:eastAsia="Arial" w:hAnsi="Arial"/>
          <w:b w:val="false"/>
          <w:bCs w:val="false"/>
          <w:i w:val="false"/>
          <w:iCs w:val="false"/>
          <w:color w:val="1A1A1A"/>
          <w:sz w:val="22"/>
          <w:szCs w:val="22"/>
        </w:rPr>
        <w:t xml:space="preserve">Flat No. 307, A31 Block, Sanskruti Township, Pocharam, Hyderabad – 500088</w:t>
      </w:r>
    </w:p>
    <w:p>
      <w:pPr>
        <w:spacing w:after="200" w:before="0"/>
        <w:jc w:val="left"/>
      </w:pPr>
      <w:r>
        <w:rPr>
          <w:rFonts w:ascii="Arial" w:cs="Arial" w:eastAsia="Arial" w:hAnsi="Arial"/>
          <w:b w:val="false"/>
          <w:bCs w:val="false"/>
          <w:i w:val="false"/>
          <w:iCs w:val="false"/>
          <w:color w:val="1A1A1A"/>
          <w:sz w:val="22"/>
          <w:szCs w:val="22"/>
        </w:rPr>
        <w:t xml:space="preserve">giveforsociety@gmail.com  •  +91 9440727071  •  www.give4society.org</w:t>
      </w:r>
    </w:p>
    <w:p>
      <w:pPr>
        <w:pBdr>
          <w:top w:val="single" w:color="CCCCCC" w:sz="4" w:space="4"/>
        </w:pBdr>
        <w:spacing w:after="60" w:before="0"/>
      </w:pPr>
      <w:r>
        <w:rPr>
          <w:rFonts w:ascii="Arial" w:cs="Arial" w:eastAsia="Arial" w:hAnsi="Arial"/>
          <w:b/>
          <w:bCs/>
          <w:i w:val="false"/>
          <w:iCs w:val="false"/>
          <w:color w:val="1A1A1A"/>
          <w:sz w:val="20"/>
          <w:szCs w:val="20"/>
        </w:rPr>
        <w:t xml:space="preserve">Enclosures:</w:t>
      </w:r>
    </w:p>
    <w:p>
      <w:pPr>
        <w:pStyle w:val="ListParagraph"/>
        <w:numPr>
          <w:ilvl w:val="0"/>
          <w:numId w:val="2"/>
        </w:numPr>
        <w:spacing w:after="30" w:before="30"/>
      </w:pPr>
      <w:r>
        <w:rPr>
          <w:rFonts w:ascii="Arial" w:cs="Arial" w:eastAsia="Arial" w:hAnsi="Arial"/>
          <w:b w:val="false"/>
          <w:bCs w:val="false"/>
          <w:i w:val="false"/>
          <w:iCs w:val="false"/>
          <w:color w:val="1A1A1A"/>
          <w:sz w:val="19"/>
          <w:szCs w:val="19"/>
        </w:rPr>
        <w:t xml:space="preserve">Sthree Swabhiman — Detailed Project Report (MJPTBCWREIS, Statewide)</w:t>
      </w:r>
    </w:p>
    <w:p>
      <w:pPr>
        <w:pStyle w:val="ListParagraph"/>
        <w:numPr>
          <w:ilvl w:val="0"/>
          <w:numId w:val="2"/>
        </w:numPr>
        <w:spacing w:after="30" w:before="30"/>
      </w:pPr>
      <w:r>
        <w:rPr>
          <w:rFonts w:ascii="Arial" w:cs="Arial" w:eastAsia="Arial" w:hAnsi="Arial"/>
          <w:b w:val="false"/>
          <w:bCs w:val="false"/>
          <w:i w:val="false"/>
          <w:iCs w:val="false"/>
          <w:color w:val="1A1A1A"/>
          <w:sz w:val="19"/>
          <w:szCs w:val="19"/>
        </w:rPr>
        <w:t xml:space="preserve">Sthree Swabhiman — Region-wise CSR Proposal (4 Coal Belt Districts)</w:t>
      </w:r>
    </w:p>
    <w:p>
      <w:pPr>
        <w:pStyle w:val="ListParagraph"/>
        <w:numPr>
          <w:ilvl w:val="0"/>
          <w:numId w:val="2"/>
        </w:numPr>
        <w:spacing w:after="30" w:before="30"/>
      </w:pPr>
      <w:r>
        <w:rPr>
          <w:rFonts w:ascii="Arial" w:cs="Arial" w:eastAsia="Arial" w:hAnsi="Arial"/>
          <w:b w:val="false"/>
          <w:bCs w:val="false"/>
          <w:i w:val="false"/>
          <w:iCs w:val="false"/>
          <w:color w:val="1A1A1A"/>
          <w:sz w:val="19"/>
          <w:szCs w:val="19"/>
        </w:rPr>
        <w:t xml:space="preserve">MoC — Secretary, MJPTBCWREIS (Lr.No.C2/3357/2025, dated 11th September 2025)</w:t>
      </w:r>
    </w:p>
    <w:p>
      <w:pPr>
        <w:pStyle w:val="ListParagraph"/>
        <w:numPr>
          <w:ilvl w:val="0"/>
          <w:numId w:val="2"/>
        </w:numPr>
        <w:spacing w:after="30" w:before="30"/>
      </w:pPr>
      <w:r>
        <w:rPr>
          <w:rFonts w:ascii="Arial" w:cs="Arial" w:eastAsia="Arial" w:hAnsi="Arial"/>
          <w:b w:val="false"/>
          <w:bCs w:val="false"/>
          <w:i w:val="false"/>
          <w:iCs w:val="false"/>
          <w:color w:val="1A1A1A"/>
          <w:sz w:val="19"/>
          <w:szCs w:val="19"/>
        </w:rPr>
        <w:t xml:space="preserve">Give For Society — Organisation Profile, 12A &amp; 80G Certificates</w:t>
      </w:r>
    </w:p>
    <w:p>
      <w:pPr>
        <w:pStyle w:val="ListParagraph"/>
        <w:numPr>
          <w:ilvl w:val="0"/>
          <w:numId w:val="2"/>
        </w:numPr>
        <w:spacing w:after="30" w:before="30"/>
      </w:pPr>
      <w:r>
        <w:rPr>
          <w:rFonts w:ascii="Arial" w:cs="Arial" w:eastAsia="Arial" w:hAnsi="Arial"/>
          <w:b w:val="false"/>
          <w:bCs w:val="false"/>
          <w:i w:val="false"/>
          <w:iCs w:val="false"/>
          <w:color w:val="1A1A1A"/>
          <w:sz w:val="19"/>
          <w:szCs w:val="19"/>
        </w:rPr>
        <w:t xml:space="preserve">Telangana Governor’s Excellence Award 2025 — Certificate</w:t>
      </w:r>
    </w:p>
    <w:p>
      <w:pPr>
        <w:pStyle w:val="ListParagraph"/>
        <w:numPr>
          <w:ilvl w:val="0"/>
          <w:numId w:val="2"/>
        </w:numPr>
        <w:spacing w:after="30" w:before="30"/>
      </w:pPr>
      <w:r>
        <w:rPr>
          <w:rFonts w:ascii="Arial" w:cs="Arial" w:eastAsia="Arial" w:hAnsi="Arial"/>
          <w:b w:val="false"/>
          <w:bCs w:val="false"/>
          <w:i w:val="false"/>
          <w:iCs w:val="false"/>
          <w:color w:val="1A1A1A"/>
          <w:sz w:val="19"/>
          <w:szCs w:val="19"/>
        </w:rPr>
        <w:t xml:space="preserve">Pilot Impact Report — Warangal Region, November 2025 (600+ students, 10 schools)</w:t>
      </w:r>
    </w:p>
    <w:sectPr>
      <w:pgSz w:w="12240" w:h="15840" w:orient="portrait"/>
      <w:pgMar w:top="900" w:right="1008" w:bottom="90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rPr>
        <w:rFonts w:ascii="Arial" w:cs="Arial" w:eastAsia="Arial" w:hAnsi="Arial"/>
        <w:color w:val="7B1F3A"/>
        <w:sz w:val="21"/>
        <w:szCs w:val="2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88746f105cf7424c88fe32861c45050aa043fe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2026-05-15T05:45:00.640Z</dcterms:created>
  <dcterms:modified xsi:type="dcterms:W3CDTF">2026-05-15T05:45:00.640Z</dcterms:modified>
</cp:coreProperties>
</file>

<file path=docProps/custom.xml><?xml version="1.0" encoding="utf-8"?>
<Properties xmlns="http://schemas.openxmlformats.org/officeDocument/2006/custom-properties" xmlns:vt="http://schemas.openxmlformats.org/officeDocument/2006/docPropsVTypes"/>
</file>