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mbria" w:cs="Cambria" w:eastAsia="Cambria" w:hAnsi="Cambria"/>
          <w:b/>
          <w:bCs/>
          <w:color w:val="0D6B57"/>
          <w:sz w:val="44"/>
          <w:szCs w:val="44"/>
        </w:rPr>
        <w:t xml:space="preserve">Telco Assurance Demo</w:t>
      </w:r>
    </w:p>
    <w:p>
      <w:pPr>
        <w:spacing w:after="60"/>
      </w:pPr>
      <w:r>
        <w:rPr>
          <w:rFonts w:ascii="Cambria" w:cs="Cambria" w:eastAsia="Cambria" w:hAnsi="Cambria"/>
          <w:sz w:val="26"/>
          <w:szCs w:val="26"/>
        </w:rPr>
        <w:t xml:space="preserve">Step-by-step implementation guide: aligning the demo to the HPE Automated Assurance study</w:t>
      </w:r>
    </w:p>
    <w:p>
      <w:pPr>
        <w:spacing w:after="110" w:line="276"/>
      </w:pPr>
      <w:r>
        <w:rPr>
          <w:color w:val="5D6B63"/>
          <w:sz w:val="20"/>
          <w:szCs w:val="20"/>
        </w:rPr>
        <w:t xml:space="preserve">Version 2.0, 7 October 2026. Companion to telco-assurance-demo.zip.</w:t>
      </w:r>
    </w:p>
    <w:p>
      <w:pPr>
        <w:pStyle w:val="Heading1"/>
        <w:spacing w:after="120" w:before="300"/>
      </w:pPr>
      <w:r>
        <w:t xml:space="preserve">1. Purpose, scope and honest limits</w:t>
      </w:r>
    </w:p>
    <w:p>
      <w:pPr>
        <w:spacing w:after="110" w:line="276"/>
      </w:pPr>
      <w:r>
        <w:t xml:space="preserve">This guide explains, step by step, how the telco-assurance-demo prototype was extended to follow the design in the "HPE Automated Assurance Study" (7 October 2026): five logical layers, a six-stage closed loop, six automation levels, guardrailed remediation, verification with rollback, service-impact analysis, TM Forum style interfaces and a PoC scorecard. It is written so an engineer can read the code, rebuild it, run it and extend it.</w:t>
      </w:r>
    </w:p>
    <w:p>
      <w:pPr>
        <w:spacing w:after="110" w:line="276"/>
      </w:pPr>
      <w:r>
        <w:rPr>
          <w:b/>
          <w:bCs/>
        </w:rPr>
        <w:t xml:space="preserve">Read this first. </w:t>
      </w:r>
      <w:r>
        <w:t xml:space="preserve">The study is a general design document. It says itself that exact HPE product components, release and deployment topology must be confirmed with HPE or HCLTech. This demo therefore matches the study's logical layers and behaviours. It does not reproduce HPE's internal implementation, and "exactly matching HPE" cannot be claimed. Treat every HPE-side statement here as conceptual alignment.</w:t>
      </w:r>
    </w:p>
    <w:p>
      <w:pPr>
        <w:pStyle w:val="ListParagraph"/>
        <w:numPr>
          <w:ilvl w:val="0"/>
          <w:numId w:val="2"/>
        </w:numPr>
        <w:spacing w:after="60"/>
      </w:pPr>
      <w:r>
        <w:rPr>
          <w:b/>
          <w:bCs/>
        </w:rPr>
        <w:t xml:space="preserve">The "AI" is rules and statistics, </w:t>
      </w:r>
      <w:r>
        <w:t xml:space="preserve">not trained machine learning: a weighted scoring formula, an EWMA baseline, a logistic curve, a linear trend and outcome counters.</w:t>
      </w:r>
    </w:p>
    <w:p>
      <w:pPr>
        <w:pStyle w:val="ListParagraph"/>
        <w:numPr>
          <w:ilvl w:val="0"/>
          <w:numId w:val="2"/>
        </w:numPr>
        <w:spacing w:after="60"/>
      </w:pPr>
      <w:r>
        <w:rPr>
          <w:b/>
          <w:bCs/>
        </w:rPr>
        <w:t xml:space="preserve">Remediation is simulated. </w:t>
      </w:r>
      <w:r>
        <w:t xml:space="preserve">No device, orchestrator or ITSM is contacted.</w:t>
      </w:r>
    </w:p>
    <w:p>
      <w:pPr>
        <w:pStyle w:val="ListParagraph"/>
        <w:numPr>
          <w:ilvl w:val="0"/>
          <w:numId w:val="2"/>
        </w:numPr>
        <w:spacing w:after="60"/>
      </w:pPr>
      <w:r>
        <w:rPr>
          <w:b/>
          <w:bCs/>
        </w:rPr>
        <w:t xml:space="preserve">Scale is a demo: </w:t>
      </w:r>
      <w:r>
        <w:t xml:space="preserve">14 synthetic devices, 6 services, in-memory state, no authentication.</w:t>
      </w:r>
    </w:p>
    <w:p>
      <w:pPr>
        <w:pStyle w:val="Heading1"/>
        <w:spacing w:after="120" w:before="300"/>
      </w:pPr>
      <w:r>
        <w:t xml:space="preserve">2. How the study maps to the code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40"/>
        <w:gridCol w:w="4320"/>
        <w:gridCol w:w="2340"/>
      </w:tblGrid>
      <w:tr>
        <w:trPr>
          <w:tblHeader/>
        </w:trPr>
        <w:tc>
          <w:tcPr>
            <w:tcW w:type="dxa" w:w="2340"/>
            <w:tcBorders>
              <w:top w:val="single" w:color="C9D2CC" w:sz="4"/>
              <w:left w:val="single" w:color="C9D2CC" w:sz="4"/>
              <w:bottom w:val="single" w:color="C9D2CC" w:sz="4"/>
              <w:right w:val="single" w:color="C9D2CC" w:sz="4"/>
            </w:tcBorders>
            <w:shd w:fill="0D6B57" w:val="clear"/>
            <w:tcMar>
              <w:top w:type="dxa" w:w="60"/>
              <w:left w:type="dxa" w:w="90"/>
              <w:bottom w:type="dxa" w:w="60"/>
              <w:right w:type="dxa" w:w="90"/>
            </w:tcMar>
          </w:tcPr>
          <w:p>
            <w:r>
              <w:rPr>
                <w:b/>
                <w:bCs/>
                <w:color w:val="FFFFFF"/>
                <w:sz w:val="18"/>
                <w:szCs w:val="18"/>
              </w:rPr>
              <w:t xml:space="preserve">Study concept</w:t>
            </w:r>
          </w:p>
        </w:tc>
        <w:tc>
          <w:tcPr>
            <w:tcW w:type="dxa" w:w="4320"/>
            <w:tcBorders>
              <w:top w:val="single" w:color="C9D2CC" w:sz="4"/>
              <w:left w:val="single" w:color="C9D2CC" w:sz="4"/>
              <w:bottom w:val="single" w:color="C9D2CC" w:sz="4"/>
              <w:right w:val="single" w:color="C9D2CC" w:sz="4"/>
            </w:tcBorders>
            <w:shd w:fill="0D6B57" w:val="clear"/>
            <w:tcMar>
              <w:top w:type="dxa" w:w="60"/>
              <w:left w:type="dxa" w:w="90"/>
              <w:bottom w:type="dxa" w:w="60"/>
              <w:right w:type="dxa" w:w="90"/>
            </w:tcMar>
          </w:tcPr>
          <w:p>
            <w:r>
              <w:rPr>
                <w:b/>
                <w:bCs/>
                <w:color w:val="FFFFFF"/>
                <w:sz w:val="18"/>
                <w:szCs w:val="18"/>
              </w:rPr>
              <w:t xml:space="preserve">Where it lives</w:t>
            </w:r>
          </w:p>
        </w:tc>
        <w:tc>
          <w:tcPr>
            <w:tcW w:type="dxa" w:w="2340"/>
            <w:tcBorders>
              <w:top w:val="single" w:color="C9D2CC" w:sz="4"/>
              <w:left w:val="single" w:color="C9D2CC" w:sz="4"/>
              <w:bottom w:val="single" w:color="C9D2CC" w:sz="4"/>
              <w:right w:val="single" w:color="C9D2CC" w:sz="4"/>
            </w:tcBorders>
            <w:shd w:fill="0D6B57" w:val="clear"/>
            <w:tcMar>
              <w:top w:type="dxa" w:w="60"/>
              <w:left w:type="dxa" w:w="90"/>
              <w:bottom w:type="dxa" w:w="60"/>
              <w:right w:type="dxa" w:w="90"/>
            </w:tcMar>
          </w:tcPr>
          <w:p>
            <w:r>
              <w:rPr>
                <w:b/>
                <w:bCs/>
                <w:color w:val="FFFFFF"/>
                <w:sz w:val="18"/>
                <w:szCs w:val="18"/>
              </w:rPr>
              <w:t xml:space="preserve">Status</w:t>
            </w:r>
          </w:p>
        </w:tc>
      </w:tr>
      <w:tr>
        <w:tc>
          <w:tcPr>
            <w:tcW w:type="dxa" w:w="234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Layer 1: operations experience</w:t>
            </w:r>
          </w:p>
        </w:tc>
        <w:tc>
          <w:tcPr>
            <w:tcW w:type="dxa" w:w="432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frontend/index.html (tabs), TM Forum style APIs, PoC scorecard</w:t>
            </w:r>
          </w:p>
        </w:tc>
        <w:tc>
          <w:tcPr>
            <w:tcW w:type="dxa" w:w="234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Demo scale</w:t>
            </w:r>
          </w:p>
        </w:tc>
      </w:tr>
      <w:tr>
        <w:tc>
          <w:tcPr>
            <w:tcW w:type="dxa" w:w="234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Layer 2: decision and automation</w:t>
            </w:r>
          </w:p>
        </w:tc>
        <w:tc>
          <w:tcPr>
            <w:tcW w:type="dxa" w:w="432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engine.py: _correlate, _candidates, _svc_health, _decide, _start, _verify</w:t>
            </w:r>
          </w:p>
        </w:tc>
        <w:tc>
          <w:tcPr>
            <w:tcW w:type="dxa" w:w="234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Implemented, actions simulated</w:t>
            </w:r>
          </w:p>
        </w:tc>
      </w:tr>
      <w:tr>
        <w:tc>
          <w:tcPr>
            <w:tcW w:type="dxa" w:w="234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Layer 3: intelligence and analytics</w:t>
            </w:r>
          </w:p>
        </w:tc>
        <w:tc>
          <w:tcPr>
            <w:tcW w:type="dxa" w:w="432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tick(): mu + k sigma baseline and forecast; _predict(); _prior()</w:t>
            </w:r>
          </w:p>
        </w:tc>
        <w:tc>
          <w:tcPr>
            <w:tcW w:type="dxa" w:w="234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Statistical, not ML</w:t>
            </w:r>
          </w:p>
        </w:tc>
      </w:tr>
      <w:tr>
        <w:tc>
          <w:tcPr>
            <w:tcW w:type="dxa" w:w="234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Layer 4: collection and persistence</w:t>
            </w:r>
          </w:p>
        </w:tc>
        <w:tc>
          <w:tcPr>
            <w:tcW w:type="dxa" w:w="432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server.py adapters; engine.ingest/_ingest; alarm store; journal</w:t>
            </w:r>
          </w:p>
        </w:tc>
        <w:tc>
          <w:tcPr>
            <w:tcW w:type="dxa" w:w="234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Partly implemented</w:t>
            </w:r>
          </w:p>
        </w:tc>
      </w:tr>
      <w:tr>
        <w:tc>
          <w:tcPr>
            <w:tcW w:type="dxa" w:w="234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Layer 5: multi-domain environment</w:t>
            </w:r>
          </w:p>
        </w:tc>
        <w:tc>
          <w:tcPr>
            <w:tcW w:type="dxa" w:w="432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14 devices: RAN, 5G core, IP/MPLS, optical, FTTH, SD-WAN</w:t>
            </w:r>
          </w:p>
        </w:tc>
        <w:tc>
          <w:tcPr>
            <w:tcW w:type="dxa" w:w="234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Synthetic</w:t>
            </w:r>
          </w:p>
        </w:tc>
      </w:tr>
      <w:tr>
        <w:tc>
          <w:tcPr>
            <w:tcW w:type="dxa" w:w="234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Closed loop Observe to Learn</w:t>
            </w:r>
          </w:p>
        </w:tc>
        <w:tc>
          <w:tcPr>
            <w:tcW w:type="dxa" w:w="432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incident["loop"] timestamps, audit trail, _stage()</w:t>
            </w:r>
          </w:p>
        </w:tc>
        <w:tc>
          <w:tcPr>
            <w:tcW w:type="dxa" w:w="234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Implemented</w:t>
            </w:r>
          </w:p>
        </w:tc>
      </w:tr>
      <w:tr>
        <w:tc>
          <w:tcPr>
            <w:tcW w:type="dxa" w:w="234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Six automation levels</w:t>
            </w:r>
          </w:p>
        </w:tc>
        <w:tc>
          <w:tcPr>
            <w:tcW w:type="dxa" w:w="432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LEVELS, policy["level"], _plan(), _decide(), approve()</w:t>
            </w:r>
          </w:p>
        </w:tc>
        <w:tc>
          <w:tcPr>
            <w:tcW w:type="dxa" w:w="234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Implemented</w:t>
            </w:r>
          </w:p>
        </w:tc>
      </w:tr>
      <w:tr>
        <w:tc>
          <w:tcPr>
            <w:tcW w:type="dxa" w:w="234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Risks and safeguards table</w:t>
            </w:r>
          </w:p>
        </w:tc>
        <w:tc>
          <w:tcPr>
            <w:tcW w:type="dxa" w:w="432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Confidence gate, approval, dry run, rollback, blast radius, rate limit, action lock, source health, audit</w:t>
            </w:r>
          </w:p>
        </w:tc>
        <w:tc>
          <w:tcPr>
            <w:tcW w:type="dxa" w:w="234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Implemented</w:t>
            </w:r>
          </w:p>
        </w:tc>
      </w:tr>
      <w:tr>
        <w:tc>
          <w:tcPr>
            <w:tcW w:type="dxa" w:w="234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Recommended PoC (SD-WAN)</w:t>
            </w:r>
          </w:p>
        </w:tc>
        <w:tc>
          <w:tcPr>
            <w:tcW w:type="dxa" w:w="432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sdwan scenario, SDW1/SDW2, SDWAN-RETAIL service, scorecard</w:t>
            </w:r>
          </w:p>
        </w:tc>
        <w:tc>
          <w:tcPr>
            <w:tcW w:type="dxa" w:w="234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Implemented</w:t>
            </w:r>
          </w:p>
        </w:tc>
      </w:tr>
      <w:tr>
        <w:tc>
          <w:tcPr>
            <w:tcW w:type="dxa" w:w="234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Not covered</w:t>
            </w:r>
          </w:p>
        </w:tc>
        <w:tc>
          <w:tcPr>
            <w:tcW w:type="dxa" w:w="432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Cloud, edge, NFV/CNF, data center, SASE; ML training and drift; real orchestrators</w:t>
            </w:r>
          </w:p>
        </w:tc>
        <w:tc>
          <w:tcPr>
            <w:tcW w:type="dxa" w:w="234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Out of scope</w:t>
            </w:r>
          </w:p>
        </w:tc>
      </w:tr>
    </w:tbl>
    <w:p>
      <w:pPr>
        <w:spacing w:after="60"/>
      </w:pPr>
      <w:r>
        <w:t xml:space="preserve"/>
      </w:r>
    </w:p>
    <w:p>
      <w:pPr>
        <w:pStyle w:val="Heading1"/>
        <w:spacing w:after="120" w:before="300"/>
      </w:pPr>
      <w:r>
        <w:t xml:space="preserve">3. Prerequisites and layout</w:t>
      </w:r>
    </w:p>
    <w:p>
      <w:pPr>
        <w:pStyle w:val="ListParagraph"/>
        <w:numPr>
          <w:ilvl w:val="0"/>
          <w:numId w:val="2"/>
        </w:numPr>
        <w:spacing w:after="60"/>
      </w:pPr>
      <w:r>
        <w:t xml:space="preserve">Python 3.9 or later. No third-party packages. Docker is optional.</w:t>
      </w:r>
    </w:p>
    <w:p>
      <w:pPr>
        <w:pStyle w:val="ListParagraph"/>
        <w:numPr>
          <w:ilvl w:val="0"/>
          <w:numId w:val="2"/>
        </w:numPr>
        <w:spacing w:after="60"/>
      </w:pPr>
      <w:r>
        <w:t xml:space="preserve">A browser. The console is a single HTML file with no build step.</w:t>
      </w:r>
    </w:p>
    <w:p>
      <w:pPr>
        <w:shd w:fill="F1F4F2" w:val="clear"/>
        <w:spacing w:after="0"/>
      </w:pPr>
      <w:r>
        <w:rPr>
          <w:rFonts w:ascii="Consolas" w:cs="Consolas" w:eastAsia="Consolas" w:hAnsi="Consolas"/>
          <w:sz w:val="18"/>
          <w:szCs w:val="18"/>
        </w:rPr>
        <w:t xml:space="preserve">telco-assurance-demo/</w:t>
      </w:r>
    </w:p>
    <w:p>
      <w:pPr>
        <w:shd w:fill="F1F4F2" w:val="clear"/>
        <w:spacing w:after="0"/>
      </w:pPr>
      <w:r>
        <w:rPr>
          <w:rFonts w:ascii="Consolas" w:cs="Consolas" w:eastAsia="Consolas" w:hAnsi="Consolas"/>
          <w:sz w:val="18"/>
          <w:szCs w:val="18"/>
        </w:rPr>
        <w:t xml:space="preserve">  backend/engine.py        engine: topology, rules, correlation, policy, closed loop, TM Forum views</w:t>
      </w:r>
    </w:p>
    <w:p>
      <w:pPr>
        <w:shd w:fill="F1F4F2" w:val="clear"/>
        <w:spacing w:after="0"/>
      </w:pPr>
      <w:r>
        <w:rPr>
          <w:rFonts w:ascii="Consolas" w:cs="Consolas" w:eastAsia="Consolas" w:hAnsi="Consolas"/>
          <w:sz w:val="18"/>
          <w:szCs w:val="18"/>
        </w:rPr>
        <w:t xml:space="preserve">  backend/server.py        HTTP API, UDP syslog listener, webhook worker, static file server</w:t>
      </w:r>
    </w:p>
    <w:p>
      <w:pPr>
        <w:shd w:fill="F1F4F2" w:val="clear"/>
        <w:spacing w:after="0"/>
      </w:pPr>
      <w:r>
        <w:rPr>
          <w:rFonts w:ascii="Consolas" w:cs="Consolas" w:eastAsia="Consolas" w:hAnsi="Consolas"/>
          <w:sz w:val="18"/>
          <w:szCs w:val="18"/>
        </w:rPr>
        <w:t xml:space="preserve">  frontend/index.html      console (live backend mode, or standalone in-browser mode)</w:t>
      </w:r>
    </w:p>
    <w:p>
      <w:pPr>
        <w:shd w:fill="F1F4F2" w:val="clear"/>
        <w:spacing w:after="0"/>
      </w:pPr>
      <w:r>
        <w:rPr>
          <w:rFonts w:ascii="Consolas" w:cs="Consolas" w:eastAsia="Consolas" w:hAnsi="Consolas"/>
          <w:sz w:val="18"/>
          <w:szCs w:val="18"/>
        </w:rPr>
        <w:t xml:space="preserve">  tests/test_engine.py     21 unit tests</w:t>
      </w:r>
    </w:p>
    <w:p>
      <w:pPr>
        <w:shd w:fill="F1F4F2" w:val="clear"/>
        <w:spacing w:after="0"/>
      </w:pPr>
      <w:r>
        <w:rPr>
          <w:rFonts w:ascii="Consolas" w:cs="Consolas" w:eastAsia="Consolas" w:hAnsi="Consolas"/>
          <w:sz w:val="18"/>
          <w:szCs w:val="18"/>
        </w:rPr>
        <w:t xml:space="preserve">  tools/send_syslog.py     send one syslog line</w:t>
      </w:r>
    </w:p>
    <w:p>
      <w:pPr>
        <w:shd w:fill="F1F4F2" w:val="clear"/>
        <w:spacing w:after="0"/>
      </w:pPr>
      <w:r>
        <w:rPr>
          <w:rFonts w:ascii="Consolas" w:cs="Consolas" w:eastAsia="Consolas" w:hAnsi="Consolas"/>
          <w:sz w:val="18"/>
          <w:szCs w:val="18"/>
        </w:rPr>
        <w:t xml:space="preserve">  Dockerfile, docker-compose.yml, README.md</w:t>
      </w:r>
    </w:p>
    <w:p>
      <w:pPr>
        <w:pStyle w:val="Heading1"/>
        <w:spacing w:after="120" w:before="300"/>
      </w:pPr>
      <w:r>
        <w:t xml:space="preserve">4. Implementation, step by step</w:t>
      </w:r>
    </w:p>
    <w:p>
      <w:pPr>
        <w:pStyle w:val="Heading2"/>
        <w:spacing w:after="80" w:before="200"/>
      </w:pPr>
      <w:r>
        <w:t xml:space="preserve">Step 1. Extend the network model with a fifth domain (SD-WAN)</w:t>
      </w:r>
    </w:p>
    <w:p>
      <w:pPr>
        <w:spacing w:after="110" w:line="276"/>
      </w:pPr>
      <w:r>
        <w:t xml:space="preserve">The study recommends an SD-WAN degradation PoC. Add two devices, SDW1 (branch) and SDW2 (hub), link them to PE3 and PE2 and to each other in EDGES, and add the service SDWAN-RETAIL (640 customers) whose path is SDW1, PE3, P2, PE2, SDW2. A DOMAIN map labels every device (RAN, 5G core, Optical, Access, SD-WAN, IP/MPLS transport) so each alarm carries a domain. Topology drives correlation distance and service impact, so this one change makes SD-WAN faults correlate correctly.</w:t>
      </w:r>
    </w:p>
    <w:p>
      <w:pPr>
        <w:pStyle w:val="Heading2"/>
        <w:spacing w:after="80" w:before="200"/>
      </w:pPr>
      <w:r>
        <w:t xml:space="preserve">Step 2. Add the SD-WAN alarm types and playbook</w:t>
      </w:r>
    </w:p>
    <w:p>
      <w:pPr>
        <w:spacing w:after="110" w:line="276"/>
      </w:pPr>
      <w:r>
        <w:t xml:space="preserve">Three alarm types go in RULES as (causal rank, severity, text, noise flag): LINK_CONGESTION rank 7 Major, TUNNEL_LOSS_HIGH rank 3 Major, TUNNEL_LATENCY_HIGH rank 2 Minor. The playbook for LINK_CONGESTION is low risk: confirm loss and latency from probes, steer applications to the secondary underlay, verify jitter and loss inside SLA, open a carrier ticket. The sdwan scenario replays congestion followed by latency, loss and a SERVICE_DEGRADED symptom.</w:t>
      </w:r>
    </w:p>
    <w:p>
      <w:pPr>
        <w:pStyle w:val="Heading2"/>
        <w:spacing w:after="80" w:before="200"/>
      </w:pPr>
      <w:r>
        <w:t xml:space="preserve">Step 3. Normalize and enrich at collection (layer 4)</w:t>
      </w:r>
    </w:p>
    <w:p>
      <w:pPr>
        <w:spacing w:after="110" w:line="276"/>
      </w:pPr>
      <w:r>
        <w:t xml:space="preserve">Each alarm record now carries the adapter name (SNMP trap, Syslog, Streaming telemetry) and domain. ingest() applies a data contract: an unknown device or alarm type is rejected and counted per source; accepted events are counted too, with a last-seen time. These counters feed the Source health table. Every accepted event is also appended to a journal (bounded to 5,000 entries) so a past period can be replayed.</w:t>
      </w:r>
    </w:p>
    <w:p>
      <w:pPr>
        <w:pStyle w:val="Heading2"/>
        <w:spacing w:after="80" w:before="200"/>
      </w:pPr>
      <w:r>
        <w:t xml:space="preserve">Step 4. Filter by maintenance state</w:t>
      </w:r>
    </w:p>
    <w:p>
      <w:pPr>
        <w:spacing w:after="110" w:line="276"/>
      </w:pPr>
      <w:r>
        <w:t xml:space="preserve">set_maintenance(device, seconds) marks a device. Alarms from a device inside its window are stored with state Suppressed, logged, counted, and never correlated or remediated. The study warns that incorrect maintenance-state data defeats AI, so the window is explicit and visible.</w:t>
      </w:r>
    </w:p>
    <w:p>
      <w:pPr>
        <w:pStyle w:val="Heading2"/>
        <w:spacing w:after="80" w:before="200"/>
      </w:pPr>
      <w:r>
        <w:t xml:space="preserve">Step 5. Correlate and rank root cause with five evidence factors</w:t>
      </w:r>
    </w:p>
    <w:p>
      <w:pPr>
        <w:spacing w:after="110" w:line="276"/>
      </w:pPr>
      <w:r>
        <w:t xml:space="preserve">Correlation is unchanged: an alarm joins an open incident if it is within two hops of a member alarm and within 45 s. Ranking is new. For each non-noise alarm the engine computes rules (causal rank divided by 10), topology (share of other incident alarms within two hops), timing (earlier is higher), dependency (services crossing the device, capped at 3) and history (learned success prior). The score is 0.35 rules + 0.20 topology + 0.20 timing + 0.15 dependency + 0.10 history. The top three are stored with every factor, so the console can explain the choice. Confidence is min(0.98, 0.55 + 0.06 x evidence count + 0.04 x causal-rank gap).</w:t>
      </w:r>
    </w:p>
    <w:p>
      <w:pPr>
        <w:pStyle w:val="Heading2"/>
        <w:spacing w:after="80" w:before="200"/>
      </w:pPr>
      <w:r>
        <w:t xml:space="preserve">Step 6. Compute service impact and health</w:t>
      </w:r>
    </w:p>
    <w:p>
      <w:pPr>
        <w:spacing w:after="110" w:line="276"/>
      </w:pPr>
      <w:r>
        <w:t xml:space="preserve">_svc_health() starts each service at 100 and subtracts the worst active penalty per device on its path (Critical 40, Major 20, Minor 8). Health 90 or more is Healthy, 70 to 89 Degraded, below 70 SLA at risk. Each incident reports impacted services, customers and the worst SLA state. This is the study's "map a resource fault to services, customers and SLAs" step.</w:t>
      </w:r>
    </w:p>
    <w:p>
      <w:pPr>
        <w:pStyle w:val="Heading2"/>
        <w:spacing w:after="80" w:before="200"/>
      </w:pPr>
      <w:r>
        <w:t xml:space="preserve">Step 7. Add the six automation levels</w:t>
      </w:r>
    </w:p>
    <w:p>
      <w:pPr>
        <w:spacing w:after="110" w:line="276"/>
      </w:pPr>
      <w:r>
        <w:t xml:space="preserve">observe: show only, no playbook. recommend: playbook shown as Recommended, cannot run. assist: approval runs a dry run only. approval: execution after an operator clicks approve. closed_loop: automatic when every guardrail passes. self_optimize: closed loop plus an adaptive confidence gate. The level lives in policy["level"]; the older auto toggle maps to closed_loop or approval.</w:t>
      </w:r>
    </w:p>
    <w:p>
      <w:pPr>
        <w:pStyle w:val="Heading2"/>
        <w:spacing w:after="80" w:before="200"/>
      </w:pPr>
      <w:r>
        <w:t xml:space="preserve">Step 8. Gate automatic execution with guardrails</w:t>
      </w:r>
    </w:p>
    <w:p>
      <w:pPr>
        <w:spacing w:after="110" w:line="276"/>
      </w:pPr>
      <w:r>
        <w:t xml:space="preserve">In closed_loop and self_optimize, _decide() evaluates five checks and records each as pass or fail: risk is low; confidence meets the gate (for predictive optical incidents, predicted risk is at least 0.70 instead); blast radius is within the customer limit; the per-minute automatic-action budget is not exhausted; no other action holds the lock on the device. All pass: execute. Any fail: hold for approval, with the failed checks named. Operators can still approve a held action; approval still respects the action lock.</w:t>
      </w:r>
    </w:p>
    <w:p>
      <w:pPr>
        <w:pStyle w:val="Heading2"/>
        <w:spacing w:after="80" w:before="200"/>
      </w:pPr>
      <w:r>
        <w:t xml:space="preserve">Step 9. Run the playbook, then verify, roll back or close</w:t>
      </w:r>
    </w:p>
    <w:p>
      <w:pPr>
        <w:spacing w:after="110" w:line="276"/>
      </w:pPr>
      <w:r>
        <w:t xml:space="preserve">Playbook steps advance every 3 s. In dry-run mode (assist level or dry_run on) the run ends as DryRunDone with nothing changed and the incident stays open. Otherwise the engine enters Verifying for 4 s and records the root alarm tally. If the root alarm is raised again, the action is marked RolledBack, the incident is Escalated and the failure is recorded. If not, alarms clear and the incident is Resolved. simulate_recurrence() forces the failure path so rollback can be demonstrated on demand.</w:t>
      </w:r>
    </w:p>
    <w:p>
      <w:pPr>
        <w:pStyle w:val="Heading2"/>
        <w:spacing w:after="80" w:before="200"/>
      </w:pPr>
      <w:r>
        <w:t xml:space="preserve">Step 10. Learn from outcomes</w:t>
      </w:r>
    </w:p>
    <w:p>
      <w:pPr>
        <w:spacing w:after="110" w:line="276"/>
      </w:pPr>
      <w:r>
        <w:t xml:space="preserve">Each verified outcome updates a per-alarm-type counter. The prior is (successes + 1) / (successes + failures + 2) and feeds the history factor in Step 5, so a type that keeps failing ranks lower. In self_optimize each success lowers the confidence gate by 0.01 (floor 0.75) and each failure raises it by 0.05 (ceiling 0.95). The bounds are the study's guardrails for self-optimization.</w:t>
      </w:r>
    </w:p>
    <w:p>
      <w:pPr>
        <w:pStyle w:val="Heading2"/>
        <w:spacing w:after="80" w:before="200"/>
      </w:pPr>
      <w:r>
        <w:t xml:space="preserve">Step 11. Record the closed loop and a decision audit trail</w:t>
      </w:r>
    </w:p>
    <w:p>
      <w:pPr>
        <w:spacing w:after="110" w:line="276"/>
      </w:pPr>
      <w:r>
        <w:t xml:space="preserve">_stage() timestamps Observe, Analyze, Decide, Act, Verify and Learn on each incident and writes an audit entry (time, incident, stage, actor, message) including the evidence behind the root cause. The audit list keeps the last 500 entries and is shown on the Audit tab and at GET /api/audit. This addresses the study's operator-trust safeguard: explainable recommendations with a complete history.</w:t>
      </w:r>
    </w:p>
    <w:p>
      <w:pPr>
        <w:pStyle w:val="Heading2"/>
        <w:spacing w:after="80" w:before="200"/>
      </w:pPr>
      <w:r>
        <w:t xml:space="preserve">Step 12. Make the baseline dynamic</w:t>
      </w:r>
    </w:p>
    <w:p>
      <w:pPr>
        <w:spacing w:after="110" w:line="276"/>
      </w:pPr>
      <w:r>
        <w:t xml:space="preserve">The anomaly threshold is mu + k sigma, where mu and sigma come from an EWMA of events per second and k is a policy setting (1 to 6, default 3). A linear fit over the last 10 samples forecasts the event rate 10 s ahead. Raising k reduces false positives; lowering it increases sensitivity.</w:t>
      </w:r>
    </w:p>
    <w:p>
      <w:pPr>
        <w:pStyle w:val="Heading2"/>
        <w:spacing w:after="80" w:before="200"/>
      </w:pPr>
      <w:r>
        <w:t xml:space="preserve">Step 13. Expose TM Forum style interfaces and a ticket event hub</w:t>
      </w:r>
    </w:p>
    <w:p>
      <w:pPr>
        <w:spacing w:after="110" w:line="276"/>
      </w:pPr>
      <w:r>
        <w:t xml:space="preserve">tmf_alarms() and tmf_tickets() reshape alarms and incidents using TMF642 (Alarm Management) and TMF621 (Trouble Ticket) field names such as perceivedSeverity, probableCause, alarmedObject, relatedEntity and status. They are simplified and not conformance tested. Incident creation and every status change put a TroubleTicketCreateEvent or TroubleTicketStatusChangeEvent in an outbox. A worker in server.py POSTs those events to URLs registered at POST /api/hub. Delivery is best effort with no retry.</w:t>
      </w:r>
    </w:p>
    <w:p>
      <w:pPr>
        <w:pStyle w:val="Heading2"/>
        <w:spacing w:after="80" w:before="200"/>
      </w:pPr>
      <w:r>
        <w:t xml:space="preserve">Step 14. Add the PoC scorecard</w:t>
      </w:r>
    </w:p>
    <w:p>
      <w:pPr>
        <w:spacing w:after="110" w:line="276"/>
      </w:pPr>
      <w:r>
        <w:t xml:space="preserve">scorecard() compares measured results with the study's illustrative targets: alarm-noise reduction 30 to 50 percent, detection-time reduction at least 50 percent, root-cause accuracy above 80 percent, remediation success above 90 percent, verification completed automatically. Each scenario records its known true root cause, so accuracy is measured, not asserted. The detection baseline of 240 s is an assumption to replace with Netcool history.</w:t>
      </w:r>
    </w:p>
    <w:p>
      <w:pPr>
        <w:pStyle w:val="Heading2"/>
        <w:spacing w:after="80" w:before="200"/>
      </w:pPr>
      <w:r>
        <w:t xml:space="preserve">Step 15. Update the console</w:t>
      </w:r>
    </w:p>
    <w:p>
      <w:pPr>
        <w:spacing w:after="110" w:line="276"/>
      </w:pPr>
      <w:r>
        <w:t xml:space="preserve">Seven scenario buttons now include SD-WAN degradation. New tabs: Architecture (layer map and flow), Policy and closed loop (levels, guardrails, dry run, maintenance, learned outcomes, source health) and Audit. Incident cards show ranked candidates with factor scores, service impact, the policy decision with pass or fail checks, and the closed-loop timeline. The KPI tab adds the scorecard, service health and baseline. Live-backend-only views show an instruction when the backend is not running; the standalone page keeps the original Netcool-style demo plus the SD-WAN scenario.</w:t>
      </w:r>
    </w:p>
    <w:p>
      <w:pPr>
        <w:pStyle w:val="Heading2"/>
        <w:spacing w:after="80" w:before="200"/>
      </w:pPr>
      <w:r>
        <w:t xml:space="preserve">Step 16. Test every behaviour</w:t>
      </w:r>
    </w:p>
    <w:p>
      <w:pPr>
        <w:spacing w:after="110" w:line="276"/>
      </w:pPr>
      <w:r>
        <w:t xml:space="preserve">21 unit tests: the original six plus fifteen for the new behaviour (see section 8). Run python -m unittest discover -s tests. The server was also exercised over HTTP, and every console tab was rendered headlessly from live engine state to catch template errors.</w:t>
      </w:r>
    </w:p>
    <w:p>
      <w:pPr>
        <w:pStyle w:val="Heading1"/>
        <w:spacing w:after="120" w:before="300"/>
      </w:pPr>
      <w:r>
        <w:t xml:space="preserve">5. Automation levels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80"/>
        <w:gridCol w:w="7020"/>
      </w:tblGrid>
      <w:tr>
        <w:trPr>
          <w:tblHeader/>
        </w:trPr>
        <w:tc>
          <w:tcPr>
            <w:tcW w:type="dxa" w:w="1980"/>
            <w:tcBorders>
              <w:top w:val="single" w:color="C9D2CC" w:sz="4"/>
              <w:left w:val="single" w:color="C9D2CC" w:sz="4"/>
              <w:bottom w:val="single" w:color="C9D2CC" w:sz="4"/>
              <w:right w:val="single" w:color="C9D2CC" w:sz="4"/>
            </w:tcBorders>
            <w:shd w:fill="0D6B57" w:val="clear"/>
            <w:tcMar>
              <w:top w:type="dxa" w:w="60"/>
              <w:left w:type="dxa" w:w="90"/>
              <w:bottom w:type="dxa" w:w="60"/>
              <w:right w:type="dxa" w:w="90"/>
            </w:tcMar>
          </w:tcPr>
          <w:p>
            <w:r>
              <w:rPr>
                <w:b/>
                <w:bCs/>
                <w:color w:val="FFFFFF"/>
                <w:sz w:val="18"/>
                <w:szCs w:val="18"/>
              </w:rPr>
              <w:t xml:space="preserve">Level</w:t>
            </w:r>
          </w:p>
        </w:tc>
        <w:tc>
          <w:tcPr>
            <w:tcW w:type="dxa" w:w="7020"/>
            <w:tcBorders>
              <w:top w:val="single" w:color="C9D2CC" w:sz="4"/>
              <w:left w:val="single" w:color="C9D2CC" w:sz="4"/>
              <w:bottom w:val="single" w:color="C9D2CC" w:sz="4"/>
              <w:right w:val="single" w:color="C9D2CC" w:sz="4"/>
            </w:tcBorders>
            <w:shd w:fill="0D6B57" w:val="clear"/>
            <w:tcMar>
              <w:top w:type="dxa" w:w="60"/>
              <w:left w:type="dxa" w:w="90"/>
              <w:bottom w:type="dxa" w:w="60"/>
              <w:right w:type="dxa" w:w="90"/>
            </w:tcMar>
          </w:tcPr>
          <w:p>
            <w:r>
              <w:rPr>
                <w:b/>
                <w:bCs/>
                <w:color w:val="FFFFFF"/>
                <w:sz w:val="18"/>
                <w:szCs w:val="18"/>
              </w:rPr>
              <w:t xml:space="preserve">Behaviour in the demo</w:t>
            </w:r>
          </w:p>
        </w:tc>
      </w:tr>
      <w:tr>
        <w:tc>
          <w:tcPr>
            <w:tcW w:type="dxa" w:w="198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observe</w:t>
            </w:r>
          </w:p>
        </w:tc>
        <w:tc>
          <w:tcPr>
            <w:tcW w:type="dxa" w:w="702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Detects and displays. No playbook is created.</w:t>
            </w:r>
          </w:p>
        </w:tc>
      </w:tr>
      <w:tr>
        <w:tc>
          <w:tcPr>
            <w:tcW w:type="dxa" w:w="198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recommend</w:t>
            </w:r>
          </w:p>
        </w:tc>
        <w:tc>
          <w:tcPr>
            <w:tcW w:type="dxa" w:w="702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Playbook shown as Recommended. Approval is refused.</w:t>
            </w:r>
          </w:p>
        </w:tc>
      </w:tr>
      <w:tr>
        <w:tc>
          <w:tcPr>
            <w:tcW w:type="dxa" w:w="198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assist</w:t>
            </w:r>
          </w:p>
        </w:tc>
        <w:tc>
          <w:tcPr>
            <w:tcW w:type="dxa" w:w="702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Approval runs a dry run only. Incident stays open.</w:t>
            </w:r>
          </w:p>
        </w:tc>
      </w:tr>
      <w:tr>
        <w:tc>
          <w:tcPr>
            <w:tcW w:type="dxa" w:w="198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approval</w:t>
            </w:r>
          </w:p>
        </w:tc>
        <w:tc>
          <w:tcPr>
            <w:tcW w:type="dxa" w:w="702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Operator approval executes the playbook.</w:t>
            </w:r>
          </w:p>
        </w:tc>
      </w:tr>
      <w:tr>
        <w:tc>
          <w:tcPr>
            <w:tcW w:type="dxa" w:w="198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closed_loop</w:t>
            </w:r>
          </w:p>
        </w:tc>
        <w:tc>
          <w:tcPr>
            <w:tcW w:type="dxa" w:w="702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Executes automatically when all five guardrails pass.</w:t>
            </w:r>
          </w:p>
        </w:tc>
      </w:tr>
      <w:tr>
        <w:tc>
          <w:tcPr>
            <w:tcW w:type="dxa" w:w="198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self_optimize</w:t>
            </w:r>
          </w:p>
        </w:tc>
        <w:tc>
          <w:tcPr>
            <w:tcW w:type="dxa" w:w="702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Closed loop; confidence gate moves between 0.75 and 0.95 with verified outcomes.</w:t>
            </w:r>
          </w:p>
        </w:tc>
      </w:tr>
    </w:tbl>
    <w:p>
      <w:pPr>
        <w:spacing w:after="60"/>
      </w:pPr>
      <w:r>
        <w:t xml:space="preserve"/>
      </w:r>
    </w:p>
    <w:p>
      <w:pPr>
        <w:pStyle w:val="Heading1"/>
        <w:spacing w:after="120" w:before="300"/>
      </w:pPr>
      <w:r>
        <w:t xml:space="preserve">6. Worked example: fibre cut</w:t>
      </w:r>
    </w:p>
    <w:p>
      <w:pPr>
        <w:spacing w:after="110" w:line="276"/>
      </w:pPr>
      <w:r>
        <w:t xml:space="preserve">The fiber-cut scenario raises LOS on DWDM1, then LINK_DOWN on P1 and P2, BGP and LDP alarms, and a service symptom. With seed 1 the engine produces:</w:t>
      </w:r>
    </w:p>
    <w:p>
      <w:pPr>
        <w:pStyle w:val="ListParagraph"/>
        <w:numPr>
          <w:ilvl w:val="0"/>
          <w:numId w:val="2"/>
        </w:numPr>
        <w:spacing w:after="60"/>
      </w:pPr>
      <w:r>
        <w:t xml:space="preserve">Root cause LOS on DWDM1, top score 0.95 (rules 1.00, topology 1.00, timing 1.00, dependency 1.00, history 0.50). Runners-up LINK_DOWN on P1 and P2 at 0.84.</w:t>
      </w:r>
    </w:p>
    <w:p>
      <w:pPr>
        <w:pStyle w:val="ListParagraph"/>
        <w:numPr>
          <w:ilvl w:val="0"/>
          <w:numId w:val="2"/>
        </w:numPr>
        <w:spacing w:after="60"/>
      </w:pPr>
      <w:r>
        <w:t xml:space="preserve">Impact: VPN-ACME, VPN-BANK and FTTH-AUSTIN, 13,800 customers.</w:t>
      </w:r>
    </w:p>
    <w:p>
      <w:pPr>
        <w:pStyle w:val="ListParagraph"/>
        <w:numPr>
          <w:ilvl w:val="0"/>
          <w:numId w:val="2"/>
        </w:numPr>
        <w:spacing w:after="60"/>
      </w:pPr>
      <w:r>
        <w:t xml:space="preserve">Early on, confidence is 61 percent and the confidence gate holds the action. Once more related alarms arrive confidence reaches 81 percent, all guardrails pass and the playbook runs automatically.</w:t>
      </w:r>
    </w:p>
    <w:p>
      <w:pPr>
        <w:pStyle w:val="ListParagraph"/>
        <w:numPr>
          <w:ilvl w:val="0"/>
          <w:numId w:val="2"/>
        </w:numPr>
        <w:spacing w:after="60"/>
      </w:pPr>
      <w:r>
        <w:t xml:space="preserve">Audit trail: Observe, Analyze, Decide (held, then auto-execute), Act, Verify (4 s clean window), Learn (prior for LOS rises from 0.50 to 0.67).</w:t>
      </w:r>
    </w:p>
    <w:p>
      <w:pPr>
        <w:pStyle w:val="Heading1"/>
        <w:spacing w:after="120" w:before="300"/>
      </w:pPr>
      <w:r>
        <w:t xml:space="preserve">7. API reference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20"/>
        <w:gridCol w:w="5580"/>
      </w:tblGrid>
      <w:tr>
        <w:trPr>
          <w:tblHeader/>
        </w:trPr>
        <w:tc>
          <w:tcPr>
            <w:tcW w:type="dxa" w:w="3420"/>
            <w:tcBorders>
              <w:top w:val="single" w:color="C9D2CC" w:sz="4"/>
              <w:left w:val="single" w:color="C9D2CC" w:sz="4"/>
              <w:bottom w:val="single" w:color="C9D2CC" w:sz="4"/>
              <w:right w:val="single" w:color="C9D2CC" w:sz="4"/>
            </w:tcBorders>
            <w:shd w:fill="0D6B57" w:val="clear"/>
            <w:tcMar>
              <w:top w:type="dxa" w:w="60"/>
              <w:left w:type="dxa" w:w="90"/>
              <w:bottom w:type="dxa" w:w="60"/>
              <w:right w:type="dxa" w:w="90"/>
            </w:tcMar>
          </w:tcPr>
          <w:p>
            <w:r>
              <w:rPr>
                <w:b/>
                <w:bCs/>
                <w:color w:val="FFFFFF"/>
                <w:sz w:val="18"/>
                <w:szCs w:val="18"/>
              </w:rPr>
              <w:t xml:space="preserve">Endpoint</w:t>
            </w:r>
          </w:p>
        </w:tc>
        <w:tc>
          <w:tcPr>
            <w:tcW w:type="dxa" w:w="5580"/>
            <w:tcBorders>
              <w:top w:val="single" w:color="C9D2CC" w:sz="4"/>
              <w:left w:val="single" w:color="C9D2CC" w:sz="4"/>
              <w:bottom w:val="single" w:color="C9D2CC" w:sz="4"/>
              <w:right w:val="single" w:color="C9D2CC" w:sz="4"/>
            </w:tcBorders>
            <w:shd w:fill="0D6B57" w:val="clear"/>
            <w:tcMar>
              <w:top w:type="dxa" w:w="60"/>
              <w:left w:type="dxa" w:w="90"/>
              <w:bottom w:type="dxa" w:w="60"/>
              <w:right w:type="dxa" w:w="90"/>
            </w:tcMar>
          </w:tcPr>
          <w:p>
            <w:r>
              <w:rPr>
                <w:b/>
                <w:bCs/>
                <w:color w:val="FFFFFF"/>
                <w:sz w:val="18"/>
                <w:szCs w:val="18"/>
              </w:rPr>
              <w:t xml:space="preserve">Purpose</w:t>
            </w:r>
          </w:p>
        </w:tc>
      </w:tr>
      <w:tr>
        <w:tc>
          <w:tcPr>
            <w:tcW w:type="dxa" w:w="342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POST /api/events</w:t>
            </w:r>
          </w:p>
        </w:tc>
        <w:tc>
          <w:tcPr>
            <w:tcW w:type="dxa" w:w="558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Ingest one event or a list</w:t>
            </w:r>
          </w:p>
        </w:tc>
      </w:tr>
      <w:tr>
        <w:tc>
          <w:tcPr>
            <w:tcW w:type="dxa" w:w="342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POST /api/scenario/{name}</w:t>
            </w:r>
          </w:p>
        </w:tc>
        <w:tc>
          <w:tcPr>
            <w:tcW w:type="dxa" w:w="558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fiber-cut, cell-site, pon, cpu, optical, sdwan, storm</w:t>
            </w:r>
          </w:p>
        </w:tc>
      </w:tr>
      <w:tr>
        <w:tc>
          <w:tcPr>
            <w:tcW w:type="dxa" w:w="342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POST /api/approve/{id}</w:t>
            </w:r>
          </w:p>
        </w:tc>
        <w:tc>
          <w:tcPr>
            <w:tcW w:type="dxa" w:w="558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Approve a proposed action (dry run at level assist)</w:t>
            </w:r>
          </w:p>
        </w:tc>
      </w:tr>
      <w:tr>
        <w:tc>
          <w:tcPr>
            <w:tcW w:type="dxa" w:w="342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POST /api/policy</w:t>
            </w:r>
          </w:p>
        </w:tc>
        <w:tc>
          <w:tcPr>
            <w:tcW w:type="dxa" w:w="558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level, min_conf, max_auto_customers, max_auto_per_min, dry_run, k</w:t>
            </w:r>
          </w:p>
        </w:tc>
      </w:tr>
      <w:tr>
        <w:tc>
          <w:tcPr>
            <w:tcW w:type="dxa" w:w="342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POST /api/maintenance</w:t>
            </w:r>
          </w:p>
        </w:tc>
        <w:tc>
          <w:tcPr>
            <w:tcW w:type="dxa" w:w="558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device and seconds; 0 ends the window</w:t>
            </w:r>
          </w:p>
        </w:tc>
      </w:tr>
      <w:tr>
        <w:tc>
          <w:tcPr>
            <w:tcW w:type="dxa" w:w="342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POST /api/recurrence</w:t>
            </w:r>
          </w:p>
        </w:tc>
        <w:tc>
          <w:tcPr>
            <w:tcW w:type="dxa" w:w="558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Force the next verification to fail</w:t>
            </w:r>
          </w:p>
        </w:tc>
      </w:tr>
      <w:tr>
        <w:tc>
          <w:tcPr>
            <w:tcW w:type="dxa" w:w="342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POST /api/replay</w:t>
            </w:r>
          </w:p>
        </w:tc>
        <w:tc>
          <w:tcPr>
            <w:tcW w:type="dxa" w:w="558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Re-inject journaled events</w:t>
            </w:r>
          </w:p>
        </w:tc>
      </w:tr>
      <w:tr>
        <w:tc>
          <w:tcPr>
            <w:tcW w:type="dxa" w:w="342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POST /api/hub</w:t>
            </w:r>
          </w:p>
        </w:tc>
        <w:tc>
          <w:tcPr>
            <w:tcW w:type="dxa" w:w="558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Register a webhook (http or https only)</w:t>
            </w:r>
          </w:p>
        </w:tc>
      </w:tr>
      <w:tr>
        <w:tc>
          <w:tcPr>
            <w:tcW w:type="dxa" w:w="342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POST /api/auto, /api/reset</w:t>
            </w:r>
          </w:p>
        </w:tc>
        <w:tc>
          <w:tcPr>
            <w:tcW w:type="dxa" w:w="558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Legacy toggle, reset</w:t>
            </w:r>
          </w:p>
        </w:tc>
      </w:tr>
      <w:tr>
        <w:tc>
          <w:tcPr>
            <w:tcW w:type="dxa" w:w="342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GET /api/state</w:t>
            </w:r>
          </w:p>
        </w:tc>
        <w:tc>
          <w:tcPr>
            <w:tcW w:type="dxa" w:w="558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Full state for the console</w:t>
            </w:r>
          </w:p>
        </w:tc>
      </w:tr>
      <w:tr>
        <w:tc>
          <w:tcPr>
            <w:tcW w:type="dxa" w:w="342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GET /api/architecture, /audit, /scorecard, /journal, /hub</w:t>
            </w:r>
          </w:p>
        </w:tc>
        <w:tc>
          <w:tcPr>
            <w:tcW w:type="dxa" w:w="558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Layer map, audit, scorecard, journal, hub status</w:t>
            </w:r>
          </w:p>
        </w:tc>
      </w:tr>
      <w:tr>
        <w:tc>
          <w:tcPr>
            <w:tcW w:type="dxa" w:w="342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GET /api/tmf/alarmManagement/v4/alarm</w:t>
            </w:r>
          </w:p>
        </w:tc>
        <w:tc>
          <w:tcPr>
            <w:tcW w:type="dxa" w:w="558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TMF642 style alarms</w:t>
            </w:r>
          </w:p>
        </w:tc>
      </w:tr>
      <w:tr>
        <w:tc>
          <w:tcPr>
            <w:tcW w:type="dxa" w:w="342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GET /api/tmf/troubleTicket/v4/troubleTicket</w:t>
            </w:r>
          </w:p>
        </w:tc>
        <w:tc>
          <w:tcPr>
            <w:tcW w:type="dxa" w:w="558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TMF621 style tickets</w:t>
            </w:r>
          </w:p>
        </w:tc>
      </w:tr>
    </w:tbl>
    <w:p>
      <w:pPr>
        <w:spacing w:after="60"/>
      </w:pPr>
      <w:r>
        <w:t xml:space="preserve"/>
      </w:r>
    </w:p>
    <w:p>
      <w:pPr>
        <w:spacing w:after="110" w:line="276"/>
      </w:pPr>
      <w:r>
        <w:t xml:space="preserve">Invalid input (unknown device, level, scenario, non-http callback, out-of-range setting) returns HTTP 400 with an error message.</w:t>
      </w:r>
    </w:p>
    <w:p>
      <w:pPr>
        <w:pStyle w:val="Heading1"/>
        <w:spacing w:after="120" w:before="300"/>
      </w:pPr>
      <w:r>
        <w:t xml:space="preserve">8. Test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60"/>
        <w:gridCol w:w="5940"/>
      </w:tblGrid>
      <w:tr>
        <w:trPr>
          <w:tblHeader/>
        </w:trPr>
        <w:tc>
          <w:tcPr>
            <w:tcW w:type="dxa" w:w="3060"/>
            <w:tcBorders>
              <w:top w:val="single" w:color="C9D2CC" w:sz="4"/>
              <w:left w:val="single" w:color="C9D2CC" w:sz="4"/>
              <w:bottom w:val="single" w:color="C9D2CC" w:sz="4"/>
              <w:right w:val="single" w:color="C9D2CC" w:sz="4"/>
            </w:tcBorders>
            <w:shd w:fill="0D6B57" w:val="clear"/>
            <w:tcMar>
              <w:top w:type="dxa" w:w="60"/>
              <w:left w:type="dxa" w:w="90"/>
              <w:bottom w:type="dxa" w:w="60"/>
              <w:right w:type="dxa" w:w="90"/>
            </w:tcMar>
          </w:tcPr>
          <w:p>
            <w:r>
              <w:rPr>
                <w:b/>
                <w:bCs/>
                <w:color w:val="FFFFFF"/>
                <w:sz w:val="18"/>
                <w:szCs w:val="18"/>
              </w:rPr>
              <w:t xml:space="preserve">Test</w:t>
            </w:r>
          </w:p>
        </w:tc>
        <w:tc>
          <w:tcPr>
            <w:tcW w:type="dxa" w:w="5940"/>
            <w:tcBorders>
              <w:top w:val="single" w:color="C9D2CC" w:sz="4"/>
              <w:left w:val="single" w:color="C9D2CC" w:sz="4"/>
              <w:bottom w:val="single" w:color="C9D2CC" w:sz="4"/>
              <w:right w:val="single" w:color="C9D2CC" w:sz="4"/>
            </w:tcBorders>
            <w:shd w:fill="0D6B57" w:val="clear"/>
            <w:tcMar>
              <w:top w:type="dxa" w:w="60"/>
              <w:left w:type="dxa" w:w="90"/>
              <w:bottom w:type="dxa" w:w="60"/>
              <w:right w:type="dxa" w:w="90"/>
            </w:tcMar>
          </w:tcPr>
          <w:p>
            <w:r>
              <w:rPr>
                <w:b/>
                <w:bCs/>
                <w:color w:val="FFFFFF"/>
                <w:sz w:val="18"/>
                <w:szCs w:val="18"/>
              </w:rPr>
              <w:t xml:space="preserve">What it proves</w:t>
            </w:r>
          </w:p>
        </w:tc>
      </w:tr>
      <w:tr>
        <w:tc>
          <w:tcPr>
            <w:tcW w:type="dxa" w:w="306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fiber cut root cause and auto fix</w:t>
            </w:r>
          </w:p>
        </w:tc>
        <w:tc>
          <w:tcPr>
            <w:tcW w:type="dxa" w:w="594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DWDM1 LOS is root; incident resolves automatically; three services impacted</w:t>
            </w:r>
          </w:p>
        </w:tc>
      </w:tr>
      <w:tr>
        <w:tc>
          <w:tcPr>
            <w:tcW w:type="dxa" w:w="306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dedup counts repeats</w:t>
            </w:r>
          </w:p>
        </w:tc>
        <w:tc>
          <w:tcPr>
            <w:tcW w:type="dxa" w:w="594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Same device and type gives one alarm with tally 5</w:t>
            </w:r>
          </w:p>
        </w:tc>
      </w:tr>
      <w:tr>
        <w:tc>
          <w:tcPr>
            <w:tcW w:type="dxa" w:w="306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medium risk waits for approval</w:t>
            </w:r>
          </w:p>
        </w:tc>
        <w:tc>
          <w:tcPr>
            <w:tcW w:type="dxa" w:w="594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POWER_LOSS stays Proposed until approved</w:t>
            </w:r>
          </w:p>
        </w:tc>
      </w:tr>
      <w:tr>
        <w:tc>
          <w:tcPr>
            <w:tcW w:type="dxa" w:w="306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auto off never runs unapproved</w:t>
            </w:r>
          </w:p>
        </w:tc>
        <w:tc>
          <w:tcPr>
            <w:tcW w:type="dxa" w:w="594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Without closed loop nothing executes</w:t>
            </w:r>
          </w:p>
        </w:tc>
      </w:tr>
      <w:tr>
        <w:tc>
          <w:tcPr>
            <w:tcW w:type="dxa" w:w="306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prediction triggers proactive fix</w:t>
            </w:r>
          </w:p>
        </w:tc>
        <w:tc>
          <w:tcPr>
            <w:tcW w:type="dxa" w:w="594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Repeated optical alarms push risk above 0.7 and a reroute runs</w:t>
            </w:r>
          </w:p>
        </w:tc>
      </w:tr>
      <w:tr>
        <w:tc>
          <w:tcPr>
            <w:tcW w:type="dxa" w:w="306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noise reduction</w:t>
            </w:r>
          </w:p>
        </w:tc>
        <w:tc>
          <w:tcPr>
            <w:tcW w:type="dxa" w:w="594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60 noise events collapse to fewer than 3 incidents</w:t>
            </w:r>
          </w:p>
        </w:tc>
      </w:tr>
      <w:tr>
        <w:tc>
          <w:tcPr>
            <w:tcW w:type="dxa" w:w="306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ranked candidates carry five factors</w:t>
            </w:r>
          </w:p>
        </w:tc>
        <w:tc>
          <w:tcPr>
            <w:tcW w:type="dxa" w:w="594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Scoring factors present and ordered</w:t>
            </w:r>
          </w:p>
        </w:tc>
      </w:tr>
      <w:tr>
        <w:tc>
          <w:tcPr>
            <w:tcW w:type="dxa" w:w="306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SD-WAN PoC</w:t>
            </w:r>
          </w:p>
        </w:tc>
        <w:tc>
          <w:tcPr>
            <w:tcW w:type="dxa" w:w="594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SDW1 congestion is root; SDWAN-RETAIL impacted; resolved</w:t>
            </w:r>
          </w:p>
        </w:tc>
      </w:tr>
      <w:tr>
        <w:tc>
          <w:tcPr>
            <w:tcW w:type="dxa" w:w="306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closed loop stages and audit</w:t>
            </w:r>
          </w:p>
        </w:tc>
        <w:tc>
          <w:tcPr>
            <w:tcW w:type="dxa" w:w="594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All six stages timestamped and audited</w:t>
            </w:r>
          </w:p>
        </w:tc>
      </w:tr>
      <w:tr>
        <w:tc>
          <w:tcPr>
            <w:tcW w:type="dxa" w:w="306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observe and recommend never execute</w:t>
            </w:r>
          </w:p>
        </w:tc>
        <w:tc>
          <w:tcPr>
            <w:tcW w:type="dxa" w:w="594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Approval refused at those levels</w:t>
            </w:r>
          </w:p>
        </w:tc>
      </w:tr>
      <w:tr>
        <w:tc>
          <w:tcPr>
            <w:tcW w:type="dxa" w:w="306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assist is dry run only</w:t>
            </w:r>
          </w:p>
        </w:tc>
        <w:tc>
          <w:tcPr>
            <w:tcW w:type="dxa" w:w="594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Nothing changes; incident remains open</w:t>
            </w:r>
          </w:p>
        </w:tc>
      </w:tr>
      <w:tr>
        <w:tc>
          <w:tcPr>
            <w:tcW w:type="dxa" w:w="306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blast radius and rate limit</w:t>
            </w:r>
          </w:p>
        </w:tc>
        <w:tc>
          <w:tcPr>
            <w:tcW w:type="dxa" w:w="594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Either check holds automatic execution</w:t>
            </w:r>
          </w:p>
        </w:tc>
      </w:tr>
      <w:tr>
        <w:tc>
          <w:tcPr>
            <w:tcW w:type="dxa" w:w="306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action lock</w:t>
            </w:r>
          </w:p>
        </w:tc>
        <w:tc>
          <w:tcPr>
            <w:tcW w:type="dxa" w:w="594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Second action on a locked device is refused</w:t>
            </w:r>
          </w:p>
        </w:tc>
      </w:tr>
      <w:tr>
        <w:tc>
          <w:tcPr>
            <w:tcW w:type="dxa" w:w="306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verification failure</w:t>
            </w:r>
          </w:p>
        </w:tc>
        <w:tc>
          <w:tcPr>
            <w:tcW w:type="dxa" w:w="594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Rollback, escalation, failure recorded, prior drops</w:t>
            </w:r>
          </w:p>
        </w:tc>
      </w:tr>
      <w:tr>
        <w:tc>
          <w:tcPr>
            <w:tcW w:type="dxa" w:w="306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self-optimize bounds</w:t>
            </w:r>
          </w:p>
        </w:tc>
        <w:tc>
          <w:tcPr>
            <w:tcW w:type="dxa" w:w="594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Gate lowers on success and stays at or above 0.75</w:t>
            </w:r>
          </w:p>
        </w:tc>
      </w:tr>
      <w:tr>
        <w:tc>
          <w:tcPr>
            <w:tcW w:type="dxa" w:w="306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maintenance window</w:t>
            </w:r>
          </w:p>
        </w:tc>
        <w:tc>
          <w:tcPr>
            <w:tcW w:type="dxa" w:w="594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Alarms suppressed, never become the root cause</w:t>
            </w:r>
          </w:p>
        </w:tc>
      </w:tr>
      <w:tr>
        <w:tc>
          <w:tcPr>
            <w:tcW w:type="dxa" w:w="306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scorecard and service health</w:t>
            </w:r>
          </w:p>
        </w:tc>
        <w:tc>
          <w:tcPr>
            <w:tcW w:type="dxa" w:w="594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100 percent accuracy on the scenario; health returns to Healthy</w:t>
            </w:r>
          </w:p>
        </w:tc>
      </w:tr>
      <w:tr>
        <w:tc>
          <w:tcPr>
            <w:tcW w:type="dxa" w:w="306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TM Forum views and hub events</w:t>
            </w:r>
          </w:p>
        </w:tc>
        <w:tc>
          <w:tcPr>
            <w:tcW w:type="dxa" w:w="594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Ticket fields and event order</w:t>
            </w:r>
          </w:p>
        </w:tc>
      </w:tr>
      <w:tr>
        <w:tc>
          <w:tcPr>
            <w:tcW w:type="dxa" w:w="306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journal replay</w:t>
            </w:r>
          </w:p>
        </w:tc>
        <w:tc>
          <w:tcPr>
            <w:tcW w:type="dxa" w:w="594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Replaying journaled alarms elsewhere reproduces the root cause</w:t>
            </w:r>
          </w:p>
        </w:tc>
      </w:tr>
      <w:tr>
        <w:tc>
          <w:tcPr>
            <w:tcW w:type="dxa" w:w="306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dynamic baseline k</w:t>
            </w:r>
          </w:p>
        </w:tc>
        <w:tc>
          <w:tcPr>
            <w:tcW w:type="dxa" w:w="594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Lower k flags at least as many anomalies as higher k</w:t>
            </w:r>
          </w:p>
        </w:tc>
      </w:tr>
      <w:tr>
        <w:tc>
          <w:tcPr>
            <w:tcW w:type="dxa" w:w="306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bad input counted</w:t>
            </w:r>
          </w:p>
        </w:tc>
        <w:tc>
          <w:tcPr>
            <w:tcW w:type="dxa" w:w="594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Rejection counted per adapter</w:t>
            </w:r>
          </w:p>
        </w:tc>
      </w:tr>
    </w:tbl>
    <w:p>
      <w:pPr>
        <w:spacing w:after="60"/>
      </w:pPr>
      <w:r>
        <w:t xml:space="preserve"/>
      </w:r>
    </w:p>
    <w:p>
      <w:pPr>
        <w:pStyle w:val="Heading1"/>
        <w:spacing w:after="120" w:before="300"/>
      </w:pPr>
      <w:r>
        <w:t xml:space="preserve">9. Run, deploy and demonstrate</w:t>
      </w:r>
    </w:p>
    <w:p>
      <w:pPr>
        <w:shd w:fill="F1F4F2" w:val="clear"/>
        <w:spacing w:after="0"/>
      </w:pPr>
      <w:r>
        <w:rPr>
          <w:rFonts w:ascii="Consolas" w:cs="Consolas" w:eastAsia="Consolas" w:hAnsi="Consolas"/>
          <w:sz w:val="18"/>
          <w:szCs w:val="18"/>
        </w:rPr>
        <w:t xml:space="preserve">unzip telco-assurance-demo.zip &amp;&amp; cd telco-assurance-demo</w:t>
      </w:r>
    </w:p>
    <w:p>
      <w:pPr>
        <w:shd w:fill="F1F4F2" w:val="clear"/>
        <w:spacing w:after="0"/>
      </w:pPr>
      <w:r>
        <w:rPr>
          <w:rFonts w:ascii="Consolas" w:cs="Consolas" w:eastAsia="Consolas" w:hAnsi="Consolas"/>
          <w:sz w:val="18"/>
          <w:szCs w:val="18"/>
        </w:rPr>
        <w:t xml:space="preserve">python backend/server.py              # http://localhost:8080, syslog UDP 5140</w:t>
      </w:r>
    </w:p>
    <w:p>
      <w:pPr>
        <w:shd w:fill="F1F4F2" w:val="clear"/>
        <w:spacing w:after="0"/>
      </w:pPr>
      <w:r>
        <w:rPr>
          <w:rFonts w:ascii="Consolas" w:cs="Consolas" w:eastAsia="Consolas" w:hAnsi="Consolas"/>
          <w:sz w:val="18"/>
          <w:szCs w:val="18"/>
        </w:rPr>
        <w:t xml:space="preserve">python -m unittest discover -s tests  # 21 tests</w:t>
      </w:r>
    </w:p>
    <w:p>
      <w:pPr>
        <w:shd w:fill="F1F4F2" w:val="clear"/>
        <w:spacing w:after="0"/>
      </w:pPr>
      <w:r>
        <w:rPr>
          <w:rFonts w:ascii="Consolas" w:cs="Consolas" w:eastAsia="Consolas" w:hAnsi="Consolas"/>
          <w:sz w:val="18"/>
          <w:szCs w:val="18"/>
        </w:rPr>
        <w:t xml:space="preserve">docker compose up --build             # alternative (Docker build not yet tested end to end)</w:t>
      </w:r>
    </w:p>
    <w:p>
      <w:pPr>
        <w:shd w:fill="F1F4F2" w:val="clear"/>
        <w:spacing w:after="0"/>
      </w:pPr>
      <w:r>
        <w:rPr>
          <w:rFonts w:ascii="Consolas" w:cs="Consolas" w:eastAsia="Consolas" w:hAnsi="Consolas"/>
          <w:sz w:val="18"/>
          <w:szCs w:val="18"/>
        </w:rPr>
        <w:t xml:space="preserve">python tools/send_syslog.py P1 LINK_DOWN</w:t>
      </w:r>
    </w:p>
    <w:p>
      <w:pPr>
        <w:pStyle w:val="Heading2"/>
        <w:spacing w:after="80" w:before="200"/>
      </w:pPr>
      <w:r>
        <w:t xml:space="preserve">Suggested 10-minute demo</w:t>
      </w:r>
    </w:p>
    <w:p>
      <w:pPr>
        <w:pStyle w:val="ListParagraph"/>
        <w:numPr>
          <w:ilvl w:val="0"/>
          <w:numId w:val="2"/>
        </w:numPr>
        <w:spacing w:after="60"/>
      </w:pPr>
      <w:r>
        <w:t xml:space="preserve">Architecture tab: walk the five layers and the "Not covered" column to set honest expectations.</w:t>
      </w:r>
    </w:p>
    <w:p>
      <w:pPr>
        <w:pStyle w:val="ListParagraph"/>
        <w:numPr>
          <w:ilvl w:val="0"/>
          <w:numId w:val="2"/>
        </w:numPr>
        <w:spacing w:after="60"/>
      </w:pPr>
      <w:r>
        <w:t xml:space="preserve">Cut the fibre. Show one incident replacing a dozen alarms, the ranked candidates and the service impact.</w:t>
      </w:r>
    </w:p>
    <w:p>
      <w:pPr>
        <w:pStyle w:val="ListParagraph"/>
        <w:numPr>
          <w:ilvl w:val="0"/>
          <w:numId w:val="2"/>
        </w:numPr>
        <w:spacing w:after="60"/>
      </w:pPr>
      <w:r>
        <w:t xml:space="preserve">Show the policy decision: held at low confidence, then auto-executed with all five checks passing. Open the Audit tab.</w:t>
      </w:r>
    </w:p>
    <w:p>
      <w:pPr>
        <w:pStyle w:val="ListParagraph"/>
        <w:numPr>
          <w:ilvl w:val="0"/>
          <w:numId w:val="2"/>
        </w:numPr>
        <w:spacing w:after="60"/>
      </w:pPr>
      <w:r>
        <w:t xml:space="preserve">Policy tab: set blast radius to 1,000 customers and cut again. The action is held for approval; approve it.</w:t>
      </w:r>
    </w:p>
    <w:p>
      <w:pPr>
        <w:pStyle w:val="ListParagraph"/>
        <w:numPr>
          <w:ilvl w:val="0"/>
          <w:numId w:val="2"/>
        </w:numPr>
        <w:spacing w:after="60"/>
      </w:pPr>
      <w:r>
        <w:t xml:space="preserve">Simulate recurrence, then cut the fibre: verification fails, the action rolls back and escalates, and the prior for LOS drops.</w:t>
      </w:r>
    </w:p>
    <w:p>
      <w:pPr>
        <w:pStyle w:val="ListParagraph"/>
        <w:numPr>
          <w:ilvl w:val="0"/>
          <w:numId w:val="2"/>
        </w:numPr>
        <w:spacing w:after="60"/>
      </w:pPr>
      <w:r>
        <w:t xml:space="preserve">Set a maintenance window on a device and watch its alarms suppressed.</w:t>
      </w:r>
    </w:p>
    <w:p>
      <w:pPr>
        <w:pStyle w:val="ListParagraph"/>
        <w:numPr>
          <w:ilvl w:val="0"/>
          <w:numId w:val="2"/>
        </w:numPr>
        <w:spacing w:after="60"/>
      </w:pPr>
      <w:r>
        <w:t xml:space="preserve">SD-WAN degradation: the PoC use case. Finish on the KPI scorecard.</w:t>
      </w:r>
    </w:p>
    <w:p>
      <w:pPr>
        <w:pStyle w:val="Heading1"/>
        <w:spacing w:after="120" w:before="300"/>
      </w:pPr>
      <w:r>
        <w:t xml:space="preserve">10. Gaps and production roadmap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60"/>
        <w:gridCol w:w="5940"/>
      </w:tblGrid>
      <w:tr>
        <w:trPr>
          <w:tblHeader/>
        </w:trPr>
        <w:tc>
          <w:tcPr>
            <w:tcW w:type="dxa" w:w="3060"/>
            <w:tcBorders>
              <w:top w:val="single" w:color="C9D2CC" w:sz="4"/>
              <w:left w:val="single" w:color="C9D2CC" w:sz="4"/>
              <w:bottom w:val="single" w:color="C9D2CC" w:sz="4"/>
              <w:right w:val="single" w:color="C9D2CC" w:sz="4"/>
            </w:tcBorders>
            <w:shd w:fill="0D6B57" w:val="clear"/>
            <w:tcMar>
              <w:top w:type="dxa" w:w="60"/>
              <w:left w:type="dxa" w:w="90"/>
              <w:bottom w:type="dxa" w:w="60"/>
              <w:right w:type="dxa" w:w="90"/>
            </w:tcMar>
          </w:tcPr>
          <w:p>
            <w:r>
              <w:rPr>
                <w:b/>
                <w:bCs/>
                <w:color w:val="FFFFFF"/>
                <w:sz w:val="18"/>
                <w:szCs w:val="18"/>
              </w:rPr>
              <w:t xml:space="preserve">Gap</w:t>
            </w:r>
          </w:p>
        </w:tc>
        <w:tc>
          <w:tcPr>
            <w:tcW w:type="dxa" w:w="5940"/>
            <w:tcBorders>
              <w:top w:val="single" w:color="C9D2CC" w:sz="4"/>
              <w:left w:val="single" w:color="C9D2CC" w:sz="4"/>
              <w:bottom w:val="single" w:color="C9D2CC" w:sz="4"/>
              <w:right w:val="single" w:color="C9D2CC" w:sz="4"/>
            </w:tcBorders>
            <w:shd w:fill="0D6B57" w:val="clear"/>
            <w:tcMar>
              <w:top w:type="dxa" w:w="60"/>
              <w:left w:type="dxa" w:w="90"/>
              <w:bottom w:type="dxa" w:w="60"/>
              <w:right w:type="dxa" w:w="90"/>
            </w:tcMar>
          </w:tcPr>
          <w:p>
            <w:r>
              <w:rPr>
                <w:b/>
                <w:bCs/>
                <w:color w:val="FFFFFF"/>
                <w:sz w:val="18"/>
                <w:szCs w:val="18"/>
              </w:rPr>
              <w:t xml:space="preserve">Production step</w:t>
            </w:r>
          </w:p>
        </w:tc>
      </w:tr>
      <w:tr>
        <w:tc>
          <w:tcPr>
            <w:tcW w:type="dxa" w:w="306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In-memory state</w:t>
            </w:r>
          </w:p>
        </w:tc>
        <w:tc>
          <w:tcPr>
            <w:tcW w:type="dxa" w:w="594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Event bus (for example Kafka), time-series store, topology database</w:t>
            </w:r>
          </w:p>
        </w:tc>
      </w:tr>
      <w:tr>
        <w:tc>
          <w:tcPr>
            <w:tcW w:type="dxa" w:w="306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SNMP is a tag only</w:t>
            </w:r>
          </w:p>
        </w:tc>
        <w:tc>
          <w:tcPr>
            <w:tcW w:type="dxa" w:w="594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Real trap receiver or collector, NETCONF and gNMI telemetry</w:t>
            </w:r>
          </w:p>
        </w:tc>
      </w:tr>
      <w:tr>
        <w:tc>
          <w:tcPr>
            <w:tcW w:type="dxa" w:w="306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Heuristic scoring</w:t>
            </w:r>
          </w:p>
        </w:tc>
        <w:tc>
          <w:tcPr>
            <w:tcW w:type="dxa" w:w="594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Train and validate models on replayed Netcool history; drift monitoring; retraining</w:t>
            </w:r>
          </w:p>
        </w:tc>
      </w:tr>
      <w:tr>
        <w:tc>
          <w:tcPr>
            <w:tcW w:type="dxa" w:w="306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Simulated actions</w:t>
            </w:r>
          </w:p>
        </w:tc>
        <w:tc>
          <w:tcPr>
            <w:tcW w:type="dxa" w:w="594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Orchestrator, NFV and slice-manager integration with rollback hooks</w:t>
            </w:r>
          </w:p>
        </w:tc>
      </w:tr>
      <w:tr>
        <w:tc>
          <w:tcPr>
            <w:tcW w:type="dxa" w:w="306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Linear playbooks</w:t>
            </w:r>
          </w:p>
        </w:tc>
        <w:tc>
          <w:tcPr>
            <w:tcW w:type="dxa" w:w="594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Workflow engine with branching and compensation</w:t>
            </w:r>
          </w:p>
        </w:tc>
      </w:tr>
      <w:tr>
        <w:tc>
          <w:tcPr>
            <w:tcW w:type="dxa" w:w="306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No security</w:t>
            </w:r>
          </w:p>
        </w:tc>
        <w:tc>
          <w:tcPr>
            <w:tcW w:type="dxa" w:w="594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Authentication, role-based access, mutual TLS, secrets management, tenant separation</w:t>
            </w:r>
          </w:p>
        </w:tc>
      </w:tr>
      <w:tr>
        <w:tc>
          <w:tcPr>
            <w:tcW w:type="dxa" w:w="306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Simplified TM Forum payloads</w:t>
            </w:r>
          </w:p>
        </w:tc>
        <w:tc>
          <w:tcPr>
            <w:tcW w:type="dxa" w:w="594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Full TMF642 and TMF621 conformance and an event hub with retry</w:t>
            </w:r>
          </w:p>
        </w:tc>
      </w:tr>
      <w:tr>
        <w:tc>
          <w:tcPr>
            <w:tcW w:type="dxa" w:w="306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Domains missing</w:t>
            </w:r>
          </w:p>
        </w:tc>
        <w:tc>
          <w:tcPr>
            <w:tcW w:type="dxa" w:w="594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Cloud, edge, NFV/CNF, data center, SASE models</w:t>
            </w:r>
          </w:p>
        </w:tc>
      </w:tr>
      <w:tr>
        <w:tc>
          <w:tcPr>
            <w:tcW w:type="dxa" w:w="306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Hard-coded topology and services</w:t>
            </w:r>
          </w:p>
        </w:tc>
        <w:tc>
          <w:tcPr>
            <w:tcW w:type="dxa" w:w="594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Discovered inventory with identity normalization and governance</w:t>
            </w:r>
          </w:p>
        </w:tc>
      </w:tr>
      <w:tr>
        <w:tc>
          <w:tcPr>
            <w:tcW w:type="dxa" w:w="306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Docker not verified</w:t>
            </w:r>
          </w:p>
        </w:tc>
        <w:tc>
          <w:tcPr>
            <w:tcW w:type="dxa" w:w="594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Build and run the image in CI</w:t>
            </w:r>
          </w:p>
        </w:tc>
      </w:tr>
    </w:tbl>
    <w:p>
      <w:pPr>
        <w:spacing w:after="60"/>
      </w:pPr>
      <w:r>
        <w:t xml:space="preserve"/>
      </w:r>
    </w:p>
    <w:p>
      <w:pPr>
        <w:pStyle w:val="Heading1"/>
        <w:spacing w:after="120" w:before="300"/>
      </w:pPr>
      <w:r>
        <w:t xml:space="preserve">11. Netcool to HPE mapping, unchanged</w:t>
      </w:r>
    </w:p>
    <w:p>
      <w:pPr>
        <w:spacing w:after="110" w:line="276"/>
      </w:pPr>
      <w:r>
        <w:t xml:space="preserve">The earlier mapping still stands. HPE datasheet: Fault Management and Performance Management, independently sized; Fault Management has a Collection layer (Adapters, IP Mediation, Filtering and Enrichment, Persistence) and a Management layer (Fault and Problem Lifecycle Management). What each component does is inferred from its name. Performance Management is not modeled. Confirm gateway equivalents, correlation method and APIs with HPE or HCLTech; the study notes the Telco Solutions business moved to HCLTech on 1 August 2026, so support ownership should be verified first.</w:t>
      </w:r>
    </w:p>
    <w:p>
      <w:pPr>
        <w:pStyle w:val="Heading1"/>
        <w:spacing w:after="120" w:before="300"/>
      </w:pPr>
      <w:r>
        <w:t xml:space="preserve">12. Change history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60"/>
        <w:gridCol w:w="7740"/>
      </w:tblGrid>
      <w:tr>
        <w:trPr>
          <w:tblHeader/>
        </w:trPr>
        <w:tc>
          <w:tcPr>
            <w:tcW w:type="dxa" w:w="1260"/>
            <w:tcBorders>
              <w:top w:val="single" w:color="C9D2CC" w:sz="4"/>
              <w:left w:val="single" w:color="C9D2CC" w:sz="4"/>
              <w:bottom w:val="single" w:color="C9D2CC" w:sz="4"/>
              <w:right w:val="single" w:color="C9D2CC" w:sz="4"/>
            </w:tcBorders>
            <w:shd w:fill="0D6B57" w:val="clear"/>
            <w:tcMar>
              <w:top w:type="dxa" w:w="60"/>
              <w:left w:type="dxa" w:w="90"/>
              <w:bottom w:type="dxa" w:w="60"/>
              <w:right w:type="dxa" w:w="90"/>
            </w:tcMar>
          </w:tcPr>
          <w:p>
            <w:r>
              <w:rPr>
                <w:b/>
                <w:bCs/>
                <w:color w:val="FFFFFF"/>
                <w:sz w:val="18"/>
                <w:szCs w:val="18"/>
              </w:rPr>
              <w:t xml:space="preserve">Version</w:t>
            </w:r>
          </w:p>
        </w:tc>
        <w:tc>
          <w:tcPr>
            <w:tcW w:type="dxa" w:w="7740"/>
            <w:tcBorders>
              <w:top w:val="single" w:color="C9D2CC" w:sz="4"/>
              <w:left w:val="single" w:color="C9D2CC" w:sz="4"/>
              <w:bottom w:val="single" w:color="C9D2CC" w:sz="4"/>
              <w:right w:val="single" w:color="C9D2CC" w:sz="4"/>
            </w:tcBorders>
            <w:shd w:fill="0D6B57" w:val="clear"/>
            <w:tcMar>
              <w:top w:type="dxa" w:w="60"/>
              <w:left w:type="dxa" w:w="90"/>
              <w:bottom w:type="dxa" w:w="60"/>
              <w:right w:type="dxa" w:w="90"/>
            </w:tcMar>
          </w:tcPr>
          <w:p>
            <w:r>
              <w:rPr>
                <w:b/>
                <w:bCs/>
                <w:color w:val="FFFFFF"/>
                <w:sz w:val="18"/>
                <w:szCs w:val="18"/>
              </w:rPr>
              <w:t xml:space="preserve">Change</w:t>
            </w:r>
          </w:p>
        </w:tc>
      </w:tr>
      <w:tr>
        <w:tc>
          <w:tcPr>
            <w:tcW w:type="dxa" w:w="126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1.0</w:t>
            </w:r>
          </w:p>
        </w:tc>
        <w:tc>
          <w:tcPr>
            <w:tcW w:type="dxa" w:w="774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Netcool-style demo: dedup, correlation, root cause, anomaly, prediction, remediation, Netcool to HPE mapping</w:t>
            </w:r>
          </w:p>
        </w:tc>
      </w:tr>
      <w:tr>
        <w:tc>
          <w:tcPr>
            <w:tcW w:type="dxa" w:w="126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2.0</w:t>
            </w:r>
          </w:p>
        </w:tc>
        <w:tc>
          <w:tcPr>
            <w:tcW w:type="dxa" w:w="7740"/>
            <w:tcBorders>
              <w:top w:val="single" w:color="C9D2CC" w:sz="4"/>
              <w:left w:val="single" w:color="C9D2CC" w:sz="4"/>
              <w:bottom w:val="single" w:color="C9D2CC" w:sz="4"/>
              <w:right w:val="single" w:color="C9D2CC" w:sz="4"/>
            </w:tcBorders>
            <w:tcMar>
              <w:top w:type="dxa" w:w="60"/>
              <w:left w:type="dxa" w:w="90"/>
              <w:bottom w:type="dxa" w:w="60"/>
              <w:right w:type="dxa" w:w="90"/>
            </w:tcMar>
          </w:tcPr>
          <w:p>
            <w:r>
              <w:rPr>
                <w:b w:val="false"/>
                <w:bCs w:val="false"/>
                <w:sz w:val="18"/>
                <w:szCs w:val="18"/>
              </w:rPr>
              <w:t xml:space="preserve">Study alignment: SD-WAN domain, ranked evidence scoring, service health, six automation levels, guardrails, dry run, verify and rollback, learning, audit trail, dynamic baseline, TM Forum views, event hub, journal replay, PoC scorecard, 15 new tests</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D6B63"/>
        <w:sz w:val="16"/>
        <w:szCs w:val="16"/>
      </w:rPr>
      <w:t xml:space="preserve">Telco Assurance Demo, implementation guide. Page </w:t>
    </w:r>
    <w:r>
      <w:rPr>
        <w:color w:val="5D6B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mbria" w:cs="Cambria" w:eastAsia="Cambria" w:hAnsi="Cambria"/>
      <w:b/>
      <w:bCs/>
      <w:color w:val="0D6B57"/>
      <w:sz w:val="30"/>
      <w:szCs w:val="30"/>
    </w:rPr>
  </w:style>
  <w:style w:type="paragraph" w:styleId="Heading2">
    <w:name w:val="Heading 2"/>
    <w:basedOn w:val="Normal"/>
    <w:next w:val="Normal"/>
    <w:qFormat/>
    <w:pPr>
      <w:outlineLvl w:val="1"/>
    </w:pPr>
    <w:rPr>
      <w:rFonts w:ascii="Cambria" w:cs="Cambria" w:eastAsia="Cambria" w:hAnsi="Cambria"/>
      <w:b/>
      <w:bCs/>
      <w:color w:val="17211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Telco Assurance Demo: implementation guide</dc:title>
  <dc:creator>Claude</dc:creator>
  <cp:lastModifiedBy>Un-named</cp:lastModifiedBy>
  <cp:revision>1</cp:revision>
  <dcterms:created xsi:type="dcterms:W3CDTF">2026-10-07T06:52:28.255Z</dcterms:created>
  <dcterms:modified xsi:type="dcterms:W3CDTF">2026-10-07T06:52:28.255Z</dcterms:modified>
</cp:coreProperties>
</file>

<file path=docProps/custom.xml><?xml version="1.0" encoding="utf-8"?>
<Properties xmlns="http://schemas.openxmlformats.org/officeDocument/2006/custom-properties" xmlns:vt="http://schemas.openxmlformats.org/officeDocument/2006/docPropsVTypes"/>
</file>