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64B2" w14:textId="37FFBBED" w:rsidR="00F82931" w:rsidRDefault="00CD7536" w:rsidP="004F47FE">
      <w:pPr>
        <w:jc w:val="both"/>
        <w:rPr>
          <w:rFonts w:ascii="Times New Roman" w:hAnsi="Times New Roman" w:cs="Times New Roman"/>
          <w:b/>
          <w:bCs/>
          <w:sz w:val="28"/>
          <w:szCs w:val="28"/>
          <w:lang w:val="en-GB"/>
        </w:rPr>
      </w:pPr>
      <w:r w:rsidRPr="00CD7536">
        <w:rPr>
          <w:rFonts w:ascii="Times New Roman" w:hAnsi="Times New Roman" w:cs="Times New Roman"/>
          <w:b/>
          <w:bCs/>
          <w:sz w:val="28"/>
          <w:szCs w:val="28"/>
          <w:lang w:val="en-GB"/>
        </w:rPr>
        <w:t>GNR644 REMOTE SENSING FOR SURFACE WATER RESOURCES</w:t>
      </w:r>
    </w:p>
    <w:tbl>
      <w:tblPr>
        <w:tblStyle w:val="TableGrid"/>
        <w:tblW w:w="9312" w:type="dxa"/>
        <w:tblLook w:val="04A0" w:firstRow="1" w:lastRow="0" w:firstColumn="1" w:lastColumn="0" w:noHBand="0" w:noVBand="1"/>
      </w:tblPr>
      <w:tblGrid>
        <w:gridCol w:w="4106"/>
        <w:gridCol w:w="5206"/>
      </w:tblGrid>
      <w:tr w:rsidR="00CD7536" w:rsidRPr="00CD7536" w14:paraId="632FF0C2" w14:textId="77777777" w:rsidTr="00CD7536">
        <w:trPr>
          <w:trHeight w:val="331"/>
        </w:trPr>
        <w:tc>
          <w:tcPr>
            <w:tcW w:w="4106" w:type="dxa"/>
          </w:tcPr>
          <w:p w14:paraId="6664091A" w14:textId="72C7C1FE" w:rsidR="00CD7536" w:rsidRPr="00CD7536" w:rsidRDefault="00CD7536" w:rsidP="004F47FE">
            <w:pPr>
              <w:jc w:val="both"/>
              <w:rPr>
                <w:rFonts w:ascii="Times New Roman" w:eastAsia="Times New Roman" w:hAnsi="Times New Roman" w:cs="Times New Roman"/>
                <w:color w:val="000000"/>
                <w:kern w:val="0"/>
                <w:sz w:val="28"/>
                <w:szCs w:val="28"/>
                <w:lang w:eastAsia="en-IN"/>
                <w14:ligatures w14:val="none"/>
              </w:rPr>
            </w:pPr>
            <w:r>
              <w:rPr>
                <w:rFonts w:ascii="Times New Roman" w:eastAsia="Times New Roman" w:hAnsi="Times New Roman" w:cs="Times New Roman"/>
                <w:color w:val="000000"/>
                <w:kern w:val="0"/>
                <w:sz w:val="28"/>
                <w:szCs w:val="28"/>
                <w:lang w:eastAsia="en-IN"/>
                <w14:ligatures w14:val="none"/>
              </w:rPr>
              <w:t>GROUP 2</w:t>
            </w:r>
          </w:p>
        </w:tc>
        <w:tc>
          <w:tcPr>
            <w:tcW w:w="5206" w:type="dxa"/>
            <w:tcBorders>
              <w:top w:val="nil"/>
              <w:right w:val="nil"/>
            </w:tcBorders>
          </w:tcPr>
          <w:p w14:paraId="26BE076F" w14:textId="77777777" w:rsidR="00CD7536" w:rsidRPr="00CD7536" w:rsidRDefault="00CD7536" w:rsidP="004F47FE">
            <w:pPr>
              <w:jc w:val="both"/>
              <w:rPr>
                <w:rFonts w:ascii="Times New Roman" w:eastAsia="Times New Roman" w:hAnsi="Times New Roman" w:cs="Times New Roman"/>
                <w:color w:val="000000"/>
                <w:kern w:val="0"/>
                <w:sz w:val="28"/>
                <w:szCs w:val="28"/>
                <w:lang w:eastAsia="en-IN"/>
                <w14:ligatures w14:val="none"/>
              </w:rPr>
            </w:pPr>
          </w:p>
        </w:tc>
      </w:tr>
      <w:tr w:rsidR="00CD7536" w:rsidRPr="00CD7536" w14:paraId="2C569F2F" w14:textId="77777777" w:rsidTr="00CD7536">
        <w:trPr>
          <w:trHeight w:val="331"/>
        </w:trPr>
        <w:tc>
          <w:tcPr>
            <w:tcW w:w="4106" w:type="dxa"/>
            <w:hideMark/>
          </w:tcPr>
          <w:p w14:paraId="5FAF6D69" w14:textId="23F5C5F8" w:rsidR="00CD7536" w:rsidRPr="00CD7536" w:rsidRDefault="00CD7536" w:rsidP="004F47FE">
            <w:pPr>
              <w:jc w:val="both"/>
              <w:rPr>
                <w:rFonts w:ascii="Times New Roman" w:eastAsia="Times New Roman" w:hAnsi="Times New Roman" w:cs="Times New Roman"/>
                <w:b/>
                <w:bCs/>
                <w:kern w:val="0"/>
                <w:lang w:eastAsia="en-IN"/>
                <w14:ligatures w14:val="none"/>
              </w:rPr>
            </w:pPr>
            <w:r w:rsidRPr="00CD7536">
              <w:rPr>
                <w:rFonts w:ascii="Times New Roman" w:eastAsia="Times New Roman" w:hAnsi="Times New Roman" w:cs="Times New Roman"/>
                <w:b/>
                <w:bCs/>
                <w:color w:val="000000"/>
                <w:kern w:val="0"/>
                <w:sz w:val="28"/>
                <w:szCs w:val="28"/>
                <w:lang w:eastAsia="en-IN"/>
                <w14:ligatures w14:val="none"/>
              </w:rPr>
              <w:t>ROLL NUMBER</w:t>
            </w:r>
          </w:p>
        </w:tc>
        <w:tc>
          <w:tcPr>
            <w:tcW w:w="5206" w:type="dxa"/>
            <w:hideMark/>
          </w:tcPr>
          <w:p w14:paraId="68053F34" w14:textId="0FBE02F3" w:rsidR="00CD7536" w:rsidRPr="00CD7536" w:rsidRDefault="00CD7536" w:rsidP="004F47FE">
            <w:pPr>
              <w:jc w:val="both"/>
              <w:rPr>
                <w:rFonts w:ascii="Times New Roman" w:eastAsia="Times New Roman" w:hAnsi="Times New Roman" w:cs="Times New Roman"/>
                <w:b/>
                <w:bCs/>
                <w:kern w:val="0"/>
                <w:lang w:eastAsia="en-IN"/>
                <w14:ligatures w14:val="none"/>
              </w:rPr>
            </w:pPr>
            <w:r w:rsidRPr="00CD7536">
              <w:rPr>
                <w:rFonts w:ascii="Times New Roman" w:eastAsia="Times New Roman" w:hAnsi="Times New Roman" w:cs="Times New Roman"/>
                <w:b/>
                <w:bCs/>
                <w:color w:val="000000"/>
                <w:kern w:val="0"/>
                <w:sz w:val="28"/>
                <w:szCs w:val="28"/>
                <w:lang w:eastAsia="en-IN"/>
                <w14:ligatures w14:val="none"/>
              </w:rPr>
              <w:t>NAME</w:t>
            </w:r>
          </w:p>
        </w:tc>
      </w:tr>
      <w:tr w:rsidR="00CD7536" w:rsidRPr="00CD7536" w14:paraId="795709B7" w14:textId="77777777" w:rsidTr="00CD7536">
        <w:trPr>
          <w:trHeight w:val="343"/>
        </w:trPr>
        <w:tc>
          <w:tcPr>
            <w:tcW w:w="4106" w:type="dxa"/>
            <w:hideMark/>
          </w:tcPr>
          <w:p w14:paraId="12259A21"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25M0304</w:t>
            </w:r>
          </w:p>
        </w:tc>
        <w:tc>
          <w:tcPr>
            <w:tcW w:w="5206" w:type="dxa"/>
            <w:hideMark/>
          </w:tcPr>
          <w:p w14:paraId="4796A57A"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SATYENDRANATH KAR</w:t>
            </w:r>
          </w:p>
        </w:tc>
      </w:tr>
      <w:tr w:rsidR="00CD7536" w:rsidRPr="00CD7536" w14:paraId="531429DA" w14:textId="77777777" w:rsidTr="00CD7536">
        <w:trPr>
          <w:trHeight w:val="331"/>
        </w:trPr>
        <w:tc>
          <w:tcPr>
            <w:tcW w:w="4106" w:type="dxa"/>
            <w:hideMark/>
          </w:tcPr>
          <w:p w14:paraId="1B1CADDD"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25M0611</w:t>
            </w:r>
          </w:p>
        </w:tc>
        <w:tc>
          <w:tcPr>
            <w:tcW w:w="5206" w:type="dxa"/>
            <w:hideMark/>
          </w:tcPr>
          <w:p w14:paraId="3646BED8"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RISHI GANESH L</w:t>
            </w:r>
          </w:p>
        </w:tc>
      </w:tr>
      <w:tr w:rsidR="00CD7536" w:rsidRPr="00CD7536" w14:paraId="50FBA3CA" w14:textId="77777777" w:rsidTr="00CD7536">
        <w:trPr>
          <w:trHeight w:val="343"/>
        </w:trPr>
        <w:tc>
          <w:tcPr>
            <w:tcW w:w="4106" w:type="dxa"/>
            <w:hideMark/>
          </w:tcPr>
          <w:p w14:paraId="479671AD"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25M0612</w:t>
            </w:r>
          </w:p>
        </w:tc>
        <w:tc>
          <w:tcPr>
            <w:tcW w:w="5206" w:type="dxa"/>
            <w:hideMark/>
          </w:tcPr>
          <w:p w14:paraId="7193DFBF"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JAGU MANISH</w:t>
            </w:r>
          </w:p>
        </w:tc>
      </w:tr>
      <w:tr w:rsidR="00CD7536" w:rsidRPr="00CD7536" w14:paraId="3B9DCDAF" w14:textId="77777777" w:rsidTr="00CD7536">
        <w:trPr>
          <w:trHeight w:val="331"/>
        </w:trPr>
        <w:tc>
          <w:tcPr>
            <w:tcW w:w="4106" w:type="dxa"/>
            <w:hideMark/>
          </w:tcPr>
          <w:p w14:paraId="60C74A88"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25M0614</w:t>
            </w:r>
          </w:p>
        </w:tc>
        <w:tc>
          <w:tcPr>
            <w:tcW w:w="5206" w:type="dxa"/>
            <w:hideMark/>
          </w:tcPr>
          <w:p w14:paraId="58832E8D" w14:textId="77777777" w:rsidR="00CD7536" w:rsidRPr="00CD7536" w:rsidRDefault="00CD7536" w:rsidP="004F47FE">
            <w:pPr>
              <w:jc w:val="both"/>
              <w:rPr>
                <w:rFonts w:ascii="Times New Roman" w:eastAsia="Times New Roman" w:hAnsi="Times New Roman" w:cs="Times New Roman"/>
                <w:kern w:val="0"/>
                <w:lang w:eastAsia="en-IN"/>
                <w14:ligatures w14:val="none"/>
              </w:rPr>
            </w:pPr>
            <w:r w:rsidRPr="00CD7536">
              <w:rPr>
                <w:rFonts w:ascii="Times New Roman" w:eastAsia="Times New Roman" w:hAnsi="Times New Roman" w:cs="Times New Roman"/>
                <w:color w:val="000000"/>
                <w:kern w:val="0"/>
                <w:sz w:val="28"/>
                <w:szCs w:val="28"/>
                <w:lang w:eastAsia="en-IN"/>
                <w14:ligatures w14:val="none"/>
              </w:rPr>
              <w:t>MINTI JASAKIYA</w:t>
            </w:r>
          </w:p>
        </w:tc>
      </w:tr>
    </w:tbl>
    <w:p w14:paraId="70CE82DC" w14:textId="77777777" w:rsidR="00CD7536" w:rsidRDefault="00CD7536" w:rsidP="004F47FE">
      <w:pPr>
        <w:jc w:val="both"/>
        <w:rPr>
          <w:rFonts w:ascii="Times New Roman" w:hAnsi="Times New Roman" w:cs="Times New Roman"/>
          <w:b/>
          <w:bCs/>
          <w:sz w:val="28"/>
          <w:szCs w:val="28"/>
          <w:lang w:val="en-GB"/>
        </w:rPr>
      </w:pPr>
    </w:p>
    <w:p w14:paraId="2B0A1D2E" w14:textId="34AA2146" w:rsidR="00CD7536" w:rsidRPr="00FD7461" w:rsidRDefault="00CD7536" w:rsidP="004F47FE">
      <w:pPr>
        <w:jc w:val="both"/>
        <w:rPr>
          <w:rFonts w:ascii="Times New Roman" w:hAnsi="Times New Roman" w:cs="Times New Roman"/>
          <w:lang w:val="en-GB"/>
        </w:rPr>
      </w:pPr>
      <w:r w:rsidRPr="00FD7461">
        <w:rPr>
          <w:rFonts w:ascii="Times New Roman" w:hAnsi="Times New Roman" w:cs="Times New Roman"/>
          <w:b/>
          <w:bCs/>
          <w:lang w:val="en-GB"/>
        </w:rPr>
        <w:t xml:space="preserve">STUDY AREA: </w:t>
      </w:r>
      <w:r w:rsidRPr="00FD7461">
        <w:rPr>
          <w:rFonts w:ascii="Times New Roman" w:hAnsi="Times New Roman" w:cs="Times New Roman"/>
          <w:lang w:val="en-GB"/>
        </w:rPr>
        <w:t>Peninsular India</w:t>
      </w:r>
    </w:p>
    <w:p w14:paraId="63F34670" w14:textId="67D9779B" w:rsidR="00CD7536" w:rsidRPr="00FD7461" w:rsidRDefault="00CD7536" w:rsidP="004F47FE">
      <w:pPr>
        <w:jc w:val="both"/>
        <w:rPr>
          <w:rFonts w:ascii="Times New Roman" w:hAnsi="Times New Roman" w:cs="Times New Roman"/>
          <w:b/>
          <w:bCs/>
          <w:lang w:val="en-GB"/>
        </w:rPr>
      </w:pPr>
      <w:r w:rsidRPr="00FD7461">
        <w:rPr>
          <w:rFonts w:ascii="Times New Roman" w:hAnsi="Times New Roman" w:cs="Times New Roman"/>
          <w:b/>
          <w:bCs/>
          <w:lang w:val="en-GB"/>
        </w:rPr>
        <w:t>DATA PROCESSING AND VISUALIZATION:</w:t>
      </w:r>
    </w:p>
    <w:p w14:paraId="577DBE47" w14:textId="77777777" w:rsidR="00CD7536" w:rsidRPr="00CD7536" w:rsidRDefault="00CD7536" w:rsidP="004F47FE">
      <w:pPr>
        <w:jc w:val="both"/>
        <w:rPr>
          <w:rFonts w:ascii="Times New Roman" w:hAnsi="Times New Roman" w:cs="Times New Roman"/>
        </w:rPr>
      </w:pPr>
      <w:r w:rsidRPr="00CD7536">
        <w:rPr>
          <w:rFonts w:ascii="Times New Roman" w:hAnsi="Times New Roman" w:cs="Times New Roman"/>
        </w:rPr>
        <w:t>The variables used for water budget analysis have been downloaded from the relevant sources as mentioned in Table 1.</w:t>
      </w:r>
    </w:p>
    <w:p w14:paraId="50EACCAE" w14:textId="4D4D80DB" w:rsidR="00CD7536" w:rsidRPr="00CD7536" w:rsidRDefault="00CD7536" w:rsidP="004F47FE">
      <w:pPr>
        <w:jc w:val="both"/>
        <w:rPr>
          <w:rFonts w:ascii="Times New Roman" w:hAnsi="Times New Roman" w:cs="Times New Roman"/>
        </w:rPr>
      </w:pPr>
      <w:r w:rsidRPr="00CD7536">
        <w:rPr>
          <w:rFonts w:ascii="Times New Roman" w:hAnsi="Times New Roman" w:cs="Times New Roman"/>
        </w:rPr>
        <w:t>Table 1 - Source of data for Water Budget Variables</w:t>
      </w:r>
    </w:p>
    <w:tbl>
      <w:tblPr>
        <w:tblStyle w:val="TableGrid"/>
        <w:tblW w:w="9243" w:type="dxa"/>
        <w:tblLook w:val="04A0" w:firstRow="1" w:lastRow="0" w:firstColumn="1" w:lastColumn="0" w:noHBand="0" w:noVBand="1"/>
      </w:tblPr>
      <w:tblGrid>
        <w:gridCol w:w="3307"/>
        <w:gridCol w:w="2959"/>
        <w:gridCol w:w="2977"/>
      </w:tblGrid>
      <w:tr w:rsidR="00CD7536" w:rsidRPr="00FD7461" w14:paraId="1D1508B8" w14:textId="77777777" w:rsidTr="00CD7536">
        <w:tc>
          <w:tcPr>
            <w:tcW w:w="3307" w:type="dxa"/>
          </w:tcPr>
          <w:p w14:paraId="4ECC869D" w14:textId="574ACE26" w:rsidR="00CD7536" w:rsidRPr="00FD7461" w:rsidRDefault="00CD7536" w:rsidP="004F47FE">
            <w:pPr>
              <w:jc w:val="both"/>
              <w:rPr>
                <w:rFonts w:ascii="Times New Roman" w:hAnsi="Times New Roman" w:cs="Times New Roman"/>
                <w:b/>
                <w:bCs/>
              </w:rPr>
            </w:pPr>
            <w:r w:rsidRPr="00CD7536">
              <w:rPr>
                <w:rFonts w:ascii="Times New Roman" w:hAnsi="Times New Roman" w:cs="Times New Roman"/>
                <w:b/>
                <w:bCs/>
              </w:rPr>
              <w:t>VARIABLE</w:t>
            </w:r>
          </w:p>
        </w:tc>
        <w:tc>
          <w:tcPr>
            <w:tcW w:w="2959" w:type="dxa"/>
          </w:tcPr>
          <w:p w14:paraId="1755049D" w14:textId="6BD35CB2" w:rsidR="00CD7536" w:rsidRPr="00FD7461" w:rsidRDefault="00CD7536" w:rsidP="004F47FE">
            <w:pPr>
              <w:jc w:val="both"/>
              <w:rPr>
                <w:rFonts w:ascii="Times New Roman" w:hAnsi="Times New Roman" w:cs="Times New Roman"/>
                <w:b/>
                <w:bCs/>
              </w:rPr>
            </w:pPr>
            <w:r w:rsidRPr="00CD7536">
              <w:rPr>
                <w:rFonts w:ascii="Times New Roman" w:hAnsi="Times New Roman" w:cs="Times New Roman"/>
                <w:b/>
                <w:bCs/>
              </w:rPr>
              <w:t>SOURCE OF DATA</w:t>
            </w:r>
          </w:p>
        </w:tc>
        <w:tc>
          <w:tcPr>
            <w:tcW w:w="2977" w:type="dxa"/>
          </w:tcPr>
          <w:p w14:paraId="339EAAC4" w14:textId="26981127" w:rsidR="00CD7536" w:rsidRPr="00FD7461" w:rsidRDefault="00CD7536" w:rsidP="004F47FE">
            <w:pPr>
              <w:jc w:val="both"/>
              <w:rPr>
                <w:rFonts w:ascii="Times New Roman" w:hAnsi="Times New Roman" w:cs="Times New Roman"/>
                <w:b/>
                <w:bCs/>
              </w:rPr>
            </w:pPr>
            <w:r w:rsidRPr="00CD7536">
              <w:rPr>
                <w:rFonts w:ascii="Times New Roman" w:hAnsi="Times New Roman" w:cs="Times New Roman"/>
                <w:b/>
                <w:bCs/>
              </w:rPr>
              <w:t xml:space="preserve">RESOLUTION </w:t>
            </w:r>
          </w:p>
        </w:tc>
      </w:tr>
      <w:tr w:rsidR="00CD7536" w:rsidRPr="00FD7461" w14:paraId="3061A7EC" w14:textId="77777777" w:rsidTr="00CD7536">
        <w:tc>
          <w:tcPr>
            <w:tcW w:w="3307" w:type="dxa"/>
          </w:tcPr>
          <w:p w14:paraId="3D3E9A32" w14:textId="32D6BBA4" w:rsidR="00CD7536" w:rsidRPr="00FD7461" w:rsidRDefault="00CD7536" w:rsidP="004F47FE">
            <w:pPr>
              <w:jc w:val="both"/>
              <w:rPr>
                <w:rFonts w:ascii="Times New Roman" w:hAnsi="Times New Roman" w:cs="Times New Roman"/>
              </w:rPr>
            </w:pPr>
            <w:r w:rsidRPr="00CD7536">
              <w:rPr>
                <w:rFonts w:ascii="Times New Roman" w:hAnsi="Times New Roman" w:cs="Times New Roman"/>
              </w:rPr>
              <w:t>PRECIPITATION</w:t>
            </w:r>
          </w:p>
        </w:tc>
        <w:tc>
          <w:tcPr>
            <w:tcW w:w="2959" w:type="dxa"/>
          </w:tcPr>
          <w:p w14:paraId="25AE5206" w14:textId="72E95E70" w:rsidR="00CD7536" w:rsidRPr="00FD7461" w:rsidRDefault="00CD7536" w:rsidP="004F47FE">
            <w:pPr>
              <w:jc w:val="both"/>
              <w:rPr>
                <w:rFonts w:ascii="Times New Roman" w:hAnsi="Times New Roman" w:cs="Times New Roman"/>
              </w:rPr>
            </w:pPr>
            <w:r w:rsidRPr="00CD7536">
              <w:rPr>
                <w:rFonts w:ascii="Times New Roman" w:hAnsi="Times New Roman" w:cs="Times New Roman"/>
              </w:rPr>
              <w:t>GPCP</w:t>
            </w:r>
          </w:p>
        </w:tc>
        <w:tc>
          <w:tcPr>
            <w:tcW w:w="2977" w:type="dxa"/>
          </w:tcPr>
          <w:p w14:paraId="2B8D6C33" w14:textId="7DD8E30C" w:rsidR="00CD7536" w:rsidRPr="00FD7461" w:rsidRDefault="00CD7536" w:rsidP="004F47FE">
            <w:pPr>
              <w:jc w:val="both"/>
              <w:rPr>
                <w:rFonts w:ascii="Times New Roman" w:hAnsi="Times New Roman" w:cs="Times New Roman"/>
              </w:rPr>
            </w:pPr>
            <w:r w:rsidRPr="00CD7536">
              <w:rPr>
                <w:rFonts w:ascii="Times New Roman" w:hAnsi="Times New Roman" w:cs="Times New Roman"/>
              </w:rPr>
              <w:t>0.5</w:t>
            </w:r>
          </w:p>
        </w:tc>
      </w:tr>
      <w:tr w:rsidR="00CD7536" w:rsidRPr="00FD7461" w14:paraId="59D6E823" w14:textId="77777777" w:rsidTr="00CD7536">
        <w:tc>
          <w:tcPr>
            <w:tcW w:w="3307" w:type="dxa"/>
          </w:tcPr>
          <w:p w14:paraId="281DFB51" w14:textId="048B4703" w:rsidR="00CD7536" w:rsidRPr="00FD7461" w:rsidRDefault="00CD7536" w:rsidP="004F47FE">
            <w:pPr>
              <w:jc w:val="both"/>
              <w:rPr>
                <w:rFonts w:ascii="Times New Roman" w:hAnsi="Times New Roman" w:cs="Times New Roman"/>
              </w:rPr>
            </w:pPr>
            <w:r w:rsidRPr="00CD7536">
              <w:rPr>
                <w:rFonts w:ascii="Times New Roman" w:hAnsi="Times New Roman" w:cs="Times New Roman"/>
              </w:rPr>
              <w:t>SOIL MOISTURE</w:t>
            </w:r>
          </w:p>
        </w:tc>
        <w:tc>
          <w:tcPr>
            <w:tcW w:w="2959" w:type="dxa"/>
          </w:tcPr>
          <w:p w14:paraId="213F2513" w14:textId="6E2FF71C" w:rsidR="00CD7536" w:rsidRPr="00FD7461" w:rsidRDefault="00CD7536" w:rsidP="004F47FE">
            <w:pPr>
              <w:jc w:val="both"/>
              <w:rPr>
                <w:rFonts w:ascii="Times New Roman" w:hAnsi="Times New Roman" w:cs="Times New Roman"/>
              </w:rPr>
            </w:pPr>
            <w:r w:rsidRPr="00CD7536">
              <w:rPr>
                <w:rFonts w:ascii="Times New Roman" w:hAnsi="Times New Roman" w:cs="Times New Roman"/>
              </w:rPr>
              <w:t>ESA CCI</w:t>
            </w:r>
          </w:p>
        </w:tc>
        <w:tc>
          <w:tcPr>
            <w:tcW w:w="2977" w:type="dxa"/>
          </w:tcPr>
          <w:p w14:paraId="0E7E0ACB" w14:textId="4127CFC7" w:rsidR="00CD7536" w:rsidRPr="00FD7461" w:rsidRDefault="00CD7536" w:rsidP="004F47FE">
            <w:pPr>
              <w:jc w:val="both"/>
              <w:rPr>
                <w:rFonts w:ascii="Times New Roman" w:hAnsi="Times New Roman" w:cs="Times New Roman"/>
              </w:rPr>
            </w:pPr>
            <w:r w:rsidRPr="00CD7536">
              <w:rPr>
                <w:rFonts w:ascii="Times New Roman" w:hAnsi="Times New Roman" w:cs="Times New Roman"/>
              </w:rPr>
              <w:t>0.25</w:t>
            </w:r>
          </w:p>
        </w:tc>
      </w:tr>
      <w:tr w:rsidR="00CD7536" w:rsidRPr="00FD7461" w14:paraId="7C8411C3" w14:textId="77777777" w:rsidTr="00CD7536">
        <w:tc>
          <w:tcPr>
            <w:tcW w:w="3307" w:type="dxa"/>
          </w:tcPr>
          <w:p w14:paraId="466C2576" w14:textId="2F5AE0A2" w:rsidR="00CD7536" w:rsidRPr="00FD7461" w:rsidRDefault="00CD7536" w:rsidP="004F47FE">
            <w:pPr>
              <w:jc w:val="both"/>
              <w:rPr>
                <w:rFonts w:ascii="Times New Roman" w:hAnsi="Times New Roman" w:cs="Times New Roman"/>
              </w:rPr>
            </w:pPr>
            <w:r w:rsidRPr="00CD7536">
              <w:rPr>
                <w:rFonts w:ascii="Times New Roman" w:hAnsi="Times New Roman" w:cs="Times New Roman"/>
              </w:rPr>
              <w:t>EVAPOTRANSPIRATION</w:t>
            </w:r>
          </w:p>
        </w:tc>
        <w:tc>
          <w:tcPr>
            <w:tcW w:w="2959" w:type="dxa"/>
          </w:tcPr>
          <w:p w14:paraId="3DE60ACA" w14:textId="4C686A70" w:rsidR="00CD7536" w:rsidRPr="00FD7461" w:rsidRDefault="00CD7536" w:rsidP="004F47FE">
            <w:pPr>
              <w:jc w:val="both"/>
              <w:rPr>
                <w:rFonts w:ascii="Times New Roman" w:hAnsi="Times New Roman" w:cs="Times New Roman"/>
              </w:rPr>
            </w:pPr>
            <w:r w:rsidRPr="00CD7536">
              <w:rPr>
                <w:rFonts w:ascii="Times New Roman" w:hAnsi="Times New Roman" w:cs="Times New Roman"/>
              </w:rPr>
              <w:t>GLEAM</w:t>
            </w:r>
          </w:p>
        </w:tc>
        <w:tc>
          <w:tcPr>
            <w:tcW w:w="2977" w:type="dxa"/>
          </w:tcPr>
          <w:p w14:paraId="3D38C8F1" w14:textId="5CC81E62" w:rsidR="00CD7536" w:rsidRPr="00FD7461" w:rsidRDefault="00CD7536" w:rsidP="004F47FE">
            <w:pPr>
              <w:jc w:val="both"/>
              <w:rPr>
                <w:rFonts w:ascii="Times New Roman" w:hAnsi="Times New Roman" w:cs="Times New Roman"/>
              </w:rPr>
            </w:pPr>
            <w:r w:rsidRPr="00CD7536">
              <w:rPr>
                <w:rFonts w:ascii="Times New Roman" w:hAnsi="Times New Roman" w:cs="Times New Roman"/>
              </w:rPr>
              <w:t>0.1</w:t>
            </w:r>
          </w:p>
        </w:tc>
      </w:tr>
      <w:tr w:rsidR="00CD7536" w:rsidRPr="00FD7461" w14:paraId="79729EDB" w14:textId="77777777" w:rsidTr="00CD7536">
        <w:tc>
          <w:tcPr>
            <w:tcW w:w="3307" w:type="dxa"/>
          </w:tcPr>
          <w:p w14:paraId="72E6F25D" w14:textId="04426B53" w:rsidR="00CD7536" w:rsidRPr="00FD7461" w:rsidRDefault="00CD7536" w:rsidP="004F47FE">
            <w:pPr>
              <w:jc w:val="both"/>
              <w:rPr>
                <w:rFonts w:ascii="Times New Roman" w:hAnsi="Times New Roman" w:cs="Times New Roman"/>
              </w:rPr>
            </w:pPr>
            <w:r w:rsidRPr="00CD7536">
              <w:rPr>
                <w:rFonts w:ascii="Times New Roman" w:hAnsi="Times New Roman" w:cs="Times New Roman"/>
              </w:rPr>
              <w:t>GROUNDWATER</w:t>
            </w:r>
          </w:p>
        </w:tc>
        <w:tc>
          <w:tcPr>
            <w:tcW w:w="2959" w:type="dxa"/>
          </w:tcPr>
          <w:p w14:paraId="20ECCE9A" w14:textId="45602366" w:rsidR="00CD7536" w:rsidRPr="00FD7461" w:rsidRDefault="00CD7536" w:rsidP="004F47FE">
            <w:pPr>
              <w:jc w:val="both"/>
              <w:rPr>
                <w:rFonts w:ascii="Times New Roman" w:hAnsi="Times New Roman" w:cs="Times New Roman"/>
              </w:rPr>
            </w:pPr>
            <w:r w:rsidRPr="00CD7536">
              <w:rPr>
                <w:rFonts w:ascii="Times New Roman" w:hAnsi="Times New Roman" w:cs="Times New Roman"/>
              </w:rPr>
              <w:t>G</w:t>
            </w:r>
            <w:r w:rsidR="00B7033E">
              <w:rPr>
                <w:rFonts w:ascii="Times New Roman" w:hAnsi="Times New Roman" w:cs="Times New Roman"/>
              </w:rPr>
              <w:t>LDAS</w:t>
            </w:r>
          </w:p>
        </w:tc>
        <w:tc>
          <w:tcPr>
            <w:tcW w:w="2977" w:type="dxa"/>
          </w:tcPr>
          <w:p w14:paraId="37BEA451" w14:textId="143AE609" w:rsidR="00CD7536" w:rsidRPr="00FD7461" w:rsidRDefault="00CD7536" w:rsidP="004F47FE">
            <w:pPr>
              <w:jc w:val="both"/>
              <w:rPr>
                <w:rFonts w:ascii="Times New Roman" w:hAnsi="Times New Roman" w:cs="Times New Roman"/>
              </w:rPr>
            </w:pPr>
            <w:r w:rsidRPr="00CD7536">
              <w:rPr>
                <w:rFonts w:ascii="Times New Roman" w:hAnsi="Times New Roman" w:cs="Times New Roman"/>
              </w:rPr>
              <w:t>0.</w:t>
            </w:r>
            <w:r w:rsidR="00B7033E">
              <w:rPr>
                <w:rFonts w:ascii="Times New Roman" w:hAnsi="Times New Roman" w:cs="Times New Roman"/>
              </w:rPr>
              <w:t>2</w:t>
            </w:r>
            <w:r w:rsidRPr="00CD7536">
              <w:rPr>
                <w:rFonts w:ascii="Times New Roman" w:hAnsi="Times New Roman" w:cs="Times New Roman"/>
              </w:rPr>
              <w:t>5</w:t>
            </w:r>
          </w:p>
        </w:tc>
      </w:tr>
      <w:tr w:rsidR="00CD7536" w:rsidRPr="00FD7461" w14:paraId="48AFB711" w14:textId="77777777" w:rsidTr="00CD7536">
        <w:tc>
          <w:tcPr>
            <w:tcW w:w="3307" w:type="dxa"/>
          </w:tcPr>
          <w:p w14:paraId="49048EDF" w14:textId="180ED94D" w:rsidR="00CD7536" w:rsidRPr="00FD7461" w:rsidRDefault="00CD7536" w:rsidP="004F47FE">
            <w:pPr>
              <w:jc w:val="both"/>
              <w:rPr>
                <w:rFonts w:ascii="Times New Roman" w:hAnsi="Times New Roman" w:cs="Times New Roman"/>
              </w:rPr>
            </w:pPr>
            <w:r w:rsidRPr="00CD7536">
              <w:rPr>
                <w:rFonts w:ascii="Times New Roman" w:hAnsi="Times New Roman" w:cs="Times New Roman"/>
              </w:rPr>
              <w:t>RUNOFF</w:t>
            </w:r>
          </w:p>
        </w:tc>
        <w:tc>
          <w:tcPr>
            <w:tcW w:w="2959" w:type="dxa"/>
          </w:tcPr>
          <w:p w14:paraId="4EE9E378" w14:textId="0CB31573" w:rsidR="00CD7536" w:rsidRPr="00FD7461" w:rsidRDefault="00CD7536" w:rsidP="004F47FE">
            <w:pPr>
              <w:jc w:val="both"/>
              <w:rPr>
                <w:rFonts w:ascii="Times New Roman" w:hAnsi="Times New Roman" w:cs="Times New Roman"/>
              </w:rPr>
            </w:pPr>
            <w:r w:rsidRPr="00CD7536">
              <w:rPr>
                <w:rFonts w:ascii="Times New Roman" w:hAnsi="Times New Roman" w:cs="Times New Roman"/>
              </w:rPr>
              <w:t>ERA5</w:t>
            </w:r>
          </w:p>
        </w:tc>
        <w:tc>
          <w:tcPr>
            <w:tcW w:w="2977" w:type="dxa"/>
          </w:tcPr>
          <w:p w14:paraId="7DC83FFE" w14:textId="4D4A9247" w:rsidR="00CD7536" w:rsidRPr="00FD7461" w:rsidRDefault="00CD7536" w:rsidP="004F47FE">
            <w:pPr>
              <w:jc w:val="both"/>
              <w:rPr>
                <w:rFonts w:ascii="Times New Roman" w:hAnsi="Times New Roman" w:cs="Times New Roman"/>
              </w:rPr>
            </w:pPr>
            <w:r w:rsidRPr="00CD7536">
              <w:rPr>
                <w:rFonts w:ascii="Times New Roman" w:hAnsi="Times New Roman" w:cs="Times New Roman"/>
              </w:rPr>
              <w:t>0.25</w:t>
            </w:r>
          </w:p>
        </w:tc>
      </w:tr>
    </w:tbl>
    <w:p w14:paraId="40D03FCC" w14:textId="77777777" w:rsidR="00CD7536" w:rsidRPr="00CD7536" w:rsidRDefault="00CD7536" w:rsidP="004F47FE">
      <w:pPr>
        <w:jc w:val="both"/>
        <w:rPr>
          <w:rFonts w:ascii="Times New Roman" w:hAnsi="Times New Roman" w:cs="Times New Roman"/>
        </w:rPr>
      </w:pPr>
    </w:p>
    <w:p w14:paraId="102C594B" w14:textId="720D21AF" w:rsidR="00CD7536" w:rsidRDefault="00CD7536" w:rsidP="004F47FE">
      <w:pPr>
        <w:jc w:val="both"/>
        <w:rPr>
          <w:rFonts w:ascii="Times New Roman" w:hAnsi="Times New Roman" w:cs="Times New Roman"/>
        </w:rPr>
      </w:pPr>
      <w:r w:rsidRPr="00CD7536">
        <w:rPr>
          <w:rFonts w:ascii="Times New Roman" w:hAnsi="Times New Roman" w:cs="Times New Roman"/>
        </w:rPr>
        <w:t>All datasets were resampled to a 0.25° spatial resolution using the Nearest Neighbo</w:t>
      </w:r>
      <w:r w:rsidRPr="00FD7461">
        <w:rPr>
          <w:rFonts w:ascii="Times New Roman" w:hAnsi="Times New Roman" w:cs="Times New Roman"/>
        </w:rPr>
        <w:t>u</w:t>
      </w:r>
      <w:r w:rsidRPr="00CD7536">
        <w:rPr>
          <w:rFonts w:ascii="Times New Roman" w:hAnsi="Times New Roman" w:cs="Times New Roman"/>
        </w:rPr>
        <w:t>r interpolation method to ensure consistent and comparable analysis across datasets.</w:t>
      </w:r>
    </w:p>
    <w:p w14:paraId="236791D7" w14:textId="34DE1ACF" w:rsidR="00CD7536" w:rsidRDefault="00CD7536" w:rsidP="004F47FE">
      <w:pPr>
        <w:jc w:val="both"/>
        <w:rPr>
          <w:rFonts w:ascii="Times New Roman" w:hAnsi="Times New Roman" w:cs="Times New Roman"/>
        </w:rPr>
      </w:pPr>
      <w:r w:rsidRPr="00FD7461">
        <w:rPr>
          <w:rFonts w:ascii="Times New Roman" w:hAnsi="Times New Roman" w:cs="Times New Roman"/>
        </w:rPr>
        <w:t>For visualization purposes, for each variable, monthly mean maps have plotted along with Mann Kendall Trend Analysis, which is trend analysis is a non-parametric statistical test used to detect the presence and direction of a monotonic trend (increasing or decreasing) in a time series without assuming normal data distribution.</w:t>
      </w:r>
    </w:p>
    <w:p w14:paraId="248AC763" w14:textId="77777777" w:rsidR="00C314A0" w:rsidRDefault="00C314A0" w:rsidP="004F47FE">
      <w:pPr>
        <w:jc w:val="both"/>
        <w:rPr>
          <w:rFonts w:ascii="Times New Roman" w:hAnsi="Times New Roman" w:cs="Times New Roman"/>
        </w:rPr>
      </w:pPr>
    </w:p>
    <w:p w14:paraId="0960987C" w14:textId="77777777" w:rsidR="00B70FCD" w:rsidRDefault="00B70FCD" w:rsidP="004F47FE">
      <w:pPr>
        <w:jc w:val="both"/>
        <w:rPr>
          <w:rFonts w:ascii="Times New Roman" w:hAnsi="Times New Roman" w:cs="Times New Roman"/>
        </w:rPr>
      </w:pPr>
    </w:p>
    <w:p w14:paraId="2CB98352" w14:textId="77777777" w:rsidR="00B70FCD" w:rsidRDefault="00B70FCD" w:rsidP="004F47FE">
      <w:pPr>
        <w:jc w:val="both"/>
        <w:rPr>
          <w:rFonts w:ascii="Times New Roman" w:hAnsi="Times New Roman" w:cs="Times New Roman"/>
        </w:rPr>
      </w:pPr>
    </w:p>
    <w:p w14:paraId="7F2240CB" w14:textId="77777777" w:rsidR="00B70FCD" w:rsidRDefault="00B70FCD" w:rsidP="004F47FE">
      <w:pPr>
        <w:jc w:val="both"/>
        <w:rPr>
          <w:rFonts w:ascii="Times New Roman" w:hAnsi="Times New Roman" w:cs="Times New Roman"/>
        </w:rPr>
      </w:pPr>
    </w:p>
    <w:p w14:paraId="481CCE17" w14:textId="77777777" w:rsidR="00B70FCD" w:rsidRDefault="00B70FCD" w:rsidP="004F47FE">
      <w:pPr>
        <w:jc w:val="both"/>
        <w:rPr>
          <w:rFonts w:ascii="Times New Roman" w:hAnsi="Times New Roman" w:cs="Times New Roman"/>
        </w:rPr>
      </w:pPr>
    </w:p>
    <w:p w14:paraId="72712D83" w14:textId="77777777" w:rsidR="00B70FCD" w:rsidRDefault="00B70FCD" w:rsidP="004F47FE">
      <w:pPr>
        <w:jc w:val="both"/>
        <w:rPr>
          <w:rFonts w:ascii="Times New Roman" w:hAnsi="Times New Roman" w:cs="Times New Roman"/>
        </w:rPr>
      </w:pPr>
    </w:p>
    <w:p w14:paraId="46EA92FC" w14:textId="77777777" w:rsidR="00B70FCD" w:rsidRDefault="00B70FCD" w:rsidP="004F47FE">
      <w:pPr>
        <w:jc w:val="both"/>
        <w:rPr>
          <w:rFonts w:ascii="Times New Roman" w:hAnsi="Times New Roman" w:cs="Times New Roman"/>
        </w:rPr>
      </w:pPr>
    </w:p>
    <w:p w14:paraId="471171AD" w14:textId="77777777" w:rsidR="00B70FCD" w:rsidRDefault="00B70FCD" w:rsidP="004F47FE">
      <w:pPr>
        <w:jc w:val="both"/>
        <w:rPr>
          <w:rFonts w:ascii="Times New Roman" w:hAnsi="Times New Roman" w:cs="Times New Roman"/>
        </w:rPr>
      </w:pPr>
    </w:p>
    <w:p w14:paraId="7E1E1876" w14:textId="77777777" w:rsidR="008C5989" w:rsidRDefault="008C5989" w:rsidP="004F47FE">
      <w:pPr>
        <w:jc w:val="both"/>
        <w:rPr>
          <w:rFonts w:ascii="Times New Roman" w:hAnsi="Times New Roman" w:cs="Times New Roman"/>
        </w:rPr>
      </w:pPr>
    </w:p>
    <w:p w14:paraId="27A4D96E" w14:textId="44EECBA2" w:rsidR="008C5989" w:rsidRDefault="00C314A0" w:rsidP="004F47FE">
      <w:pPr>
        <w:jc w:val="both"/>
        <w:rPr>
          <w:rFonts w:ascii="Times New Roman" w:hAnsi="Times New Roman" w:cs="Times New Roman"/>
        </w:rPr>
      </w:pPr>
      <w:r>
        <w:rPr>
          <w:rFonts w:ascii="Times New Roman" w:hAnsi="Times New Roman" w:cs="Times New Roman"/>
        </w:rPr>
        <w:lastRenderedPageBreak/>
        <w:t>Precipitation:</w:t>
      </w:r>
    </w:p>
    <w:p w14:paraId="2129D6B2" w14:textId="77777777" w:rsidR="008C5989" w:rsidRDefault="008C5989" w:rsidP="00D868C2">
      <w:pPr>
        <w:jc w:val="center"/>
        <w:rPr>
          <w:rFonts w:ascii="Times New Roman" w:hAnsi="Times New Roman" w:cs="Times New Roman"/>
          <w:lang w:val="en-GB"/>
        </w:rPr>
      </w:pPr>
      <w:r>
        <w:rPr>
          <w:noProof/>
        </w:rPr>
        <w:drawing>
          <wp:inline distT="0" distB="0" distL="0" distR="0" wp14:anchorId="0C0211F9" wp14:editId="20177B82">
            <wp:extent cx="5212678" cy="2802118"/>
            <wp:effectExtent l="19050" t="19050" r="26670" b="17780"/>
            <wp:docPr id="484668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24428" cy="2808434"/>
                    </a:xfrm>
                    <a:prstGeom prst="rect">
                      <a:avLst/>
                    </a:prstGeom>
                    <a:noFill/>
                    <a:ln>
                      <a:solidFill>
                        <a:schemeClr val="tx1"/>
                      </a:solidFill>
                    </a:ln>
                  </pic:spPr>
                </pic:pic>
              </a:graphicData>
            </a:graphic>
          </wp:inline>
        </w:drawing>
      </w:r>
    </w:p>
    <w:p w14:paraId="5D1E233C" w14:textId="12131C03" w:rsidR="008C5989" w:rsidRDefault="008C5989" w:rsidP="00D868C2">
      <w:pPr>
        <w:jc w:val="center"/>
        <w:rPr>
          <w:rFonts w:ascii="Times New Roman" w:hAnsi="Times New Roman" w:cs="Times New Roman"/>
          <w:lang w:val="en-GB"/>
        </w:rPr>
      </w:pPr>
      <w:r>
        <w:rPr>
          <w:rFonts w:ascii="Times New Roman" w:hAnsi="Times New Roman" w:cs="Times New Roman"/>
          <w:lang w:val="en-GB"/>
        </w:rPr>
        <w:t>Figure 1 – Monthly Mean Maps of Precipitation</w:t>
      </w:r>
    </w:p>
    <w:p w14:paraId="683A93F4" w14:textId="77777777" w:rsidR="008C5989" w:rsidRDefault="008C5989" w:rsidP="00D868C2">
      <w:pPr>
        <w:jc w:val="center"/>
        <w:rPr>
          <w:rFonts w:ascii="Times New Roman" w:hAnsi="Times New Roman" w:cs="Times New Roman"/>
          <w:lang w:val="en-GB"/>
        </w:rPr>
      </w:pPr>
      <w:r>
        <w:rPr>
          <w:noProof/>
        </w:rPr>
        <w:drawing>
          <wp:inline distT="0" distB="0" distL="0" distR="0" wp14:anchorId="0EDFB122" wp14:editId="1E5E3B59">
            <wp:extent cx="5236829" cy="2819742"/>
            <wp:effectExtent l="19050" t="19050" r="21590" b="19050"/>
            <wp:docPr id="724810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51555" cy="2827671"/>
                    </a:xfrm>
                    <a:prstGeom prst="rect">
                      <a:avLst/>
                    </a:prstGeom>
                    <a:noFill/>
                    <a:ln>
                      <a:solidFill>
                        <a:schemeClr val="tx1"/>
                      </a:solidFill>
                    </a:ln>
                  </pic:spPr>
                </pic:pic>
              </a:graphicData>
            </a:graphic>
          </wp:inline>
        </w:drawing>
      </w:r>
    </w:p>
    <w:p w14:paraId="2A4AEBB5" w14:textId="2A13127A" w:rsidR="008C5989" w:rsidRDefault="008C5989" w:rsidP="00D868C2">
      <w:pPr>
        <w:jc w:val="center"/>
        <w:rPr>
          <w:rFonts w:ascii="Times New Roman" w:hAnsi="Times New Roman" w:cs="Times New Roman"/>
          <w:lang w:val="en-GB"/>
        </w:rPr>
      </w:pPr>
      <w:r>
        <w:rPr>
          <w:rFonts w:ascii="Times New Roman" w:hAnsi="Times New Roman" w:cs="Times New Roman"/>
          <w:lang w:val="en-GB"/>
        </w:rPr>
        <w:t>Figure 2 – Mann Kendall Mean Maps of Precipitation</w:t>
      </w:r>
    </w:p>
    <w:p w14:paraId="4B17880D" w14:textId="77777777" w:rsidR="008C5989" w:rsidRPr="008C5989" w:rsidRDefault="008C5989" w:rsidP="004F47FE">
      <w:pPr>
        <w:jc w:val="both"/>
        <w:rPr>
          <w:rFonts w:ascii="Times New Roman" w:hAnsi="Times New Roman" w:cs="Times New Roman"/>
        </w:rPr>
      </w:pPr>
      <w:r w:rsidRPr="008C5989">
        <w:rPr>
          <w:rFonts w:ascii="Times New Roman" w:hAnsi="Times New Roman" w:cs="Times New Roman"/>
        </w:rPr>
        <w:t>Rainfall climatology over Peninsular India reflects strong monsoon dominance, with peak precipitation during June–September, intensified along the Western Ghats due to orographic uplift and followed by a post-monsoon shift toward the southeastern coast. The Mann–Kendall analysis (2000–2024) indicates that significant rainfall trends are largely concentrated in the southwest monsoon season. Dry-season months (January–April) show minimal significant change, while May and June exhibit weak, scattered trends. July demonstrates widespread positive trends across central and western regions, with additional increases in September. August shows limited change, and post-monsoon months display mixed or localized declining trends, highlighting seasonally concentrated rainfall intensification.</w:t>
      </w:r>
    </w:p>
    <w:p w14:paraId="7BE592D0" w14:textId="31327585" w:rsidR="00FD7461" w:rsidRPr="00FD7461" w:rsidRDefault="00C314A0" w:rsidP="004F47FE">
      <w:pPr>
        <w:jc w:val="both"/>
        <w:rPr>
          <w:rFonts w:ascii="Times New Roman" w:hAnsi="Times New Roman" w:cs="Times New Roman"/>
        </w:rPr>
      </w:pPr>
      <w:r>
        <w:rPr>
          <w:rFonts w:ascii="Times New Roman" w:hAnsi="Times New Roman" w:cs="Times New Roman"/>
        </w:rPr>
        <w:lastRenderedPageBreak/>
        <w:t>Evapotranspiration:</w:t>
      </w:r>
    </w:p>
    <w:p w14:paraId="051FC942" w14:textId="2308D194" w:rsidR="00F07047" w:rsidRDefault="00F07047" w:rsidP="00D868C2">
      <w:pPr>
        <w:jc w:val="center"/>
        <w:rPr>
          <w:rFonts w:ascii="Times New Roman" w:hAnsi="Times New Roman" w:cs="Times New Roman"/>
          <w:sz w:val="28"/>
          <w:szCs w:val="28"/>
        </w:rPr>
      </w:pPr>
      <w:r>
        <w:rPr>
          <w:noProof/>
        </w:rPr>
        <w:drawing>
          <wp:inline distT="0" distB="0" distL="0" distR="0" wp14:anchorId="020F9D05" wp14:editId="6643CC69">
            <wp:extent cx="4814208" cy="2569781"/>
            <wp:effectExtent l="19050" t="19050" r="24765" b="21590"/>
            <wp:docPr id="7486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674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822663" cy="2574294"/>
                    </a:xfrm>
                    <a:prstGeom prst="rect">
                      <a:avLst/>
                    </a:prstGeom>
                    <a:noFill/>
                    <a:ln>
                      <a:solidFill>
                        <a:schemeClr val="tx1"/>
                      </a:solidFill>
                    </a:ln>
                  </pic:spPr>
                </pic:pic>
              </a:graphicData>
            </a:graphic>
          </wp:inline>
        </w:drawing>
      </w:r>
    </w:p>
    <w:p w14:paraId="3BB8C9AC" w14:textId="4C4E2E7B" w:rsidR="00F07047" w:rsidRPr="00CD7536" w:rsidRDefault="00F07047" w:rsidP="00D868C2">
      <w:pPr>
        <w:jc w:val="center"/>
        <w:rPr>
          <w:rFonts w:ascii="Times New Roman" w:hAnsi="Times New Roman" w:cs="Times New Roman"/>
          <w:lang w:val="en-GB"/>
        </w:rPr>
      </w:pPr>
      <w:r w:rsidRPr="00F07047">
        <w:rPr>
          <w:rFonts w:ascii="Times New Roman" w:hAnsi="Times New Roman" w:cs="Times New Roman"/>
        </w:rPr>
        <w:t xml:space="preserve">Figure </w:t>
      </w:r>
      <w:r w:rsidR="008C5989">
        <w:rPr>
          <w:rFonts w:ascii="Times New Roman" w:hAnsi="Times New Roman" w:cs="Times New Roman"/>
        </w:rPr>
        <w:t>3</w:t>
      </w:r>
      <w:r w:rsidRPr="00F07047">
        <w:rPr>
          <w:rFonts w:ascii="Times New Roman" w:hAnsi="Times New Roman" w:cs="Times New Roman"/>
        </w:rPr>
        <w:t xml:space="preserve"> – </w:t>
      </w:r>
      <w:r w:rsidR="004F47FE">
        <w:rPr>
          <w:rFonts w:ascii="Times New Roman" w:hAnsi="Times New Roman" w:cs="Times New Roman"/>
          <w:lang w:val="en-GB"/>
        </w:rPr>
        <w:t>Monthly Mean Maps of Evapotranspiration</w:t>
      </w:r>
    </w:p>
    <w:p w14:paraId="35E106E3" w14:textId="053F0258" w:rsidR="00CD7536" w:rsidRDefault="00F07047" w:rsidP="00D868C2">
      <w:pPr>
        <w:jc w:val="center"/>
        <w:rPr>
          <w:rFonts w:ascii="Times New Roman" w:hAnsi="Times New Roman" w:cs="Times New Roman"/>
          <w:sz w:val="28"/>
          <w:szCs w:val="28"/>
          <w:lang w:val="en-GB"/>
        </w:rPr>
      </w:pPr>
      <w:r>
        <w:rPr>
          <w:noProof/>
        </w:rPr>
        <w:drawing>
          <wp:inline distT="0" distB="0" distL="0" distR="0" wp14:anchorId="59084DC9" wp14:editId="5F3DF097">
            <wp:extent cx="4829576" cy="2593044"/>
            <wp:effectExtent l="19050" t="19050" r="9525" b="17145"/>
            <wp:docPr id="74943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39305"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843182" cy="2600349"/>
                    </a:xfrm>
                    <a:prstGeom prst="rect">
                      <a:avLst/>
                    </a:prstGeom>
                    <a:noFill/>
                    <a:ln>
                      <a:solidFill>
                        <a:schemeClr val="tx1"/>
                      </a:solidFill>
                    </a:ln>
                  </pic:spPr>
                </pic:pic>
              </a:graphicData>
            </a:graphic>
          </wp:inline>
        </w:drawing>
      </w:r>
    </w:p>
    <w:p w14:paraId="635575BD" w14:textId="775B81FB" w:rsidR="00F07047" w:rsidRDefault="00F07047" w:rsidP="00D868C2">
      <w:pPr>
        <w:jc w:val="center"/>
        <w:rPr>
          <w:rFonts w:ascii="Times New Roman" w:hAnsi="Times New Roman" w:cs="Times New Roman"/>
          <w:lang w:val="en-GB"/>
        </w:rPr>
      </w:pPr>
      <w:r w:rsidRPr="00F07047">
        <w:rPr>
          <w:rFonts w:ascii="Times New Roman" w:hAnsi="Times New Roman" w:cs="Times New Roman"/>
          <w:lang w:val="en-GB"/>
        </w:rPr>
        <w:t xml:space="preserve">Figure </w:t>
      </w:r>
      <w:r w:rsidR="008C5989">
        <w:rPr>
          <w:rFonts w:ascii="Times New Roman" w:hAnsi="Times New Roman" w:cs="Times New Roman"/>
          <w:lang w:val="en-GB"/>
        </w:rPr>
        <w:t>4</w:t>
      </w:r>
      <w:r w:rsidRPr="00F07047">
        <w:rPr>
          <w:rFonts w:ascii="Times New Roman" w:hAnsi="Times New Roman" w:cs="Times New Roman"/>
          <w:lang w:val="en-GB"/>
        </w:rPr>
        <w:t xml:space="preserve"> – </w:t>
      </w:r>
      <w:r w:rsidR="004F47FE">
        <w:rPr>
          <w:rFonts w:ascii="Times New Roman" w:hAnsi="Times New Roman" w:cs="Times New Roman"/>
          <w:lang w:val="en-GB"/>
        </w:rPr>
        <w:t xml:space="preserve">Mann Kendall Mean Maps of </w:t>
      </w:r>
      <w:r w:rsidRPr="00F07047">
        <w:rPr>
          <w:rFonts w:ascii="Times New Roman" w:hAnsi="Times New Roman" w:cs="Times New Roman"/>
          <w:lang w:val="en-GB"/>
        </w:rPr>
        <w:t>Evapotranspiration</w:t>
      </w:r>
    </w:p>
    <w:p w14:paraId="23467134" w14:textId="7C826039" w:rsidR="008C5989" w:rsidRDefault="00202E45" w:rsidP="004F47FE">
      <w:pPr>
        <w:jc w:val="both"/>
        <w:rPr>
          <w:rFonts w:ascii="Times New Roman" w:hAnsi="Times New Roman" w:cs="Times New Roman"/>
        </w:rPr>
      </w:pPr>
      <w:r w:rsidRPr="00202E45">
        <w:rPr>
          <w:rFonts w:ascii="Times New Roman" w:hAnsi="Times New Roman" w:cs="Times New Roman"/>
        </w:rPr>
        <w:t>Monthly evapotranspiration (ET) exhibits a pronounced seasonal cycle governed by radiative forcing and monsoon-driven moisture availability. Pre-monsoon enhancement (April–May) reflects energy-limited to moisture-constrained transitions. Peak monsoon months sustain elevated ET under adequate soil moisture but moderated net radiation. Post-monsoon decline corresponds to reduced insolation and progressive soil moisture depletion.</w:t>
      </w:r>
      <w:r>
        <w:rPr>
          <w:rFonts w:ascii="Times New Roman" w:hAnsi="Times New Roman" w:cs="Times New Roman"/>
        </w:rPr>
        <w:t xml:space="preserve"> </w:t>
      </w:r>
      <w:r w:rsidR="00C314A0">
        <w:rPr>
          <w:rFonts w:ascii="Times New Roman" w:hAnsi="Times New Roman" w:cs="Times New Roman"/>
        </w:rPr>
        <w:t xml:space="preserve"> </w:t>
      </w:r>
      <w:r w:rsidR="008C5989" w:rsidRPr="008C5989">
        <w:rPr>
          <w:rFonts w:ascii="Times New Roman" w:hAnsi="Times New Roman" w:cs="Times New Roman"/>
        </w:rPr>
        <w:t>The Mann–Kendall analysis (2000–2024) indicates mostly weak and heterogeneous trends during January–May. A pronounced negative trend appears in July across the interior peninsula, suggesting reduced ET during peak monsoon conditions. August and September show mixed but generally weak signals. Post-monsoon months (October–December) display more consistent negative trends over southern and southwestern regions, indicating declining ET during the withdrawal and early dry season.</w:t>
      </w:r>
    </w:p>
    <w:p w14:paraId="7ED59EC5" w14:textId="239622DF" w:rsidR="00C314A0" w:rsidRPr="008C5989" w:rsidRDefault="00C314A0" w:rsidP="004F47FE">
      <w:pPr>
        <w:jc w:val="both"/>
        <w:rPr>
          <w:rFonts w:ascii="Times New Roman" w:hAnsi="Times New Roman" w:cs="Times New Roman"/>
        </w:rPr>
      </w:pPr>
      <w:r>
        <w:rPr>
          <w:rFonts w:ascii="Times New Roman" w:hAnsi="Times New Roman" w:cs="Times New Roman"/>
        </w:rPr>
        <w:lastRenderedPageBreak/>
        <w:t>Soil Moisture:</w:t>
      </w:r>
    </w:p>
    <w:p w14:paraId="6D1611A2" w14:textId="0C445466" w:rsidR="00F07047" w:rsidRDefault="00F07047" w:rsidP="00D868C2">
      <w:pPr>
        <w:jc w:val="center"/>
        <w:rPr>
          <w:rFonts w:ascii="Times New Roman" w:hAnsi="Times New Roman" w:cs="Times New Roman"/>
          <w:lang w:val="en-GB"/>
        </w:rPr>
      </w:pPr>
      <w:r>
        <w:rPr>
          <w:noProof/>
        </w:rPr>
        <w:drawing>
          <wp:inline distT="0" distB="0" distL="0" distR="0" wp14:anchorId="31FEBCB8" wp14:editId="16DA7E40">
            <wp:extent cx="4798839" cy="2559983"/>
            <wp:effectExtent l="19050" t="19050" r="20955" b="12065"/>
            <wp:docPr id="14186553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5723" cy="2568990"/>
                    </a:xfrm>
                    <a:prstGeom prst="rect">
                      <a:avLst/>
                    </a:prstGeom>
                    <a:noFill/>
                    <a:ln>
                      <a:solidFill>
                        <a:schemeClr val="tx1"/>
                      </a:solidFill>
                    </a:ln>
                  </pic:spPr>
                </pic:pic>
              </a:graphicData>
            </a:graphic>
          </wp:inline>
        </w:drawing>
      </w:r>
    </w:p>
    <w:p w14:paraId="1054CC06" w14:textId="6E2474A6" w:rsidR="004F47FE"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5</w:t>
      </w:r>
      <w:r>
        <w:rPr>
          <w:rFonts w:ascii="Times New Roman" w:hAnsi="Times New Roman" w:cs="Times New Roman"/>
          <w:lang w:val="en-GB"/>
        </w:rPr>
        <w:t xml:space="preserve"> – </w:t>
      </w:r>
      <w:r w:rsidR="004F47FE">
        <w:rPr>
          <w:rFonts w:ascii="Times New Roman" w:hAnsi="Times New Roman" w:cs="Times New Roman"/>
          <w:lang w:val="en-GB"/>
        </w:rPr>
        <w:t>Monthly Mean Maps of Soil Moisture</w:t>
      </w:r>
    </w:p>
    <w:p w14:paraId="65A14FC9" w14:textId="2023BAC1" w:rsidR="00F07047" w:rsidRDefault="00F07047" w:rsidP="00D868C2">
      <w:pPr>
        <w:jc w:val="center"/>
        <w:rPr>
          <w:rFonts w:ascii="Times New Roman" w:hAnsi="Times New Roman" w:cs="Times New Roman"/>
          <w:lang w:val="en-GB"/>
        </w:rPr>
      </w:pPr>
      <w:r>
        <w:rPr>
          <w:noProof/>
        </w:rPr>
        <w:drawing>
          <wp:inline distT="0" distB="0" distL="0" distR="0" wp14:anchorId="57C41DFC" wp14:editId="2AF39F95">
            <wp:extent cx="4752734" cy="2542234"/>
            <wp:effectExtent l="19050" t="19050" r="10160" b="10795"/>
            <wp:docPr id="811117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75543" cy="2554435"/>
                    </a:xfrm>
                    <a:prstGeom prst="rect">
                      <a:avLst/>
                    </a:prstGeom>
                    <a:noFill/>
                    <a:ln>
                      <a:solidFill>
                        <a:schemeClr val="tx1"/>
                      </a:solidFill>
                    </a:ln>
                  </pic:spPr>
                </pic:pic>
              </a:graphicData>
            </a:graphic>
          </wp:inline>
        </w:drawing>
      </w:r>
    </w:p>
    <w:p w14:paraId="7645268F" w14:textId="3BAD443B" w:rsidR="00F07047"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6</w:t>
      </w:r>
      <w:r w:rsidR="004F47FE">
        <w:rPr>
          <w:rFonts w:ascii="Times New Roman" w:hAnsi="Times New Roman" w:cs="Times New Roman"/>
          <w:lang w:val="en-GB"/>
        </w:rPr>
        <w:t xml:space="preserve"> – Mann Kendall Mean Maps of Soil Moisture</w:t>
      </w:r>
    </w:p>
    <w:p w14:paraId="5651F83D" w14:textId="77777777" w:rsidR="004F47FE" w:rsidRPr="004F47FE" w:rsidRDefault="004F47FE" w:rsidP="004F47FE">
      <w:pPr>
        <w:jc w:val="both"/>
        <w:rPr>
          <w:rFonts w:ascii="Times New Roman" w:hAnsi="Times New Roman" w:cs="Times New Roman"/>
        </w:rPr>
      </w:pPr>
      <w:r w:rsidRPr="004F47FE">
        <w:rPr>
          <w:rFonts w:ascii="Times New Roman" w:hAnsi="Times New Roman" w:cs="Times New Roman"/>
        </w:rPr>
        <w:t>Monthly mean soil moisture over Peninsular India shows a strong monsoon-controlled cycle, with low to moderate levels during January–March, pronounced pre-monsoon depletion in April–May, rapid recharge from June onward, and peak conditions during July–September. Moisture remains relatively elevated in southern and southeastern regions during October–November before gradually declining in December.</w:t>
      </w:r>
    </w:p>
    <w:p w14:paraId="21AD1ACC" w14:textId="77777777" w:rsidR="004F47FE" w:rsidRDefault="004F47FE" w:rsidP="004F47FE">
      <w:pPr>
        <w:jc w:val="both"/>
        <w:rPr>
          <w:rFonts w:ascii="Times New Roman" w:hAnsi="Times New Roman" w:cs="Times New Roman"/>
        </w:rPr>
      </w:pPr>
      <w:r w:rsidRPr="004F47FE">
        <w:rPr>
          <w:rFonts w:ascii="Times New Roman" w:hAnsi="Times New Roman" w:cs="Times New Roman"/>
        </w:rPr>
        <w:t xml:space="preserve">The Mann–Kendall analysis (2000–2024) indicates seasonally varying trends. Dry-season months show weak and scattered changes, while May exhibits localized increases. During the monsoon, July and September display increasing trends over western and central regions, with localized declines in August. Post-monsoon months show mixed </w:t>
      </w:r>
      <w:proofErr w:type="spellStart"/>
      <w:r w:rsidRPr="004F47FE">
        <w:rPr>
          <w:rFonts w:ascii="Times New Roman" w:hAnsi="Times New Roman" w:cs="Times New Roman"/>
        </w:rPr>
        <w:t>behavior</w:t>
      </w:r>
      <w:proofErr w:type="spellEnd"/>
      <w:r w:rsidRPr="004F47FE">
        <w:rPr>
          <w:rFonts w:ascii="Times New Roman" w:hAnsi="Times New Roman" w:cs="Times New Roman"/>
        </w:rPr>
        <w:t>, and December reflects more widespread increasing trends, suggesting improved late-season moisture persistence.</w:t>
      </w:r>
    </w:p>
    <w:p w14:paraId="442187FB" w14:textId="0418CDB5" w:rsidR="00C314A0" w:rsidRPr="004F47FE" w:rsidRDefault="00C314A0" w:rsidP="004F47FE">
      <w:pPr>
        <w:jc w:val="both"/>
        <w:rPr>
          <w:rFonts w:ascii="Times New Roman" w:hAnsi="Times New Roman" w:cs="Times New Roman"/>
        </w:rPr>
      </w:pPr>
      <w:r>
        <w:rPr>
          <w:rFonts w:ascii="Times New Roman" w:hAnsi="Times New Roman" w:cs="Times New Roman"/>
        </w:rPr>
        <w:lastRenderedPageBreak/>
        <w:t>Runoff:</w:t>
      </w:r>
    </w:p>
    <w:p w14:paraId="2ABBB21D" w14:textId="3CF7F06C" w:rsidR="00F07047" w:rsidRDefault="00F07047" w:rsidP="00D868C2">
      <w:pPr>
        <w:jc w:val="center"/>
        <w:rPr>
          <w:rFonts w:ascii="Times New Roman" w:hAnsi="Times New Roman" w:cs="Times New Roman"/>
          <w:lang w:val="en-GB"/>
        </w:rPr>
      </w:pPr>
      <w:r>
        <w:rPr>
          <w:noProof/>
        </w:rPr>
        <w:drawing>
          <wp:inline distT="0" distB="0" distL="0" distR="0" wp14:anchorId="13B11650" wp14:editId="1F9825EC">
            <wp:extent cx="5252197" cy="2810560"/>
            <wp:effectExtent l="19050" t="19050" r="24765" b="27940"/>
            <wp:docPr id="870877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59819" cy="2814639"/>
                    </a:xfrm>
                    <a:prstGeom prst="rect">
                      <a:avLst/>
                    </a:prstGeom>
                    <a:noFill/>
                    <a:ln>
                      <a:solidFill>
                        <a:schemeClr val="tx1"/>
                      </a:solidFill>
                    </a:ln>
                  </pic:spPr>
                </pic:pic>
              </a:graphicData>
            </a:graphic>
          </wp:inline>
        </w:drawing>
      </w:r>
    </w:p>
    <w:p w14:paraId="0ACD134C" w14:textId="097B5B59" w:rsidR="004F47FE"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7</w:t>
      </w:r>
      <w:r w:rsidR="004F47FE">
        <w:rPr>
          <w:rFonts w:ascii="Times New Roman" w:hAnsi="Times New Roman" w:cs="Times New Roman"/>
          <w:lang w:val="en-GB"/>
        </w:rPr>
        <w:t xml:space="preserve"> - Monthly Mean Maps of Runoff</w:t>
      </w:r>
    </w:p>
    <w:p w14:paraId="52CB8C66" w14:textId="5D34636B" w:rsidR="00F07047" w:rsidRDefault="00F07047" w:rsidP="00D868C2">
      <w:pPr>
        <w:jc w:val="center"/>
        <w:rPr>
          <w:rFonts w:ascii="Times New Roman" w:hAnsi="Times New Roman" w:cs="Times New Roman"/>
          <w:lang w:val="en-GB"/>
        </w:rPr>
      </w:pPr>
      <w:r>
        <w:rPr>
          <w:noProof/>
        </w:rPr>
        <w:drawing>
          <wp:inline distT="0" distB="0" distL="0" distR="0" wp14:anchorId="3BBB6CE2" wp14:editId="34305E4C">
            <wp:extent cx="5282933" cy="2839884"/>
            <wp:effectExtent l="19050" t="19050" r="13335" b="17780"/>
            <wp:docPr id="543970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5211" cy="2846484"/>
                    </a:xfrm>
                    <a:prstGeom prst="rect">
                      <a:avLst/>
                    </a:prstGeom>
                    <a:noFill/>
                    <a:ln>
                      <a:solidFill>
                        <a:schemeClr val="tx1"/>
                      </a:solidFill>
                    </a:ln>
                  </pic:spPr>
                </pic:pic>
              </a:graphicData>
            </a:graphic>
          </wp:inline>
        </w:drawing>
      </w:r>
    </w:p>
    <w:p w14:paraId="2D7FB416" w14:textId="09DC48AC" w:rsidR="00F07047"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8</w:t>
      </w:r>
      <w:r w:rsidR="004F47FE">
        <w:rPr>
          <w:rFonts w:ascii="Times New Roman" w:hAnsi="Times New Roman" w:cs="Times New Roman"/>
          <w:lang w:val="en-GB"/>
        </w:rPr>
        <w:t xml:space="preserve"> - Mann Kendall Mean Maps of Runoff</w:t>
      </w:r>
    </w:p>
    <w:p w14:paraId="42681FC8" w14:textId="59EDEC2E" w:rsidR="004F47FE" w:rsidRPr="004F47FE" w:rsidRDefault="004F47FE" w:rsidP="004F47FE">
      <w:pPr>
        <w:jc w:val="both"/>
        <w:rPr>
          <w:rFonts w:ascii="Times New Roman" w:hAnsi="Times New Roman" w:cs="Times New Roman"/>
        </w:rPr>
      </w:pPr>
      <w:r w:rsidRPr="004F47FE">
        <w:rPr>
          <w:rFonts w:ascii="Times New Roman" w:hAnsi="Times New Roman" w:cs="Times New Roman"/>
        </w:rPr>
        <w:t>Runoff over Peninsular India exhibits a strong monsoon-controlled seasonal cycle. January–May show uniformly low runoff, reflecting dry-season conditions. A sharp increase occurs from June, peaking during July–September, with highest intensities along the western coast due to orographic rainfall and steep gradients. Runoff declines gradually from October and returns to minimal levels by December.</w:t>
      </w:r>
      <w:r>
        <w:rPr>
          <w:rFonts w:ascii="Times New Roman" w:hAnsi="Times New Roman" w:cs="Times New Roman"/>
        </w:rPr>
        <w:t xml:space="preserve"> </w:t>
      </w:r>
      <w:r w:rsidRPr="004F47FE">
        <w:rPr>
          <w:rFonts w:ascii="Times New Roman" w:hAnsi="Times New Roman" w:cs="Times New Roman"/>
        </w:rPr>
        <w:t>Trend analysis indicates predominantly increasing runoff across much of the peninsula, particularly during dry and early pre-monsoon months. Monsoon months display greater spatial variability, with localized increases and minor coastal declines. Post-monsoon months again show broadly positive trends, suggesting a strengthening runoff response over the study period.</w:t>
      </w:r>
    </w:p>
    <w:p w14:paraId="72474E4D" w14:textId="4318F4BA" w:rsidR="008C5989" w:rsidRDefault="00C314A0" w:rsidP="004F47FE">
      <w:pPr>
        <w:jc w:val="both"/>
        <w:rPr>
          <w:rFonts w:ascii="Times New Roman" w:hAnsi="Times New Roman" w:cs="Times New Roman"/>
          <w:lang w:val="en-GB"/>
        </w:rPr>
      </w:pPr>
      <w:r>
        <w:rPr>
          <w:rFonts w:ascii="Times New Roman" w:hAnsi="Times New Roman" w:cs="Times New Roman"/>
          <w:lang w:val="en-GB"/>
        </w:rPr>
        <w:lastRenderedPageBreak/>
        <w:t>Groundwater:</w:t>
      </w:r>
    </w:p>
    <w:p w14:paraId="01844D82" w14:textId="6BF26707" w:rsidR="00F07047" w:rsidRDefault="00F07047" w:rsidP="00D868C2">
      <w:pPr>
        <w:jc w:val="center"/>
        <w:rPr>
          <w:rFonts w:ascii="Times New Roman" w:hAnsi="Times New Roman" w:cs="Times New Roman"/>
          <w:lang w:val="en-GB"/>
        </w:rPr>
      </w:pPr>
      <w:r>
        <w:rPr>
          <w:noProof/>
        </w:rPr>
        <w:drawing>
          <wp:inline distT="0" distB="0" distL="0" distR="0" wp14:anchorId="2C38B04B" wp14:editId="7E51B4F5">
            <wp:extent cx="5020713" cy="2680011"/>
            <wp:effectExtent l="19050" t="19050" r="27940" b="25400"/>
            <wp:docPr id="3527977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9770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020713" cy="2680011"/>
                    </a:xfrm>
                    <a:prstGeom prst="rect">
                      <a:avLst/>
                    </a:prstGeom>
                    <a:noFill/>
                    <a:ln>
                      <a:solidFill>
                        <a:schemeClr val="tx1"/>
                      </a:solidFill>
                    </a:ln>
                  </pic:spPr>
                </pic:pic>
              </a:graphicData>
            </a:graphic>
          </wp:inline>
        </w:drawing>
      </w:r>
    </w:p>
    <w:p w14:paraId="2AE33895" w14:textId="70E5BE3D" w:rsidR="00F07047" w:rsidRDefault="00F07047" w:rsidP="00D868C2">
      <w:pPr>
        <w:jc w:val="center"/>
        <w:rPr>
          <w:rFonts w:ascii="Times New Roman" w:hAnsi="Times New Roman" w:cs="Times New Roman"/>
          <w:lang w:val="en-GB"/>
        </w:rPr>
      </w:pPr>
      <w:r>
        <w:rPr>
          <w:rFonts w:ascii="Times New Roman" w:hAnsi="Times New Roman" w:cs="Times New Roman"/>
          <w:lang w:val="en-GB"/>
        </w:rPr>
        <w:t xml:space="preserve">Figure </w:t>
      </w:r>
      <w:r w:rsidR="008C5989">
        <w:rPr>
          <w:rFonts w:ascii="Times New Roman" w:hAnsi="Times New Roman" w:cs="Times New Roman"/>
          <w:lang w:val="en-GB"/>
        </w:rPr>
        <w:t>9</w:t>
      </w:r>
      <w:r>
        <w:rPr>
          <w:rFonts w:ascii="Times New Roman" w:hAnsi="Times New Roman" w:cs="Times New Roman"/>
          <w:lang w:val="en-GB"/>
        </w:rPr>
        <w:t xml:space="preserve"> – </w:t>
      </w:r>
      <w:r w:rsidR="004F47FE">
        <w:rPr>
          <w:rFonts w:ascii="Times New Roman" w:hAnsi="Times New Roman" w:cs="Times New Roman"/>
          <w:lang w:val="en-GB"/>
        </w:rPr>
        <w:t>Monthly Mean Maps of Groundwater</w:t>
      </w:r>
    </w:p>
    <w:p w14:paraId="7D7B10F6" w14:textId="34090717" w:rsidR="00F07047" w:rsidRDefault="00F07047" w:rsidP="00D868C2">
      <w:pPr>
        <w:jc w:val="center"/>
        <w:rPr>
          <w:rFonts w:ascii="Times New Roman" w:hAnsi="Times New Roman" w:cs="Times New Roman"/>
          <w:lang w:val="en-GB"/>
        </w:rPr>
      </w:pPr>
      <w:r>
        <w:rPr>
          <w:noProof/>
        </w:rPr>
        <w:drawing>
          <wp:inline distT="0" distB="0" distL="0" distR="0" wp14:anchorId="1787E316" wp14:editId="3297A2EA">
            <wp:extent cx="5089363" cy="2728179"/>
            <wp:effectExtent l="19050" t="19050" r="16510" b="15240"/>
            <wp:docPr id="2069889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89098"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089363" cy="2728179"/>
                    </a:xfrm>
                    <a:prstGeom prst="rect">
                      <a:avLst/>
                    </a:prstGeom>
                    <a:noFill/>
                    <a:ln>
                      <a:solidFill>
                        <a:schemeClr val="tx1"/>
                      </a:solidFill>
                    </a:ln>
                  </pic:spPr>
                </pic:pic>
              </a:graphicData>
            </a:graphic>
          </wp:inline>
        </w:drawing>
      </w:r>
    </w:p>
    <w:p w14:paraId="447AB4D5" w14:textId="7961D36A" w:rsidR="004F47FE" w:rsidRDefault="004F47FE" w:rsidP="00D868C2">
      <w:pPr>
        <w:jc w:val="center"/>
        <w:rPr>
          <w:rFonts w:ascii="Times New Roman" w:hAnsi="Times New Roman" w:cs="Times New Roman"/>
          <w:lang w:val="en-GB"/>
        </w:rPr>
      </w:pPr>
      <w:r>
        <w:rPr>
          <w:rFonts w:ascii="Times New Roman" w:hAnsi="Times New Roman" w:cs="Times New Roman"/>
          <w:lang w:val="en-GB"/>
        </w:rPr>
        <w:t>Figure 10 - Mann Kendall Mean Maps of Groundwater</w:t>
      </w:r>
    </w:p>
    <w:p w14:paraId="4EDB0D35" w14:textId="1CC4842C" w:rsidR="004F47FE" w:rsidRPr="004F47FE" w:rsidRDefault="004F47FE" w:rsidP="004F47FE">
      <w:pPr>
        <w:jc w:val="both"/>
        <w:rPr>
          <w:rFonts w:ascii="Times New Roman" w:hAnsi="Times New Roman" w:cs="Times New Roman"/>
        </w:rPr>
      </w:pPr>
      <w:r w:rsidRPr="004F47FE">
        <w:rPr>
          <w:rFonts w:ascii="Times New Roman" w:hAnsi="Times New Roman" w:cs="Times New Roman"/>
        </w:rPr>
        <w:t>Groundwater exhibits a clear seasonal cycle, with declining levels from January to May due to progressive dry-season depletion. Recharge begins with the southwest monsoon in June, and storage peaks during August–October across much of central and western Peninsular India. Levels gradually recede from November onward, reflecting reduced rainfall inputs and continued groundwater discharge.</w:t>
      </w:r>
      <w:r>
        <w:rPr>
          <w:rFonts w:ascii="Times New Roman" w:hAnsi="Times New Roman" w:cs="Times New Roman"/>
        </w:rPr>
        <w:t xml:space="preserve"> </w:t>
      </w:r>
      <w:r w:rsidRPr="004F47FE">
        <w:rPr>
          <w:rFonts w:ascii="Times New Roman" w:hAnsi="Times New Roman" w:cs="Times New Roman"/>
        </w:rPr>
        <w:t>Trend analysis indicates predominantly increasing groundwater levels across central, western, and southern regions, especially during pre- and post-monsoon periods. Monsoon months show more spatially extensive positive trends, reflecting enhanced recharge. However, northeastern sectors consistently exhibit significant declining trends, highlighting localized depletion despite broader regional strengthening.</w:t>
      </w:r>
    </w:p>
    <w:p w14:paraId="59E6FBF9" w14:textId="3886A7FC" w:rsidR="008C5989" w:rsidRDefault="008C5989" w:rsidP="004F47FE">
      <w:pPr>
        <w:jc w:val="both"/>
        <w:rPr>
          <w:rFonts w:ascii="Times New Roman" w:hAnsi="Times New Roman" w:cs="Times New Roman"/>
          <w:lang w:val="en-GB"/>
        </w:rPr>
      </w:pPr>
    </w:p>
    <w:sectPr w:rsidR="008C5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536"/>
    <w:rsid w:val="001948A0"/>
    <w:rsid w:val="001D0019"/>
    <w:rsid w:val="001F08B6"/>
    <w:rsid w:val="00202E45"/>
    <w:rsid w:val="00455E4A"/>
    <w:rsid w:val="00497E1E"/>
    <w:rsid w:val="004F47FE"/>
    <w:rsid w:val="005353E6"/>
    <w:rsid w:val="006F3039"/>
    <w:rsid w:val="0079384B"/>
    <w:rsid w:val="008460A2"/>
    <w:rsid w:val="0086152E"/>
    <w:rsid w:val="008C5989"/>
    <w:rsid w:val="00B7033E"/>
    <w:rsid w:val="00B70FCD"/>
    <w:rsid w:val="00C314A0"/>
    <w:rsid w:val="00CD7536"/>
    <w:rsid w:val="00D868C2"/>
    <w:rsid w:val="00F07047"/>
    <w:rsid w:val="00F76DBD"/>
    <w:rsid w:val="00F82931"/>
    <w:rsid w:val="00FD74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E647"/>
  <w15:chartTrackingRefBased/>
  <w15:docId w15:val="{8DFA8ED2-9D17-4ECD-A79D-724AF4EC7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5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5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5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5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5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5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5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5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5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5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536"/>
    <w:rPr>
      <w:rFonts w:eastAsiaTheme="majorEastAsia" w:cstheme="majorBidi"/>
      <w:color w:val="272727" w:themeColor="text1" w:themeTint="D8"/>
    </w:rPr>
  </w:style>
  <w:style w:type="paragraph" w:styleId="Title">
    <w:name w:val="Title"/>
    <w:basedOn w:val="Normal"/>
    <w:next w:val="Normal"/>
    <w:link w:val="TitleChar"/>
    <w:uiPriority w:val="10"/>
    <w:qFormat/>
    <w:rsid w:val="00CD7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536"/>
    <w:pPr>
      <w:spacing w:before="160"/>
      <w:jc w:val="center"/>
    </w:pPr>
    <w:rPr>
      <w:i/>
      <w:iCs/>
      <w:color w:val="404040" w:themeColor="text1" w:themeTint="BF"/>
    </w:rPr>
  </w:style>
  <w:style w:type="character" w:customStyle="1" w:styleId="QuoteChar">
    <w:name w:val="Quote Char"/>
    <w:basedOn w:val="DefaultParagraphFont"/>
    <w:link w:val="Quote"/>
    <w:uiPriority w:val="29"/>
    <w:rsid w:val="00CD7536"/>
    <w:rPr>
      <w:i/>
      <w:iCs/>
      <w:color w:val="404040" w:themeColor="text1" w:themeTint="BF"/>
    </w:rPr>
  </w:style>
  <w:style w:type="paragraph" w:styleId="ListParagraph">
    <w:name w:val="List Paragraph"/>
    <w:basedOn w:val="Normal"/>
    <w:uiPriority w:val="34"/>
    <w:qFormat/>
    <w:rsid w:val="00CD7536"/>
    <w:pPr>
      <w:ind w:left="720"/>
      <w:contextualSpacing/>
    </w:pPr>
  </w:style>
  <w:style w:type="character" w:styleId="IntenseEmphasis">
    <w:name w:val="Intense Emphasis"/>
    <w:basedOn w:val="DefaultParagraphFont"/>
    <w:uiPriority w:val="21"/>
    <w:qFormat/>
    <w:rsid w:val="00CD7536"/>
    <w:rPr>
      <w:i/>
      <w:iCs/>
      <w:color w:val="2F5496" w:themeColor="accent1" w:themeShade="BF"/>
    </w:rPr>
  </w:style>
  <w:style w:type="paragraph" w:styleId="IntenseQuote">
    <w:name w:val="Intense Quote"/>
    <w:basedOn w:val="Normal"/>
    <w:next w:val="Normal"/>
    <w:link w:val="IntenseQuoteChar"/>
    <w:uiPriority w:val="30"/>
    <w:qFormat/>
    <w:rsid w:val="00CD75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536"/>
    <w:rPr>
      <w:i/>
      <w:iCs/>
      <w:color w:val="2F5496" w:themeColor="accent1" w:themeShade="BF"/>
    </w:rPr>
  </w:style>
  <w:style w:type="character" w:styleId="IntenseReference">
    <w:name w:val="Intense Reference"/>
    <w:basedOn w:val="DefaultParagraphFont"/>
    <w:uiPriority w:val="32"/>
    <w:qFormat/>
    <w:rsid w:val="00CD7536"/>
    <w:rPr>
      <w:b/>
      <w:bCs/>
      <w:smallCaps/>
      <w:color w:val="2F5496" w:themeColor="accent1" w:themeShade="BF"/>
      <w:spacing w:val="5"/>
    </w:rPr>
  </w:style>
  <w:style w:type="table" w:styleId="TableGrid">
    <w:name w:val="Table Grid"/>
    <w:basedOn w:val="TableNormal"/>
    <w:uiPriority w:val="39"/>
    <w:rsid w:val="00CD75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D753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B63E3-FB1E-4B29-B398-1FB317103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Ganesh</dc:creator>
  <cp:keywords/>
  <dc:description/>
  <cp:lastModifiedBy>Rishi Ganesh</cp:lastModifiedBy>
  <cp:revision>10</cp:revision>
  <dcterms:created xsi:type="dcterms:W3CDTF">2026-02-17T00:54:00Z</dcterms:created>
  <dcterms:modified xsi:type="dcterms:W3CDTF">2026-02-17T08:38:00Z</dcterms:modified>
</cp:coreProperties>
</file>