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16177753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185C35C" w14:textId="684D5E7A" w:rsidR="0098038F" w:rsidRDefault="0098038F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  <w:r>
            <w:rPr>
              <w:noProof/>
              <w:color w:val="4F81BD" w:themeColor="accent1"/>
            </w:rPr>
            <w:drawing>
              <wp:inline distT="0" distB="0" distL="0" distR="0" wp14:anchorId="5F192F92" wp14:editId="6442E614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F81BD" w:themeColor="accent1"/>
              <w:sz w:val="72"/>
              <w:szCs w:val="72"/>
              <w:u w:val="single"/>
            </w:rPr>
            <w:alias w:val="Title"/>
            <w:tag w:val=""/>
            <w:id w:val="1735040861"/>
            <w:placeholder>
              <w:docPart w:val="81870A96971D43D0AF87D0F15666C2B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23A4540D" w14:textId="55A1E665" w:rsidR="0098038F" w:rsidRDefault="0098038F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F81BD" w:themeColor="accent1"/>
                  <w:sz w:val="80"/>
                  <w:szCs w:val="80"/>
                </w:rPr>
              </w:pPr>
              <w:r w:rsidRPr="0098038F">
                <w:rPr>
                  <w:rFonts w:asciiTheme="majorHAnsi" w:eastAsiaTheme="majorEastAsia" w:hAnsiTheme="majorHAnsi" w:cstheme="majorBidi"/>
                  <w:b/>
                  <w:bCs/>
                  <w:caps/>
                  <w:color w:val="4F81BD" w:themeColor="accent1"/>
                  <w:sz w:val="72"/>
                  <w:szCs w:val="72"/>
                  <w:u w:val="single"/>
                </w:rPr>
                <w:t>costumer segmentation in betting industry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color w:val="365F91" w:themeColor="accent1" w:themeShade="BF"/>
              <w:sz w:val="36"/>
              <w:szCs w:val="36"/>
            </w:rPr>
            <w:alias w:val="Subtitle"/>
            <w:tag w:val=""/>
            <w:id w:val="328029620"/>
            <w:placeholder>
              <w:docPart w:val="5B0F754B1844431B8BA0C450DED0447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2392FF7" w14:textId="19218D26" w:rsidR="0098038F" w:rsidRPr="0098038F" w:rsidRDefault="0098038F">
              <w:pPr>
                <w:pStyle w:val="NoSpacing"/>
                <w:jc w:val="center"/>
                <w:rPr>
                  <w:i/>
                  <w:iCs/>
                  <w:color w:val="4F81BD" w:themeColor="accent1"/>
                  <w:sz w:val="28"/>
                  <w:szCs w:val="28"/>
                  <w:u w:val="single"/>
                </w:rPr>
              </w:pPr>
              <w:r w:rsidRPr="0098038F">
                <w:rPr>
                  <w:rFonts w:asciiTheme="majorHAnsi" w:eastAsiaTheme="majorEastAsia" w:hAnsiTheme="majorHAnsi" w:cstheme="majorBidi"/>
                  <w:color w:val="365F91" w:themeColor="accent1" w:themeShade="BF"/>
                  <w:sz w:val="36"/>
                  <w:szCs w:val="36"/>
                </w:rPr>
                <w:t>Executive Summary: Customer Segmentation in the Betting Industry</w:t>
              </w:r>
            </w:p>
          </w:sdtContent>
        </w:sdt>
        <w:p w14:paraId="16F20E3E" w14:textId="77777777" w:rsidR="0098038F" w:rsidRPr="0098038F" w:rsidRDefault="0098038F">
          <w:pPr>
            <w:pStyle w:val="NoSpacing"/>
            <w:spacing w:before="480"/>
            <w:jc w:val="center"/>
            <w:rPr>
              <w:i/>
              <w:iCs/>
              <w:color w:val="4F81BD" w:themeColor="accent1"/>
            </w:rPr>
          </w:pPr>
          <w:r w:rsidRPr="0098038F">
            <w:rPr>
              <w:i/>
              <w:iCs/>
              <w:noProof/>
              <w:color w:val="4F81BD" w:themeColor="accent1"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758178A3" wp14:editId="02FDEA39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87E5A6" w14:textId="47DF4E6E" w:rsidR="0098038F" w:rsidRDefault="0098038F">
                                <w:pPr>
                                  <w:pStyle w:val="NoSpacing"/>
                                  <w:jc w:val="center"/>
                                  <w:rPr>
                                    <w:color w:val="4F81BD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8178A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8752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3F87E5A6" w14:textId="47DF4E6E" w:rsidR="0098038F" w:rsidRDefault="0098038F">
                          <w:pPr>
                            <w:pStyle w:val="NoSpacing"/>
                            <w:jc w:val="center"/>
                            <w:rPr>
                              <w:color w:val="4F81BD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98038F">
            <w:rPr>
              <w:i/>
              <w:iCs/>
              <w:noProof/>
              <w:color w:val="4F81BD" w:themeColor="accent1"/>
            </w:rPr>
            <w:drawing>
              <wp:inline distT="0" distB="0" distL="0" distR="0" wp14:anchorId="620F3A7D" wp14:editId="7D43A693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23D7EC3" w14:textId="68EF67D3" w:rsidR="0098038F" w:rsidRDefault="0098038F">
          <w:r>
            <w:t xml:space="preserve">    </w:t>
          </w:r>
        </w:p>
        <w:p w14:paraId="161EE521" w14:textId="77777777" w:rsidR="0098038F" w:rsidRDefault="0098038F"/>
        <w:p w14:paraId="19B409BF" w14:textId="77777777" w:rsidR="0098038F" w:rsidRDefault="0098038F"/>
        <w:p w14:paraId="6DD52E81" w14:textId="77777777" w:rsidR="0098038F" w:rsidRDefault="0098038F"/>
        <w:p w14:paraId="300EC79A" w14:textId="77777777" w:rsidR="0098038F" w:rsidRDefault="0098038F"/>
        <w:p w14:paraId="67BAC1E8" w14:textId="77777777" w:rsidR="0098038F" w:rsidRDefault="0098038F"/>
        <w:p w14:paraId="303D1D78" w14:textId="6408F91D" w:rsidR="0098038F" w:rsidRDefault="0098038F">
          <w:r>
            <w:t xml:space="preserve">                                              </w:t>
          </w:r>
          <w:r w:rsidRPr="0098038F">
            <w:rPr>
              <w:sz w:val="32"/>
              <w:szCs w:val="32"/>
            </w:rPr>
            <w:t>Prepared By: SatyendraN</w:t>
          </w:r>
          <w:r>
            <w:rPr>
              <w:sz w:val="32"/>
              <w:szCs w:val="32"/>
            </w:rPr>
            <w:t>ath Panda</w:t>
          </w:r>
          <w:r>
            <w:br w:type="page"/>
          </w:r>
        </w:p>
      </w:sdtContent>
    </w:sdt>
    <w:p w14:paraId="4D5E5D81" w14:textId="77777777" w:rsidR="0098038F" w:rsidRDefault="0098038F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</w:p>
    <w:p w14:paraId="6176DD00" w14:textId="77777777" w:rsidR="004504B7" w:rsidRPr="0098038F" w:rsidRDefault="00000000">
      <w:pPr>
        <w:pStyle w:val="Heading2"/>
        <w:rPr>
          <w:sz w:val="36"/>
          <w:szCs w:val="36"/>
        </w:rPr>
      </w:pPr>
      <w:r w:rsidRPr="0098038F">
        <w:rPr>
          <w:sz w:val="36"/>
          <w:szCs w:val="36"/>
        </w:rPr>
        <w:t>1. Objective</w:t>
      </w:r>
    </w:p>
    <w:p w14:paraId="280941DC" w14:textId="77777777" w:rsidR="004504B7" w:rsidRPr="0098038F" w:rsidRDefault="00000000">
      <w:pPr>
        <w:rPr>
          <w:sz w:val="24"/>
          <w:szCs w:val="24"/>
        </w:rPr>
      </w:pPr>
      <w:r w:rsidRPr="0098038F">
        <w:rPr>
          <w:sz w:val="24"/>
          <w:szCs w:val="24"/>
        </w:rPr>
        <w:t>The goal of this project was to analyze customer behavior within the betting industry, segment users using K-Means clustering, and derive actionable business insights based on demographic, financial, and behavioral data such as salary, betting frequency, bonuses, and wagered amounts.</w:t>
      </w:r>
    </w:p>
    <w:p w14:paraId="06306E3E" w14:textId="77777777" w:rsidR="004504B7" w:rsidRPr="0098038F" w:rsidRDefault="00000000">
      <w:pPr>
        <w:pStyle w:val="Heading2"/>
        <w:rPr>
          <w:sz w:val="36"/>
          <w:szCs w:val="36"/>
        </w:rPr>
      </w:pPr>
      <w:r w:rsidRPr="0098038F">
        <w:rPr>
          <w:sz w:val="36"/>
          <w:szCs w:val="36"/>
        </w:rPr>
        <w:t>2. Data Overview</w:t>
      </w:r>
    </w:p>
    <w:p w14:paraId="0B01E16C" w14:textId="77777777" w:rsidR="004504B7" w:rsidRPr="0098038F" w:rsidRDefault="00000000">
      <w:pPr>
        <w:rPr>
          <w:sz w:val="24"/>
          <w:szCs w:val="24"/>
        </w:rPr>
      </w:pPr>
      <w:r w:rsidRPr="0098038F">
        <w:rPr>
          <w:sz w:val="24"/>
          <w:szCs w:val="24"/>
        </w:rPr>
        <w:t>The dataset included customer-level data such as demographics (Age, Gender, Country), financials (Salary, Total Amount Wagered), and behavioral metrics (Total Number of Bets, Number &amp; Average Amount of Bonuses Received, Bet Type Preference). After cleaning and deduplication, a unique customer dataset was prepared using aggregation on key features.</w:t>
      </w:r>
    </w:p>
    <w:p w14:paraId="623195BE" w14:textId="77777777" w:rsidR="004504B7" w:rsidRPr="0098038F" w:rsidRDefault="00000000">
      <w:pPr>
        <w:pStyle w:val="Heading2"/>
        <w:rPr>
          <w:sz w:val="36"/>
          <w:szCs w:val="36"/>
        </w:rPr>
      </w:pPr>
      <w:r w:rsidRPr="0098038F">
        <w:rPr>
          <w:sz w:val="36"/>
          <w:szCs w:val="36"/>
        </w:rPr>
        <w:t>3. Exploratory Data Analysis (EDA)</w:t>
      </w:r>
    </w:p>
    <w:p w14:paraId="234A8BFE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Salary Distribution: Most customers fall in the mid-income range, with salaries concentrated around the central bins. The distribution is slightly right-skewed, showing a smaller group of high earners (approx. top 10–15%) who could be high-value customers.</w:t>
      </w:r>
    </w:p>
    <w:p w14:paraId="7DE94D50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Total Amount Wagered: The wagered amount shows a positively skewed distribution — a few high rollers contribute disproportionately to total betting revenue. Approximately 20% of customers account for nearly 60–70% of the total wagered volume.</w:t>
      </w:r>
    </w:p>
    <w:p w14:paraId="7A47DF2F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Bet Type Preferences: A few betting types dominate user choice, indicating that specific games/events attract the majority of activity. These preferred bet types should be the focus for marketing and promotional campaigns.</w:t>
      </w:r>
    </w:p>
    <w:p w14:paraId="324A0849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Gender Distribution: The pie chart indicates a male-dominated customer base, typical for the betting industry, though female participation is around 25–30%.</w:t>
      </w:r>
    </w:p>
    <w:p w14:paraId="5D2C95E2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Age Distribution: Most active customers are between 25 and 40 years old, indicating that the core market segment is young adults. Engagement tends to drop beyond 45 years.</w:t>
      </w:r>
    </w:p>
    <w:p w14:paraId="127EF63E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Correlation Analysis: Moderate positive correlation (~0.55) between Salary and Total Amount Wagered; strong correlation (~0.7) between Total Bets and Wagered Amount; bonuses positively influence betting frequency.</w:t>
      </w:r>
    </w:p>
    <w:p w14:paraId="2BB954A8" w14:textId="77777777" w:rsidR="004504B7" w:rsidRPr="0098038F" w:rsidRDefault="00000000">
      <w:pPr>
        <w:pStyle w:val="Heading2"/>
        <w:rPr>
          <w:sz w:val="36"/>
          <w:szCs w:val="36"/>
        </w:rPr>
      </w:pPr>
      <w:r w:rsidRPr="0098038F">
        <w:rPr>
          <w:sz w:val="36"/>
          <w:szCs w:val="36"/>
        </w:rPr>
        <w:t>4. K-Means Clustering Insights</w:t>
      </w:r>
    </w:p>
    <w:p w14:paraId="7FF18A58" w14:textId="77777777" w:rsidR="004504B7" w:rsidRPr="0098038F" w:rsidRDefault="00000000">
      <w:pPr>
        <w:rPr>
          <w:sz w:val="24"/>
          <w:szCs w:val="24"/>
        </w:rPr>
      </w:pPr>
      <w:r w:rsidRPr="0098038F">
        <w:rPr>
          <w:sz w:val="24"/>
          <w:szCs w:val="24"/>
        </w:rPr>
        <w:t>Using the Elbow Method, three clusters were identified as optimal for segmentation:</w:t>
      </w:r>
    </w:p>
    <w:p w14:paraId="70553F96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lastRenderedPageBreak/>
        <w:t>Cluster 1: High Rollers - High Salary + High Wager Amount + High Betting Frequency. Represent approx. 15–20% of total customers. Major revenue drivers; responsive to VIP rewards, exclusive betting events, and premium bonuses.</w:t>
      </w:r>
    </w:p>
    <w:p w14:paraId="117553CF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Cluster 2: Moderate Bettors - Medium Salary + Average Bets + Occasional Bonuses. Largest group, approx. 50–55% of customers. Potential for upselling through engagement-driven offers, such as loyalty rewards or weekly streak bonuses.</w:t>
      </w:r>
    </w:p>
    <w:p w14:paraId="5D1CD87B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Cluster 3: Casual / Bonus-Driven Bettors - Low Salary + Low Bets + High Bonus Dependence. Represent 25–30% of customers. Sensitive to promotions; good for traffic generation, but low revenue contribution.</w:t>
      </w:r>
    </w:p>
    <w:p w14:paraId="36A9CDF0" w14:textId="77777777" w:rsidR="004504B7" w:rsidRPr="0098038F" w:rsidRDefault="00000000">
      <w:pPr>
        <w:pStyle w:val="Heading2"/>
        <w:rPr>
          <w:sz w:val="36"/>
          <w:szCs w:val="36"/>
        </w:rPr>
      </w:pPr>
      <w:r w:rsidRPr="0098038F">
        <w:rPr>
          <w:sz w:val="36"/>
          <w:szCs w:val="36"/>
        </w:rPr>
        <w:t>5. Statistical &amp; Business Insights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4B7" w14:paraId="1396FD39" w14:textId="77777777">
        <w:tc>
          <w:tcPr>
            <w:tcW w:w="2880" w:type="dxa"/>
          </w:tcPr>
          <w:p w14:paraId="2B4E2F34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Insight Type</w:t>
            </w:r>
          </w:p>
        </w:tc>
        <w:tc>
          <w:tcPr>
            <w:tcW w:w="2880" w:type="dxa"/>
          </w:tcPr>
          <w:p w14:paraId="7175AE83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Key Finding</w:t>
            </w:r>
          </w:p>
        </w:tc>
        <w:tc>
          <w:tcPr>
            <w:tcW w:w="2880" w:type="dxa"/>
          </w:tcPr>
          <w:p w14:paraId="4AB4C283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Business Implication</w:t>
            </w:r>
          </w:p>
        </w:tc>
      </w:tr>
      <w:tr w:rsidR="004504B7" w14:paraId="41696DE1" w14:textId="77777777">
        <w:tc>
          <w:tcPr>
            <w:tcW w:w="2880" w:type="dxa"/>
          </w:tcPr>
          <w:p w14:paraId="227D412F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Customer Composition</w:t>
            </w:r>
          </w:p>
        </w:tc>
        <w:tc>
          <w:tcPr>
            <w:tcW w:w="2880" w:type="dxa"/>
          </w:tcPr>
          <w:p w14:paraId="3A3A7ADF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~70% Male, 30% Female</w:t>
            </w:r>
          </w:p>
        </w:tc>
        <w:tc>
          <w:tcPr>
            <w:tcW w:w="2880" w:type="dxa"/>
          </w:tcPr>
          <w:p w14:paraId="70888BD5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Focus on gender-specific engagement campaigns</w:t>
            </w:r>
          </w:p>
        </w:tc>
      </w:tr>
      <w:tr w:rsidR="004504B7" w14:paraId="2D5799C8" w14:textId="77777777">
        <w:tc>
          <w:tcPr>
            <w:tcW w:w="2880" w:type="dxa"/>
          </w:tcPr>
          <w:p w14:paraId="04A92230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Age Profile</w:t>
            </w:r>
          </w:p>
        </w:tc>
        <w:tc>
          <w:tcPr>
            <w:tcW w:w="2880" w:type="dxa"/>
          </w:tcPr>
          <w:p w14:paraId="67914FEB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60% customers between 25–40 years</w:t>
            </w:r>
          </w:p>
        </w:tc>
        <w:tc>
          <w:tcPr>
            <w:tcW w:w="2880" w:type="dxa"/>
          </w:tcPr>
          <w:p w14:paraId="4CB3EB52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Leverage digital marketing &amp; mobile-first experiences</w:t>
            </w:r>
          </w:p>
        </w:tc>
      </w:tr>
      <w:tr w:rsidR="004504B7" w14:paraId="1718B029" w14:textId="77777777">
        <w:tc>
          <w:tcPr>
            <w:tcW w:w="2880" w:type="dxa"/>
          </w:tcPr>
          <w:p w14:paraId="14B36434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Income-Wager Relationship</w:t>
            </w:r>
          </w:p>
        </w:tc>
        <w:tc>
          <w:tcPr>
            <w:tcW w:w="2880" w:type="dxa"/>
          </w:tcPr>
          <w:p w14:paraId="4117CA80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Correlation ≈ 0.55</w:t>
            </w:r>
          </w:p>
        </w:tc>
        <w:tc>
          <w:tcPr>
            <w:tcW w:w="2880" w:type="dxa"/>
          </w:tcPr>
          <w:p w14:paraId="48C05F66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Higher earners = higher lifetime value</w:t>
            </w:r>
          </w:p>
        </w:tc>
      </w:tr>
      <w:tr w:rsidR="004504B7" w14:paraId="19662349" w14:textId="77777777">
        <w:tc>
          <w:tcPr>
            <w:tcW w:w="2880" w:type="dxa"/>
          </w:tcPr>
          <w:p w14:paraId="292AE226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Bonus Effectiveness</w:t>
            </w:r>
          </w:p>
        </w:tc>
        <w:tc>
          <w:tcPr>
            <w:tcW w:w="2880" w:type="dxa"/>
          </w:tcPr>
          <w:p w14:paraId="6D3289B1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Positive link between bonuses &amp; bet frequency</w:t>
            </w:r>
          </w:p>
        </w:tc>
        <w:tc>
          <w:tcPr>
            <w:tcW w:w="2880" w:type="dxa"/>
          </w:tcPr>
          <w:p w14:paraId="46D94CDA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Well-structured bonus programs increase engagement</w:t>
            </w:r>
          </w:p>
        </w:tc>
      </w:tr>
      <w:tr w:rsidR="004504B7" w14:paraId="387C0310" w14:textId="77777777">
        <w:tc>
          <w:tcPr>
            <w:tcW w:w="2880" w:type="dxa"/>
          </w:tcPr>
          <w:p w14:paraId="7E64640F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Cluster Profitability</w:t>
            </w:r>
          </w:p>
        </w:tc>
        <w:tc>
          <w:tcPr>
            <w:tcW w:w="2880" w:type="dxa"/>
          </w:tcPr>
          <w:p w14:paraId="6C5F8AA8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Cluster 1 drives ~60% of total wagers</w:t>
            </w:r>
          </w:p>
        </w:tc>
        <w:tc>
          <w:tcPr>
            <w:tcW w:w="2880" w:type="dxa"/>
          </w:tcPr>
          <w:p w14:paraId="28574EF0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Retention of this cluster is key</w:t>
            </w:r>
          </w:p>
        </w:tc>
      </w:tr>
      <w:tr w:rsidR="004504B7" w14:paraId="50302B4B" w14:textId="77777777">
        <w:tc>
          <w:tcPr>
            <w:tcW w:w="2880" w:type="dxa"/>
          </w:tcPr>
          <w:p w14:paraId="088E474C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Churn Risk</w:t>
            </w:r>
          </w:p>
        </w:tc>
        <w:tc>
          <w:tcPr>
            <w:tcW w:w="2880" w:type="dxa"/>
          </w:tcPr>
          <w:p w14:paraId="5551D0DA" w14:textId="77777777" w:rsidR="004504B7" w:rsidRPr="0098038F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Cluster 3 shows low commitment</w:t>
            </w:r>
          </w:p>
        </w:tc>
        <w:tc>
          <w:tcPr>
            <w:tcW w:w="2880" w:type="dxa"/>
          </w:tcPr>
          <w:p w14:paraId="499AF70E" w14:textId="77777777" w:rsidR="004504B7" w:rsidRDefault="00000000">
            <w:pPr>
              <w:rPr>
                <w:sz w:val="24"/>
                <w:szCs w:val="24"/>
              </w:rPr>
            </w:pPr>
            <w:r w:rsidRPr="0098038F">
              <w:rPr>
                <w:sz w:val="24"/>
                <w:szCs w:val="24"/>
              </w:rPr>
              <w:t>Use targeted reactivation offers</w:t>
            </w:r>
          </w:p>
          <w:p w14:paraId="49EA01DC" w14:textId="77777777" w:rsidR="0098038F" w:rsidRDefault="0098038F">
            <w:pPr>
              <w:rPr>
                <w:sz w:val="24"/>
                <w:szCs w:val="24"/>
              </w:rPr>
            </w:pPr>
          </w:p>
          <w:p w14:paraId="5249E0A4" w14:textId="77777777" w:rsidR="0098038F" w:rsidRDefault="0098038F">
            <w:pPr>
              <w:rPr>
                <w:sz w:val="24"/>
                <w:szCs w:val="24"/>
              </w:rPr>
            </w:pPr>
          </w:p>
          <w:p w14:paraId="3EC61569" w14:textId="77777777" w:rsidR="0098038F" w:rsidRPr="0098038F" w:rsidRDefault="0098038F">
            <w:pPr>
              <w:rPr>
                <w:sz w:val="24"/>
                <w:szCs w:val="24"/>
              </w:rPr>
            </w:pPr>
          </w:p>
        </w:tc>
      </w:tr>
    </w:tbl>
    <w:p w14:paraId="62F9C764" w14:textId="77777777" w:rsidR="004504B7" w:rsidRDefault="00000000">
      <w:pPr>
        <w:pStyle w:val="Heading2"/>
      </w:pPr>
      <w:r w:rsidRPr="0098038F">
        <w:rPr>
          <w:sz w:val="36"/>
          <w:szCs w:val="36"/>
        </w:rPr>
        <w:lastRenderedPageBreak/>
        <w:t>6. Recommendations</w:t>
      </w:r>
    </w:p>
    <w:p w14:paraId="23633DCB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Customer Retention (Cluster 1): Develop VIP programs and personal account management. Offer exclusive betting events and personalized bonuses.</w:t>
      </w:r>
    </w:p>
    <w:p w14:paraId="31464EE4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Customer Growth (Cluster 2): Introduce milestone-based incentives to increase bet frequency. Use behavioral segmentation to offer event-specific promotions.</w:t>
      </w:r>
    </w:p>
    <w:p w14:paraId="714D58DE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Customer Reactivation (Cluster 3): Send reactivation bonuses or free-bet offers. Simplify betting interfaces and onboarding flows for casual players.</w:t>
      </w:r>
    </w:p>
    <w:p w14:paraId="3F5726E6" w14:textId="77777777" w:rsidR="004504B7" w:rsidRPr="0098038F" w:rsidRDefault="00000000">
      <w:pPr>
        <w:pStyle w:val="ListBullet"/>
        <w:rPr>
          <w:sz w:val="24"/>
          <w:szCs w:val="24"/>
        </w:rPr>
      </w:pPr>
      <w:r w:rsidRPr="0098038F">
        <w:rPr>
          <w:sz w:val="24"/>
          <w:szCs w:val="24"/>
        </w:rPr>
        <w:t>Marketing Optimization: Focus marketing spend on top 30% of customers contributing ~70% of revenue. Use cluster-based personalization in marketing automation.</w:t>
      </w:r>
    </w:p>
    <w:p w14:paraId="0D7C0EEA" w14:textId="77777777" w:rsidR="004504B7" w:rsidRDefault="00000000">
      <w:pPr>
        <w:pStyle w:val="ListBullet"/>
      </w:pPr>
      <w:r w:rsidRPr="0098038F">
        <w:rPr>
          <w:sz w:val="24"/>
          <w:szCs w:val="24"/>
        </w:rPr>
        <w:t>Data-Driven Monitoring: Continuously track Average Bet Value, Bonus ROI, and Cluster Migration Rates to evaluate effectiveness</w:t>
      </w:r>
      <w:r>
        <w:t>.</w:t>
      </w:r>
    </w:p>
    <w:p w14:paraId="6B54D3D0" w14:textId="77777777" w:rsidR="004504B7" w:rsidRDefault="00000000">
      <w:pPr>
        <w:pStyle w:val="Heading2"/>
      </w:pPr>
      <w:r w:rsidRPr="0098038F">
        <w:rPr>
          <w:sz w:val="36"/>
          <w:szCs w:val="36"/>
        </w:rPr>
        <w:t>7. Conclusion</w:t>
      </w:r>
    </w:p>
    <w:p w14:paraId="304EC43B" w14:textId="77777777" w:rsidR="004504B7" w:rsidRPr="0098038F" w:rsidRDefault="00000000">
      <w:pPr>
        <w:rPr>
          <w:sz w:val="24"/>
          <w:szCs w:val="24"/>
        </w:rPr>
      </w:pPr>
      <w:r w:rsidRPr="0098038F">
        <w:rPr>
          <w:sz w:val="24"/>
          <w:szCs w:val="24"/>
        </w:rPr>
        <w:t>The analysis demonstrates that behavioral segmentation in the betting industry can identify distinct customer types with varying value contributions. Data-driven targeting of high-value clusters can maximize ROI, while retention and reactivation programs for lower segments can reduce churn. The combination of demographic, financial, and behavioral metrics provides a strong foundation for predictive customer analytics.</w:t>
      </w:r>
    </w:p>
    <w:sectPr w:rsidR="004504B7" w:rsidRPr="0098038F" w:rsidSect="0098038F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576630">
    <w:abstractNumId w:val="8"/>
  </w:num>
  <w:num w:numId="2" w16cid:durableId="1284314106">
    <w:abstractNumId w:val="6"/>
  </w:num>
  <w:num w:numId="3" w16cid:durableId="447894960">
    <w:abstractNumId w:val="5"/>
  </w:num>
  <w:num w:numId="4" w16cid:durableId="423772455">
    <w:abstractNumId w:val="4"/>
  </w:num>
  <w:num w:numId="5" w16cid:durableId="2008708896">
    <w:abstractNumId w:val="7"/>
  </w:num>
  <w:num w:numId="6" w16cid:durableId="2082604745">
    <w:abstractNumId w:val="3"/>
  </w:num>
  <w:num w:numId="7" w16cid:durableId="1655455596">
    <w:abstractNumId w:val="2"/>
  </w:num>
  <w:num w:numId="8" w16cid:durableId="1550997294">
    <w:abstractNumId w:val="1"/>
  </w:num>
  <w:num w:numId="9" w16cid:durableId="151958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4B7"/>
    <w:rsid w:val="00610D77"/>
    <w:rsid w:val="009803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645768"/>
  <w14:defaultImageDpi w14:val="300"/>
  <w15:docId w15:val="{B0E92D12-1D4D-4B57-BF0D-9279E2331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9803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870A96971D43D0AF87D0F15666C2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BC3E1-0F50-4A5C-8AD5-D9A6B6F4E84B}"/>
      </w:docPartPr>
      <w:docPartBody>
        <w:p w:rsidR="00000000" w:rsidRDefault="00645ECF" w:rsidP="00645ECF">
          <w:pPr>
            <w:pStyle w:val="81870A96971D43D0AF87D0F15666C2B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B0F754B1844431B8BA0C450DED04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077A7E-BDAE-428E-BA95-6F3E3AB71025}"/>
      </w:docPartPr>
      <w:docPartBody>
        <w:p w:rsidR="00000000" w:rsidRDefault="00645ECF" w:rsidP="00645ECF">
          <w:pPr>
            <w:pStyle w:val="5B0F754B1844431B8BA0C450DED04471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ECF"/>
    <w:rsid w:val="00610D77"/>
    <w:rsid w:val="00645ECF"/>
    <w:rsid w:val="00956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870A96971D43D0AF87D0F15666C2B3">
    <w:name w:val="81870A96971D43D0AF87D0F15666C2B3"/>
    <w:rsid w:val="00645ECF"/>
  </w:style>
  <w:style w:type="paragraph" w:customStyle="1" w:styleId="5B0F754B1844431B8BA0C450DED04471">
    <w:name w:val="5B0F754B1844431B8BA0C450DED04471"/>
    <w:rsid w:val="00645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costumer segmentation in betting industry</dc:title>
  <dc:subject>Executive Summary: Customer Segmentation in the Betting Industry</dc:subject>
  <dc:creator>python-docx</dc:creator>
  <cp:keywords/>
  <dc:description>generated by python-docx</dc:description>
  <cp:lastModifiedBy>SatyendraNath Panda</cp:lastModifiedBy>
  <cp:revision>2</cp:revision>
  <dcterms:created xsi:type="dcterms:W3CDTF">2013-12-23T23:15:00Z</dcterms:created>
  <dcterms:modified xsi:type="dcterms:W3CDTF">2025-10-14T17:45:00Z</dcterms:modified>
  <cp:category/>
</cp:coreProperties>
</file>