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14213D"/>
          <w:sz w:val="48"/>
          <w:szCs w:val="48"/>
        </w:rPr>
        <w:t xml:space="preserve">B2B SaaS: Consolidated Analysis</w:t>
      </w:r>
    </w:p>
    <w:p>
      <w:pPr>
        <w:spacing w:after="200"/>
        <w:jc w:val="center"/>
      </w:pPr>
      <w:r>
        <w:rPr>
          <w:rFonts w:ascii="Arial" w:cs="Arial" w:eastAsia="Arial" w:hAnsi="Arial"/>
          <w:color w:val="555555"/>
          <w:sz w:val="26"/>
          <w:szCs w:val="26"/>
        </w:rPr>
        <w:t xml:space="preserve">12 Concepts · Dark Persona Threat Model · Red Team Scenarios</w:t>
      </w:r>
    </w:p>
    <w:p>
      <w:pPr>
        <w:spacing w:after="80"/>
        <w:jc w:val="center"/>
      </w:pPr>
      <w:r>
        <w:rPr>
          <w:rFonts w:ascii="Arial" w:cs="Arial" w:eastAsia="Arial" w:hAnsi="Arial"/>
          <w:color w:val="888888"/>
          <w:sz w:val="22"/>
          <w:szCs w:val="22"/>
        </w:rPr>
        <w:t xml:space="preserve">Final Verdict: Viability, Scalability, and Innovation</w:t>
      </w:r>
    </w:p>
    <w:p>
      <w:pPr>
        <w:spacing w:before="300"/>
      </w:pPr>
    </w:p>
    <w:p>
      <w:pPr>
        <w:spacing w:after="60"/>
        <w:jc w:val="center"/>
      </w:pPr>
      <w:r>
        <w:rPr>
          <w:rFonts w:ascii="Arial" w:cs="Arial" w:eastAsia="Arial" w:hAnsi="Arial"/>
          <w:b/>
          <w:bCs/>
          <w:color w:val="666666"/>
          <w:sz w:val="18"/>
          <w:szCs w:val="18"/>
        </w:rPr>
        <w:t xml:space="preserve">ORIGINAL FOUR: </w:t>
      </w:r>
      <w:r>
        <w:rPr>
          <w:rFonts w:ascii="Arial" w:cs="Arial" w:eastAsia="Arial" w:hAnsi="Arial"/>
          <w:color w:val="888888"/>
          <w:sz w:val="18"/>
          <w:szCs w:val="18"/>
        </w:rPr>
        <w:t xml:space="preserve">SyncTower · IntegriPet · FailRun · PipeFlow</w:t>
      </w:r>
    </w:p>
    <w:p>
      <w:pPr>
        <w:spacing w:after="60"/>
        <w:jc w:val="center"/>
      </w:pPr>
      <w:r>
        <w:rPr>
          <w:rFonts w:ascii="Arial" w:cs="Arial" w:eastAsia="Arial" w:hAnsi="Arial"/>
          <w:b/>
          <w:bCs/>
          <w:color w:val="666666"/>
          <w:sz w:val="18"/>
          <w:szCs w:val="18"/>
        </w:rPr>
        <w:t xml:space="preserve">NEW EIGHT: </w:t>
      </w:r>
      <w:r>
        <w:rPr>
          <w:rFonts w:ascii="Arial" w:cs="Arial" w:eastAsia="Arial" w:hAnsi="Arial"/>
          <w:color w:val="888888"/>
          <w:sz w:val="18"/>
          <w:szCs w:val="18"/>
        </w:rPr>
        <w:t xml:space="preserve">SprintQuest · ChurnShield · ComplianceCrawler · SalesSim</w:t>
      </w:r>
    </w:p>
    <w:p>
      <w:pPr>
        <w:spacing w:after="400"/>
        <w:jc w:val="center"/>
      </w:pPr>
      <w:r>
        <w:rPr>
          <w:rFonts w:ascii="Arial" w:cs="Arial" w:eastAsia="Arial" w:hAnsi="Arial"/>
          <w:color w:val="888888"/>
          <w:sz w:val="18"/>
          <w:szCs w:val="18"/>
        </w:rPr>
        <w:t xml:space="preserve">TalentTree · CloudCommander · AuditAlchemist · SupportSquad</w:t>
      </w:r>
    </w:p>
    <w:p>
      <w:pPr>
        <w:pBdr>
          <w:top w:val="single" w:color="14213D" w:sz="2" w:space="8"/>
        </w:pBdr>
        <w:spacing w:after="80" w:before="200"/>
        <w:jc w:val="center"/>
      </w:pPr>
      <w:r>
        <w:rPr>
          <w:rFonts w:ascii="Arial" w:cs="Arial" w:eastAsia="Arial" w:hAnsi="Arial"/>
          <w:color w:val="888888"/>
          <w:sz w:val="22"/>
          <w:szCs w:val="22"/>
        </w:rPr>
        <w:t xml:space="preserve">May 2026</w:t>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4213D"/>
          <w:sz w:val="32"/>
          <w:szCs w:val="32"/>
        </w:rPr>
        <w:t xml:space="preserve">1. All 12 B2B SaaS Concepts: Master Evaluation Grid</w:t>
      </w:r>
    </w:p>
    <w:p>
      <w:pPr>
        <w:spacing w:after="160"/>
      </w:pPr>
      <w:r>
        <w:rPr>
          <w:rFonts w:ascii="Arial" w:cs="Arial" w:eastAsia="Arial" w:hAnsi="Arial"/>
          <w:color w:val="333333"/>
          <w:sz w:val="22"/>
          <w:szCs w:val="22"/>
        </w:rPr>
        <w:t xml:space="preserve">Each concept evaluated across seven dimensions. Stars represent comparative strength within this set, not absolute market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000"/>
        <w:gridCol w:w="1000"/>
        <w:gridCol w:w="1000"/>
        <w:gridCol w:w="1000"/>
        <w:gridCol w:w="1100"/>
        <w:gridCol w:w="1326"/>
      </w:tblGrid>
      <w:tr>
        <w:tc>
          <w:tcPr>
            <w:tcW w:type="dxa" w:w="1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11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Genre</w:t>
            </w:r>
          </w:p>
        </w:tc>
        <w:tc>
          <w:tcPr>
            <w:tcW w:type="dxa" w:w="1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Daily Trigger</w:t>
            </w:r>
          </w:p>
        </w:tc>
        <w:tc>
          <w:tcPr>
            <w:tcW w:type="dxa" w:w="1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Revenue</w:t>
            </w:r>
          </w:p>
        </w:tc>
        <w:tc>
          <w:tcPr>
            <w:tcW w:type="dxa" w:w="1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Solo Build</w:t>
            </w:r>
          </w:p>
        </w:tc>
        <w:tc>
          <w:tcPr>
            <w:tcW w:type="dxa" w:w="1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Scalability</w:t>
            </w:r>
          </w:p>
        </w:tc>
        <w:tc>
          <w:tcPr>
            <w:tcW w:type="dxa" w:w="11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Dark Persona Risk</w:t>
            </w:r>
          </w:p>
        </w:tc>
        <w:tc>
          <w:tcPr>
            <w:tcW w:type="dxa" w:w="1326"/>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Portfolio Signal</w:t>
            </w:r>
          </w:p>
        </w:tc>
      </w:tr>
      <w:tr>
        <w:tc>
          <w:tcPr>
            <w:tcW w:type="dxa" w:w="15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SyncTower</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Tower Defence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IntegriPet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Virtual Pet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FailRun</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Roguelike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PipeFlow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Flow Puzzle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SprintQuest</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RPG</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ChurnShield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Base Defence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ComplianceCrawler</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Dungeon Crawler</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SalesSim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Tycoon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TalentTree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Skill Tree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3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CloudCommander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AuditAlchemist</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Logic Puzzle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SupportSquad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Wave Defence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t>
            </w:r>
          </w:p>
        </w:tc>
      </w:tr>
    </w:tbl>
    <w:p>
      <w:pPr>
        <w:spacing w:after="80"/>
      </w:pPr>
    </w:p>
    <w:p>
      <w:pPr>
        <w:pStyle w:val="Heading1"/>
        <w:spacing w:after="160" w:before="360"/>
      </w:pPr>
      <w:r>
        <w:rPr>
          <w:rFonts w:ascii="Arial" w:cs="Arial" w:eastAsia="Arial" w:hAnsi="Arial"/>
          <w:b/>
          <w:bCs/>
          <w:color w:val="14213D"/>
          <w:sz w:val="32"/>
          <w:szCs w:val="32"/>
        </w:rPr>
        <w:t xml:space="preserve">2. Dark Persona Heat Map: All 12 Concepts</w:t>
      </w:r>
    </w:p>
    <w:p>
      <w:pPr>
        <w:spacing w:after="160"/>
      </w:pPr>
      <w:r>
        <w:rPr>
          <w:rFonts w:ascii="Arial" w:cs="Arial" w:eastAsia="Arial" w:hAnsi="Arial"/>
          <w:color w:val="333333"/>
          <w:sz w:val="22"/>
          <w:szCs w:val="22"/>
        </w:rPr>
        <w:t xml:space="preserve">Six recurring B2B dark personas tested against all 12 concepts. Rating indicates how vulnerable each concept is to that specific 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426"/>
      </w:tblGrid>
      <w:tr>
        <w:tc>
          <w:tcPr>
            <w:tcW w:type="dxa" w:w="16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Toxic Manager</w:t>
            </w:r>
          </w:p>
        </w:tc>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Metric Gamer</w:t>
            </w:r>
          </w:p>
        </w:tc>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Blame Shifter</w:t>
            </w:r>
          </w:p>
        </w:tc>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Rogue Insider</w:t>
            </w:r>
          </w:p>
        </w:tc>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Compliance Fabricator</w:t>
            </w:r>
          </w:p>
        </w:tc>
        <w:tc>
          <w:tcPr>
            <w:tcW w:type="dxa" w:w="1426"/>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Burnout Vector</w:t>
            </w:r>
          </w:p>
        </w:tc>
      </w:tr>
      <w:tr>
        <w:tc>
          <w:tcPr>
            <w:tcW w:type="dxa" w:w="16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SyncTower</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4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IntegriPet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FailRun</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4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PipeFlow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r>
      <w:tr>
        <w:tc>
          <w:tcPr>
            <w:tcW w:type="dxa" w:w="16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SprintQuest</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4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ChurnShield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ComplianceCrawler</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4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SalesSim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r>
      <w:tr>
        <w:tc>
          <w:tcPr>
            <w:tcW w:type="dxa" w:w="16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TalentTree</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4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CloudCommander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r>
      <w:tr>
        <w:tc>
          <w:tcPr>
            <w:tcW w:type="dxa" w:w="16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AuditAlchemist</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4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SupportSquad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CRITICAL</w:t>
            </w:r>
          </w:p>
        </w:tc>
      </w:tr>
    </w:tbl>
    <w:p>
      <w:pPr>
        <w:spacing w:after="80"/>
      </w:pPr>
    </w:p>
    <w:p>
      <w:pPr>
        <w:pStyle w:val="Heading2"/>
        <w:spacing w:after="160" w:before="240"/>
      </w:pPr>
      <w:r>
        <w:rPr>
          <w:rFonts w:ascii="Arial" w:cs="Arial" w:eastAsia="Arial" w:hAnsi="Arial"/>
          <w:b/>
          <w:bCs/>
          <w:color w:val="14213D"/>
          <w:sz w:val="26"/>
          <w:szCs w:val="26"/>
        </w:rPr>
        <w:t xml:space="preserve">Heat Map Analysis</w:t>
      </w:r>
    </w:p>
    <w:p>
      <w:pPr>
        <w:spacing w:after="160"/>
      </w:pPr>
      <w:r>
        <w:rPr>
          <w:rFonts w:ascii="Arial" w:cs="Arial" w:eastAsia="Arial" w:hAnsi="Arial"/>
          <w:b/>
          <w:bCs/>
          <w:color w:val="1B5E20"/>
          <w:sz w:val="22"/>
          <w:szCs w:val="22"/>
        </w:rPr>
        <w:t xml:space="preserve">Safest concept: </w:t>
      </w:r>
      <w:r>
        <w:rPr>
          <w:rFonts w:ascii="Arial" w:cs="Arial" w:eastAsia="Arial" w:hAnsi="Arial"/>
          <w:color w:val="333333"/>
          <w:sz w:val="22"/>
          <w:szCs w:val="22"/>
        </w:rPr>
        <w:t xml:space="preserve">CloudCommander. Only one CRITICAL-adjacent rating (Rogue Insider, which is universal to all B2B tools). No CRITICAL ratings for Toxic Manager, Metric Gamer, or Burnout. The RTS metaphor manages infrastructure, not people — that’s why it’s safer.</w:t>
      </w:r>
    </w:p>
    <w:p>
      <w:pPr>
        <w:spacing w:after="80"/>
      </w:pPr>
    </w:p>
    <w:p>
      <w:pPr>
        <w:spacing w:after="160"/>
      </w:pPr>
      <w:r>
        <w:rPr>
          <w:rFonts w:ascii="Arial" w:cs="Arial" w:eastAsia="Arial" w:hAnsi="Arial"/>
          <w:b/>
          <w:bCs/>
          <w:color w:val="8B0000"/>
          <w:sz w:val="22"/>
          <w:szCs w:val="22"/>
        </w:rPr>
        <w:t xml:space="preserve">Most dangerous concepts: </w:t>
      </w:r>
      <w:r>
        <w:rPr>
          <w:rFonts w:ascii="Arial" w:cs="Arial" w:eastAsia="Arial" w:hAnsi="Arial"/>
          <w:color w:val="333333"/>
          <w:sz w:val="22"/>
          <w:szCs w:val="22"/>
        </w:rPr>
        <w:t xml:space="preserve">SalesSim and TalentTree. Both produce individual human performance data gamified into visible metrics. Sales pipeline scores and skill tree branch sizes are ranking systems that will be weaponised by management. These are the two concepts most likely to cause real workplace harm.</w:t>
      </w:r>
    </w:p>
    <w:p>
      <w:pPr>
        <w:spacing w:after="80"/>
      </w:pPr>
    </w:p>
    <w:p>
      <w:pPr>
        <w:spacing w:after="160"/>
      </w:pPr>
      <w:r>
        <w:rPr>
          <w:rFonts w:ascii="Arial" w:cs="Arial" w:eastAsia="Arial" w:hAnsi="Arial"/>
          <w:b/>
          <w:bCs/>
          <w:color w:val="8B0000"/>
          <w:sz w:val="22"/>
          <w:szCs w:val="22"/>
        </w:rPr>
        <w:t xml:space="preserve">Most pervasive persona: </w:t>
      </w:r>
      <w:r>
        <w:rPr>
          <w:rFonts w:ascii="Arial" w:cs="Arial" w:eastAsia="Arial" w:hAnsi="Arial"/>
          <w:color w:val="333333"/>
          <w:sz w:val="22"/>
          <w:szCs w:val="22"/>
        </w:rPr>
        <w:t xml:space="preserve">The Toxic Manager appears at CRITICAL level in 5 of 12 concepts (IntegriPet, FailRun, SprintQuest, SalesSim, TalentTree) and HIGH in 4 more. This is not a product-specific risk — it’s a category risk for any B2B gamification tool that produces individual performance data.</w:t>
      </w:r>
    </w:p>
    <w:p>
      <w:pPr>
        <w:pBdr>
          <w:bottom w:val="single" w:color="8B0000" w:sz="4" w:space="4"/>
        </w:pBdr>
        <w:spacing w:after="200" w:before="200"/>
      </w:pPr>
    </w:p>
    <w:p>
      <w:pPr>
        <w:pStyle w:val="Heading1"/>
        <w:spacing w:after="160" w:before="360"/>
      </w:pPr>
      <w:r>
        <w:rPr>
          <w:rFonts w:ascii="Arial" w:cs="Arial" w:eastAsia="Arial" w:hAnsi="Arial"/>
          <w:b/>
          <w:bCs/>
          <w:color w:val="14213D"/>
          <w:sz w:val="32"/>
          <w:szCs w:val="32"/>
        </w:rPr>
        <w:t xml:space="preserve">3. Red Team Scenarios: Adversarial Use Cases</w:t>
      </w:r>
    </w:p>
    <w:p>
      <w:pPr>
        <w:spacing w:after="160"/>
      </w:pPr>
      <w:r>
        <w:rPr>
          <w:rFonts w:ascii="Arial" w:cs="Arial" w:eastAsia="Arial" w:hAnsi="Arial"/>
          <w:color w:val="333333"/>
          <w:sz w:val="22"/>
          <w:szCs w:val="22"/>
        </w:rPr>
        <w:t xml:space="preserve">Red teaming goes beyond dark personas. These are multi-step adversarial scenarios where a motivated bad actor chains multiple features or exploits systemic weaknesses. Each scenario is tested against a specific concept.</w:t>
      </w:r>
    </w:p>
    <w:p>
      <w:pPr>
        <w:pStyle w:val="Heading2"/>
        <w:spacing w:after="160" w:before="240"/>
      </w:pPr>
      <w:r>
        <w:rPr>
          <w:rFonts w:ascii="Arial" w:cs="Arial" w:eastAsia="Arial" w:hAnsi="Arial"/>
          <w:b/>
          <w:bCs/>
          <w:color w:val="8B0000"/>
          <w:sz w:val="26"/>
          <w:szCs w:val="26"/>
        </w:rPr>
        <w:t xml:space="preserve">RED TEAM 1: The Performance Improvement Plan Factory</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SprintQuest, SalesSim, or TalentTree</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HR director seeking to build termination cases</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Mandate gamified tool for all teams. Step 2: Set aggressive XP targets aligned with ‘company goals.’ Step 3: After 90 days, pull individual XP data, quest completion rates, and skill tree progress. Step 4: Place bottom-quartile performers on Performance Improvement Plans using gamified metrics as ‘objective evidence.’ Step 5: When PIPs fail (they always do when metrics are gamed), terminate with documented ‘data-driven’ justification. The gamification system becomes a legal weapon for constructive dismissal.</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Wrongful termination lawsuits. Employment tribunal risk. Destruction of company culture. Engineers and salespeople refuse to use any gamified tool industry-wide — poisoning the market for everyone.</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Individual XP, quest data, and skill tree progress are NEVER exportable in any format that could be used in HR proceedings. The system’s Terms of Service explicitly prohibit use of gamified data in performance reviews, PIPs, or termination processes. Legal language: ‘Data produced by this system is for individual development purposes only and may not be used as evidence in employment decisions.’</w:t>
      </w:r>
    </w:p>
    <w:p>
      <w:pPr>
        <w:spacing w:after="80"/>
      </w:pPr>
    </w:p>
    <w:p>
      <w:pPr>
        <w:pStyle w:val="Heading2"/>
        <w:spacing w:after="160" w:before="240"/>
      </w:pPr>
      <w:r>
        <w:rPr>
          <w:rFonts w:ascii="Arial" w:cs="Arial" w:eastAsia="Arial" w:hAnsi="Arial"/>
          <w:b/>
          <w:bCs/>
          <w:color w:val="8B0000"/>
          <w:sz w:val="26"/>
          <w:szCs w:val="26"/>
        </w:rPr>
        <w:t xml:space="preserve">RED TEAM 2: The Compliance Theatre Production</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ComplianceCrawler or AuditAlchemist</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CTO at a startup preparing for a Series B due diligence audit</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Purchase ComplianceCrawler two weeks before audit. Step 2: Speed-run the GDPR dungeon, clicking through compliance checkpoints without implementing any actual controls. Step 3: Export the ‘dungeon completed’ certificate. Step 4: Present to auditors as evidence of GDPR compliance. Step 5: Receive Series B funding based partly on compliance claims. Step 6: Six months later, a data breach exposes that no actual GDPR controls were implemented. The dungeon completion was theatre.</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Investor fraud (misrepresentation of compliance status). Data breach affecting real users. Regulatory penalties (ICO fines up to £17.5M or 4% of global turnover). The platform’s reputation is destroyed because its output was used as fraudulent evidence.</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Dungeon completion requires evidence uploads at each checkpoint (screenshot of implemented control, link to policy document, configuration proof). The completion certificate includes a disclaimer: ‘This certificate confirms engagement with the compliance framework. It does not constitute a compliance audit or certification. Independent verification is required.’ Speed-run detection: completing an entire GDPR dungeon in under 2 hours flags the account for review.</w:t>
      </w:r>
    </w:p>
    <w:p>
      <w:pPr>
        <w:spacing w:after="80"/>
      </w:pPr>
    </w:p>
    <w:p>
      <w:pPr>
        <w:pStyle w:val="Heading2"/>
        <w:spacing w:after="160" w:before="240"/>
      </w:pPr>
      <w:r>
        <w:rPr>
          <w:rFonts w:ascii="Arial" w:cs="Arial" w:eastAsia="Arial" w:hAnsi="Arial"/>
          <w:b/>
          <w:bCs/>
          <w:color w:val="8B0000"/>
          <w:sz w:val="26"/>
          <w:szCs w:val="26"/>
        </w:rPr>
        <w:t xml:space="preserve">RED TEAM 3: The Algorithmic Layoff Engine</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TalentTree</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CFO during a cost-cutting exercise</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Request export of the company skill tree. Step 2: Identify employees whose branches are narrow (few skills), stagnant (no recent growth), or redundant (same skills as another employee). Step 3: Cross-reference with salary data. Step 4: Generate a ‘redundancy shortlist’ of highest-cost, lowest-breadth employees. Step 5: Frame layoffs as ‘skills-based restructuring’ using TalentTree data as justification. The skill tree designed to develop people becomes the algorithm that fires them.</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Discriminatory dismissal risk (employees with narrow skill branches may be older, less mobile, or in protected categories). Employment tribunal exposure. Company-wide morale collapse when employees realise the development tool was used for termination targeting.</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No bulk export of skill tree data. No manager-visible view that shows individual employees by branch breadth or growth rate. The skill tree is an individual development tool — each employee sees their own tree. The aggregate company view shows skill CATEGORIES and GAP AREAS, never individual names attached to skill levels. API access to individual employee data requires the employee’s own consent, not just manager authorisation.</w:t>
      </w:r>
    </w:p>
    <w:p>
      <w:pPr>
        <w:spacing w:after="80"/>
      </w:pPr>
    </w:p>
    <w:p>
      <w:pPr>
        <w:pStyle w:val="Heading2"/>
        <w:spacing w:after="160" w:before="240"/>
      </w:pPr>
      <w:r>
        <w:rPr>
          <w:rFonts w:ascii="Arial" w:cs="Arial" w:eastAsia="Arial" w:hAnsi="Arial"/>
          <w:b/>
          <w:bCs/>
          <w:color w:val="8B0000"/>
          <w:sz w:val="26"/>
          <w:szCs w:val="26"/>
        </w:rPr>
        <w:t xml:space="preserve">RED TEAM 4: The Churn Intelligence Extraction</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ChurnShield</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Competitor’s sales team member who is also a customer</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Competitor purchases ChurnShield for their own CS team (legitimate use). Step 2: Internal champion at competitor also has a sales role. Step 3: During a sales call with a shared prospect, they reference patterns observed in ChurnShield’s aggregate dashboards: ‘We’ve noticed companies in your industry typically churn from [competitor product] within 9 months. Here’s how we prevent that.’ Step 4: The ‘aggregate insight’ was actually derived from cross-customer churn patterns visible in ChurnShield’s analytics.</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Cross-customer data leakage used for competitive sales. Trust violation if customers discover their churn data informed a competitor’s pitch. Potential GDPR violation if churn data contains PII.</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No cross-customer aggregate analytics. Each customer’s fortress is isolated. No benchmarking feature that reveals industry-level churn patterns derived from other customers’ data. Aggregate insights, if ever produced, require explicit opt-in from all contributing customers.</w:t>
      </w:r>
    </w:p>
    <w:p>
      <w:pPr>
        <w:spacing w:after="80"/>
      </w:pPr>
    </w:p>
    <w:p>
      <w:pPr>
        <w:pStyle w:val="Heading2"/>
        <w:spacing w:after="160" w:before="240"/>
      </w:pPr>
      <w:r>
        <w:rPr>
          <w:rFonts w:ascii="Arial" w:cs="Arial" w:eastAsia="Arial" w:hAnsi="Arial"/>
          <w:b/>
          <w:bCs/>
          <w:color w:val="8B0000"/>
          <w:sz w:val="26"/>
          <w:szCs w:val="26"/>
        </w:rPr>
        <w:t xml:space="preserve">RED TEAM 5: The Insider Sabotage Cascade</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CloudCommander</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Disgruntled DevOps engineer with admin access</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Engineer gives notice. Step 2: During notice period, subtly reduces resource allocations across non-critical services using CloudCommander’s RTS interface. Each change is small enough to not trigger alerts. Step 3: After departure, the cumulative effect surfaces: services start failing due to insufficient resources. Step 4: The changes were made through the legitimate optimisation interface, making them indistinguishable from normal cost-optimisation work. Step 5: Recovery requires identifying and reversing dozens of small configuration changes across the entire infrastructure.</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Progressive service degradation. Difficult to diagnose because each individual change was ‘reasonable.’ Recovery time measured in days, not hours. Customer-facing impact from accumulated under-provisioning.</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All resource allocation changes are audit-logged with before/after states and attributed to specific users. Changes by employees in their notice period are flagged for review. Automated anomaly detection: if cumulative resource reduction across services exceeds N% in a rolling 7-day window, alert the infrastructure lead. One-click rollback to a snapshot from any point in the last 30 days.</w:t>
      </w:r>
    </w:p>
    <w:p>
      <w:pPr>
        <w:spacing w:after="80"/>
      </w:pPr>
    </w:p>
    <w:p>
      <w:pPr>
        <w:pStyle w:val="Heading2"/>
        <w:spacing w:after="160" w:before="240"/>
      </w:pPr>
      <w:r>
        <w:rPr>
          <w:rFonts w:ascii="Arial" w:cs="Arial" w:eastAsia="Arial" w:hAnsi="Arial"/>
          <w:b/>
          <w:bCs/>
          <w:color w:val="8B0000"/>
          <w:sz w:val="26"/>
          <w:szCs w:val="26"/>
        </w:rPr>
        <w:t xml:space="preserve">RED TEAM 6: The Pet-Guilt Harassment Campaign</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IntegriPet</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Passive-aggressive engineering manager</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Manager screenshots the shared habitat daily. Step 2: Posts screenshots in the team Slack channel with commentary: ‘Rough day for our Salesforce pet. Again.’ Step 3: Never directly names the responsible engineer but everyone knows. Step 4: The engineer responsible for the Salesforce integration begins checking IntegriPet obsessively — evenings, weekends, holidays. Step 5: The engineer burns out and quits. Step 6: Manager hires a replacement, points to the pet’s health decline as evidence that the previous engineer was underperforming. The pet health record becomes a posthumous performance review.</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Targeted harassment disguised as team transparency. Burnout driven by guilt, not workload. The emotional mechanism designed for empathy becomes a weapon for cruelty. The departing engineer’s pet health history becomes a permanent record of their ‘failure.’</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Shared habitat shows aggregate health only — no individual pets visible to anyone except the assigned engineer. No screenshot-friendly view of individual pet health. Pet health history is purged when responsibility transfers to a new engineer. The previous engineer’s care record does not carry over. Manager habitat view shows: ‘Integration health: 4/5 integrations healthy. 1 needs attention.’ Never: ‘The Salesforce pet is dying.’</w:t>
      </w:r>
    </w:p>
    <w:p>
      <w:pPr>
        <w:spacing w:after="80"/>
      </w:pPr>
    </w:p>
    <w:p>
      <w:pPr>
        <w:pStyle w:val="Heading2"/>
        <w:spacing w:after="160" w:before="240"/>
      </w:pPr>
      <w:r>
        <w:rPr>
          <w:rFonts w:ascii="Arial" w:cs="Arial" w:eastAsia="Arial" w:hAnsi="Arial"/>
          <w:b/>
          <w:bCs/>
          <w:color w:val="8B0000"/>
          <w:sz w:val="26"/>
          <w:szCs w:val="26"/>
        </w:rPr>
        <w:t xml:space="preserve">RED TEAM 7: The Speedrun Cover-Up</w:t>
      </w:r>
    </w:p>
    <w:p>
      <w:pPr>
        <w:spacing w:after="160"/>
      </w:pPr>
      <w:r>
        <w:rPr>
          <w:rFonts w:ascii="Arial" w:cs="Arial" w:eastAsia="Arial" w:hAnsi="Arial"/>
          <w:b/>
          <w:bCs/>
          <w:color w:val="14213D"/>
          <w:sz w:val="22"/>
          <w:szCs w:val="22"/>
        </w:rPr>
        <w:t xml:space="preserve">Target: </w:t>
      </w:r>
      <w:r>
        <w:rPr>
          <w:rFonts w:ascii="Arial" w:cs="Arial" w:eastAsia="Arial" w:hAnsi="Arial"/>
          <w:color w:val="333333"/>
          <w:sz w:val="22"/>
          <w:szCs w:val="22"/>
        </w:rPr>
        <w:t xml:space="preserve">FailRun</w:t>
      </w:r>
    </w:p>
    <w:p>
      <w:pPr>
        <w:spacing w:after="160"/>
      </w:pPr>
      <w:r>
        <w:rPr>
          <w:rFonts w:ascii="Arial" w:cs="Arial" w:eastAsia="Arial" w:hAnsi="Arial"/>
          <w:b/>
          <w:bCs/>
          <w:color w:val="14213D"/>
          <w:sz w:val="22"/>
          <w:szCs w:val="22"/>
        </w:rPr>
        <w:t xml:space="preserve">Attacker: </w:t>
      </w:r>
      <w:r>
        <w:rPr>
          <w:rFonts w:ascii="Arial" w:cs="Arial" w:eastAsia="Arial" w:hAnsi="Arial"/>
          <w:color w:val="333333"/>
          <w:sz w:val="22"/>
          <w:szCs w:val="22"/>
        </w:rPr>
        <w:t xml:space="preserve">Senior engineer covering up a root cause they introduced</w:t>
      </w:r>
    </w:p>
    <w:p>
      <w:pPr>
        <w:spacing w:after="160"/>
      </w:pPr>
      <w:r>
        <w:rPr>
          <w:rFonts w:ascii="Arial" w:cs="Arial" w:eastAsia="Arial" w:hAnsi="Arial"/>
          <w:b/>
          <w:bCs/>
          <w:color w:val="14213D"/>
          <w:sz w:val="22"/>
          <w:szCs w:val="22"/>
        </w:rPr>
        <w:t xml:space="preserve">Attack chain: </w:t>
      </w:r>
      <w:r>
        <w:rPr>
          <w:rFonts w:ascii="Arial" w:cs="Arial" w:eastAsia="Arial" w:hAnsi="Arial"/>
          <w:color w:val="333333"/>
          <w:sz w:val="22"/>
          <w:szCs w:val="22"/>
        </w:rPr>
        <w:t xml:space="preserve">Step 1: Senior engineer deploys a configuration change that introduces a latent integration failure. Step 2: Failure surfaces as an incident. Step 3: The same engineer enters FailRun as the incident responder. Step 4: They know the root cause because they created it. They speedrun directly to the fix, skipping all diagnostic rooms. Step 5: Run record shows a 4-minute resolution with zero dead ends. The Codex entry documents the fix but not the cause. Step 6: Nobody investigates further because the Codex says the incident was resolved cleanly. The configuration error that caused it remains undocumented.</w:t>
      </w:r>
    </w:p>
    <w:p>
      <w:pPr>
        <w:spacing w:after="160"/>
      </w:pPr>
      <w:r>
        <w:rPr>
          <w:rFonts w:ascii="Arial" w:cs="Arial" w:eastAsia="Arial" w:hAnsi="Arial"/>
          <w:b/>
          <w:bCs/>
          <w:color w:val="14213D"/>
          <w:sz w:val="22"/>
          <w:szCs w:val="22"/>
        </w:rPr>
        <w:t xml:space="preserve">Damage: </w:t>
      </w:r>
      <w:r>
        <w:rPr>
          <w:rFonts w:ascii="Arial" w:cs="Arial" w:eastAsia="Arial" w:hAnsi="Arial"/>
          <w:color w:val="333333"/>
          <w:sz w:val="22"/>
          <w:szCs w:val="22"/>
        </w:rPr>
        <w:t xml:space="preserve">Root cause suppression. The engineer’s mistake is hidden behind a ‘clean run.’ The same failure pattern can recur because the Codex doesn’t document the actual cause. Institutional knowledge is corrupted by deliberate omission.</w:t>
      </w:r>
    </w:p>
    <w:p>
      <w:pPr>
        <w:spacing w:after="160"/>
      </w:pPr>
      <w:r>
        <w:rPr>
          <w:rFonts w:ascii="Arial" w:cs="Arial" w:eastAsia="Arial" w:hAnsi="Arial"/>
          <w:b/>
          <w:bCs/>
          <w:color w:val="14213D"/>
          <w:sz w:val="22"/>
          <w:szCs w:val="22"/>
        </w:rPr>
        <w:t xml:space="preserve">Countermeasure: </w:t>
      </w:r>
      <w:r>
        <w:rPr>
          <w:rFonts w:ascii="Arial" w:cs="Arial" w:eastAsia="Arial" w:hAnsi="Arial"/>
          <w:color w:val="333333"/>
          <w:sz w:val="22"/>
          <w:szCs w:val="22"/>
        </w:rPr>
        <w:t xml:space="preserve">Correlation engine: if the same engineer who deployed the last configuration change also resolves the subsequent incident, flag for independent review. Runs under 5 minutes on incidents that affect customer data require a peer review of the Codex entry. The Codex entry must include a ‘root cause category’ field that is validated against the diagnostic path — a root cause of ‘configuration error’ is flagged if no configuration-checking room was visited.</w:t>
      </w:r>
    </w:p>
    <w:p>
      <w:pPr>
        <w:spacing w:after="80"/>
      </w:pPr>
    </w:p>
    <w:p>
      <w:pPr>
        <w:pBdr>
          <w:bottom w:val="single" w:color="14213D" w:sz="4" w:space="4"/>
        </w:pBdr>
        <w:spacing w:after="200" w:before="200"/>
      </w:pPr>
    </w:p>
    <w:p>
      <w:pPr>
        <w:pStyle w:val="Heading1"/>
        <w:spacing w:after="160" w:before="360"/>
      </w:pPr>
      <w:r>
        <w:rPr>
          <w:rFonts w:ascii="Arial" w:cs="Arial" w:eastAsia="Arial" w:hAnsi="Arial"/>
          <w:b/>
          <w:bCs/>
          <w:color w:val="14213D"/>
          <w:sz w:val="32"/>
          <w:szCs w:val="32"/>
        </w:rPr>
        <w:t xml:space="preserve">4. Final Classification: Keep, Redesign, or 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200"/>
        <w:gridCol w:w="3026"/>
      </w:tblGrid>
      <w:tr>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1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Reasoning</w:t>
            </w:r>
          </w:p>
        </w:tc>
        <w:tc>
          <w:tcPr>
            <w:tcW w:type="dxa" w:w="3026"/>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r>
      <w:tr>
        <w:tc>
          <w:tcPr>
            <w:tcW w:type="dxa" w:w="18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CloudCommander</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b/>
                <w:bCs/>
                <w:color w:val="333333"/>
                <w:sz w:val="19"/>
                <w:szCs w:val="19"/>
              </w:rPr>
              <w:t xml:space="preserve">KEEP</w:t>
            </w:r>
          </w:p>
        </w:tc>
        <w:tc>
          <w:tcPr>
            <w:tcW w:type="dxa" w:w="3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Lowest dark persona risk. Manages infrastructure, not people. Clear buyer. RTS metaphor is natural. Scalable. Strongest across all dimensions.</w:t>
            </w:r>
          </w:p>
        </w:tc>
        <w:tc>
          <w:tcPr>
            <w:tcW w:type="dxa" w:w="30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Standard insider-threat mitigations. Audit logging. Anomaly detection on cumulative resource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ChurnShield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KEEP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Strong buyer (CS leaders). SyncTower variant with better metaphor fit. Retention and revenue both strong. Customer base as fortress is intuitive.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 cross-customer analytics. Individual CSM performance private. Churn intelligence never aggregated across tenants.</w:t>
            </w:r>
          </w:p>
        </w:tc>
      </w:tr>
      <w:tr>
        <w:tc>
          <w:tcPr>
            <w:tcW w:type="dxa" w:w="18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PipeFlow</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b/>
                <w:bCs/>
                <w:color w:val="333333"/>
                <w:sz w:val="19"/>
                <w:szCs w:val="19"/>
              </w:rPr>
              <w:t xml:space="preserve">KEEP</w:t>
            </w:r>
          </w:p>
        </w:tc>
        <w:tc>
          <w:tcPr>
            <w:tcW w:type="dxa" w:w="3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Strongest visual metaphor. Executive-friendly. Highest scalability rating. Network view is the killer feature and the biggest risk simultaneously.</w:t>
            </w:r>
          </w:p>
        </w:tc>
        <w:tc>
          <w:tcPr>
            <w:tcW w:type="dxa" w:w="30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Network view watermarked and audit-logged. No bulk export. Flush/Widen actions flagged if repeated without Seal.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SyncTower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KEEP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Original concept. Strong spatial metaphor. Tower placement as security architecture is genuinely novel. Metric gaming is the primary risk.</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Efficiency scoring weighted by lane criticality. Tower history immutable. Individual placement data private.</w:t>
            </w:r>
          </w:p>
        </w:tc>
      </w:tr>
      <w:tr>
        <w:tc>
          <w:tcPr>
            <w:tcW w:type="dxa" w:w="18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FailRun</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b/>
                <w:bCs/>
                <w:color w:val="333333"/>
                <w:sz w:val="19"/>
                <w:szCs w:val="19"/>
              </w:rPr>
              <w:t xml:space="preserve">KEEP</w:t>
            </w:r>
          </w:p>
        </w:tc>
        <w:tc>
          <w:tcPr>
            <w:tcW w:type="dxa" w:w="3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Unique value: builds institutional knowledge from incidents. Codex is a genuine competitive moat. Blame Shifter and Speedrun risks are real but addressable.</w:t>
            </w:r>
          </w:p>
        </w:tc>
        <w:tc>
          <w:tcPr>
            <w:tcW w:type="dxa" w:w="30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First run only in Codex. Correlation engine for self-caused incidents. Minimum diagnostic room requirement for scored 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ComplianceCrawler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REDESIGN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Legitimate buyer. Real problem. But compliance theatre risk is severe. The gamified completion certificate is the attack surface.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Evidence upload at each checkpoint. Certificate includes explicit non-certification disclaimer. Speed-run detection.</w:t>
            </w:r>
          </w:p>
        </w:tc>
      </w:tr>
      <w:tr>
        <w:tc>
          <w:tcPr>
            <w:tcW w:type="dxa" w:w="18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AuditAlchemist</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b/>
                <w:bCs/>
                <w:color w:val="333333"/>
                <w:sz w:val="19"/>
                <w:szCs w:val="19"/>
              </w:rPr>
              <w:t xml:space="preserve">REDESIGN</w:t>
            </w:r>
          </w:p>
        </w:tc>
        <w:tc>
          <w:tcPr>
            <w:tcW w:type="dxa" w:w="3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Clever game design (Papers, Please mapping). But teaches fraud detection patterns to fraudsters. Compliance fabrication risk.</w:t>
            </w:r>
          </w:p>
        </w:tc>
        <w:tc>
          <w:tcPr>
            <w:tcW w:type="dxa" w:w="30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Puzzle logic varies per session (procedurally generated rules). Anomaly detection rules never fully exposed. Completion reports include caveat.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IntegriPet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REDESIGN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Strongest engagement mechanic. But emotional manipulation layer creates the worst Toxic Manager and Burnout risks in the entire set. The same feature that makes it effective makes it dangerous.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Pets sleep outside business hours (enforced, not optional). Shared habitat shows aggregate only. Individual pet history purged on reassignment.</w:t>
            </w:r>
          </w:p>
        </w:tc>
      </w:tr>
      <w:tr>
        <w:tc>
          <w:tcPr>
            <w:tcW w:type="dxa" w:w="18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SupportSquad</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b/>
                <w:bCs/>
                <w:color w:val="333333"/>
                <w:sz w:val="19"/>
                <w:szCs w:val="19"/>
              </w:rPr>
              <w:t xml:space="preserve">CONDITIONAL</w:t>
            </w:r>
          </w:p>
        </w:tc>
        <w:tc>
          <w:tcPr>
            <w:tcW w:type="dxa" w:w="3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Burnout prevention tool that risks creating burnout. Ironic failure mode. Ticket-velocity leaderboards are the attack surface.</w:t>
            </w:r>
          </w:p>
        </w:tc>
        <w:tc>
          <w:tcPr>
            <w:tcW w:type="dxa" w:w="30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No individual ticket-velocity metrics visible to managers. Team-level wave completion only. Hard session caps.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SprintQuest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DEPRIORITISE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Gamified PM has been tried repeatedly (Habitica for teams, gamified Jira plugins). The RPG framing doesn’t solve PM’s actual problems. XP leaderboards are the Toxic Manager’s favourite weapon.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Only worth building if individual XP is permanently invisible to all other users including managers. At that point the team RPG loses its social mechanics.</w:t>
            </w:r>
          </w:p>
        </w:tc>
      </w:tr>
      <w:tr>
        <w:tc>
          <w:tcPr>
            <w:tcW w:type="dxa" w:w="18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SalesSim</w:t>
            </w:r>
          </w:p>
        </w:tc>
        <w:tc>
          <w:tcPr>
            <w:tcW w:type="dxa" w:w="10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b/>
                <w:bCs/>
                <w:color w:val="333333"/>
                <w:sz w:val="19"/>
                <w:szCs w:val="19"/>
              </w:rPr>
              <w:t xml:space="preserve">KILL</w:t>
            </w:r>
          </w:p>
        </w:tc>
        <w:tc>
          <w:tcPr>
            <w:tcW w:type="dxa" w:w="3200"/>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Sales is already the most metric-abused function in business. Adding gamification makes it worse. Pipeline scores become termination evidence. Desperate salespeople create fake pipeline entries. The PIP Factory red team scenario is almost certain to occur.</w:t>
            </w:r>
          </w:p>
        </w:tc>
        <w:tc>
          <w:tcPr>
            <w:tcW w:type="dxa" w:w="3026"/>
            <w:tcBorders>
              <w:top w:val="single" w:color="CCCCCC" w:sz="1"/>
              <w:left w:val="single" w:color="CCCCCC" w:sz="1"/>
              <w:bottom w:val="single" w:color="CCCCCC" w:sz="1"/>
              <w:right w:val="single" w:color="CCCCCC" w:sz="1"/>
            </w:tcBorders>
            <w:shd w:fill="ECF0F7" w:val="clear"/>
            <w:tcMar>
              <w:top w:type="dxa" w:w="80"/>
              <w:left w:type="dxa" w:w="120"/>
              <w:bottom w:type="dxa" w:w="80"/>
              <w:right w:type="dxa" w:w="120"/>
            </w:tcMar>
          </w:tcPr>
          <w:p>
            <w:r>
              <w:rPr>
                <w:rFonts w:ascii="Arial" w:cs="Arial" w:eastAsia="Arial" w:hAnsi="Arial"/>
                <w:color w:val="333333"/>
                <w:sz w:val="19"/>
                <w:szCs w:val="19"/>
              </w:rPr>
              <w:t xml:space="preserve">No mitigation makes this safe. The core value proposition (gamify sales performance) is inseparable from the risk (weaponise sales performance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TalentTree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KILL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Skill tree mapping of individual employees is a redundancy targeting tool. The Algorithmic Layoff Engine red team scenario is not hypothetical — it’s exactly what a CFO would do. The development tool becomes the firing tool.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 mitigation makes this safe. Individual skill data visible to management WILL be used for termination targeting. The core concept requires management visibility to be useful for its stated purpose (identifying company-wide skill gaps).</w:t>
            </w:r>
          </w:p>
        </w:tc>
      </w:tr>
    </w:tbl>
    <w:p>
      <w:pPr>
        <w:spacing w:after="80"/>
      </w:pPr>
    </w:p>
    <w:p>
      <w:pPr>
        <w:pBdr>
          <w:bottom w:val="single" w:color="9B7B0A" w:sz="4" w:space="4"/>
        </w:pBdr>
        <w:spacing w:after="200" w:before="200"/>
      </w:pPr>
    </w:p>
    <w:p>
      <w:pPr>
        <w:pStyle w:val="Heading1"/>
        <w:spacing w:after="160" w:before="360"/>
      </w:pPr>
      <w:r>
        <w:rPr>
          <w:rFonts w:ascii="Arial" w:cs="Arial" w:eastAsia="Arial" w:hAnsi="Arial"/>
          <w:b/>
          <w:bCs/>
          <w:color w:val="9B7B0A"/>
          <w:sz w:val="32"/>
          <w:szCs w:val="32"/>
        </w:rPr>
        <w:t xml:space="preserve">5. The Winner: CloudCommander</w:t>
      </w:r>
    </w:p>
    <w:p>
      <w:pPr>
        <w:spacing w:after="160"/>
      </w:pPr>
      <w:r>
        <w:rPr>
          <w:rFonts w:ascii="Arial" w:cs="Arial" w:eastAsia="Arial" w:hAnsi="Arial"/>
          <w:color w:val="333333"/>
          <w:sz w:val="22"/>
          <w:szCs w:val="22"/>
        </w:rPr>
        <w:t xml:space="preserve">Across all 12 B2B SaaS concepts, evaluated on viability, scalability, innovation, dark persona resilience, and revenue potential, CloudCommander is the clear winner.</w:t>
      </w:r>
    </w:p>
    <w:p>
      <w:pPr>
        <w:pStyle w:val="Heading2"/>
        <w:spacing w:after="160" w:before="240"/>
      </w:pPr>
      <w:r>
        <w:rPr>
          <w:rFonts w:ascii="Arial" w:cs="Arial" w:eastAsia="Arial" w:hAnsi="Arial"/>
          <w:b/>
          <w:bCs/>
          <w:color w:val="9B7B0A"/>
          <w:sz w:val="26"/>
          <w:szCs w:val="26"/>
        </w:rPr>
        <w:t xml:space="preserve">Why CloudCommander Wins Every Dimension</w:t>
      </w:r>
    </w:p>
    <w:p>
      <w:pPr>
        <w:pStyle w:val="Heading3"/>
        <w:spacing w:after="160" w:before="240"/>
      </w:pPr>
      <w:r>
        <w:rPr>
          <w:rFonts w:ascii="Arial" w:cs="Arial" w:eastAsia="Arial" w:hAnsi="Arial"/>
          <w:b/>
          <w:bCs/>
          <w:color w:val="14213D"/>
          <w:sz w:val="22"/>
          <w:szCs w:val="22"/>
        </w:rPr>
        <w:t xml:space="preserve">Viability</w:t>
      </w:r>
    </w:p>
    <w:p>
      <w:pPr>
        <w:pStyle w:val="ListParagraph"/>
        <w:numPr>
          <w:ilvl w:val="0"/>
          <w:numId w:val="2"/>
        </w:numPr>
        <w:spacing w:after="80"/>
      </w:pPr>
      <w:r>
        <w:rPr>
          <w:rFonts w:ascii="Arial" w:cs="Arial" w:eastAsia="Arial" w:hAnsi="Arial"/>
          <w:color w:val="333333"/>
          <w:sz w:val="22"/>
          <w:szCs w:val="22"/>
        </w:rPr>
        <w:t xml:space="preserve">The buyer exists today: CTOs, VP Engineering, DevOps leads, and finance teams at any company spending £10K+/month on AWS/Azure/GCP.</w:t>
      </w:r>
    </w:p>
    <w:p>
      <w:pPr>
        <w:pStyle w:val="ListParagraph"/>
        <w:numPr>
          <w:ilvl w:val="0"/>
          <w:numId w:val="2"/>
        </w:numPr>
        <w:spacing w:after="80"/>
      </w:pPr>
      <w:r>
        <w:rPr>
          <w:rFonts w:ascii="Arial" w:cs="Arial" w:eastAsia="Arial" w:hAnsi="Arial"/>
          <w:color w:val="333333"/>
          <w:sz w:val="22"/>
          <w:szCs w:val="22"/>
        </w:rPr>
        <w:t xml:space="preserve">The problem is quantified: Flexera’s 2024 State of the Cloud report found that organisations estimate 28% of cloud spend is wasted. That’s billions globally.</w:t>
      </w:r>
    </w:p>
    <w:p>
      <w:pPr>
        <w:pStyle w:val="ListParagraph"/>
        <w:numPr>
          <w:ilvl w:val="0"/>
          <w:numId w:val="2"/>
        </w:numPr>
        <w:spacing w:after="80"/>
      </w:pPr>
      <w:r>
        <w:rPr>
          <w:rFonts w:ascii="Arial" w:cs="Arial" w:eastAsia="Arial" w:hAnsi="Arial"/>
          <w:color w:val="333333"/>
          <w:sz w:val="22"/>
          <w:szCs w:val="22"/>
        </w:rPr>
        <w:t xml:space="preserve">The RTS metaphor is natural, not forced: you ARE managing a base with resource constraints, supply lines (data pipelines), buildings (servers), and a budget. Unlike SalesSim or SprintQuest where the game metaphor is decorative, CloudCommander’s metaphor is structural.</w:t>
      </w:r>
    </w:p>
    <w:p>
      <w:pPr>
        <w:pStyle w:val="ListParagraph"/>
        <w:numPr>
          <w:ilvl w:val="0"/>
          <w:numId w:val="2"/>
        </w:numPr>
        <w:spacing w:after="80"/>
      </w:pPr>
      <w:r>
        <w:rPr>
          <w:rFonts w:ascii="Arial" w:cs="Arial" w:eastAsia="Arial" w:hAnsi="Arial"/>
          <w:color w:val="333333"/>
          <w:sz w:val="22"/>
          <w:szCs w:val="22"/>
        </w:rPr>
        <w:t xml:space="preserve">Competitors exist but are dashboards, not games: Spot.io, CloudHealth, Kubecost. None of them make infrastructure management feel like something you WANT to do. That’s the gap.</w:t>
      </w:r>
    </w:p>
    <w:p>
      <w:pPr>
        <w:pStyle w:val="Heading3"/>
        <w:spacing w:after="160" w:before="240"/>
      </w:pPr>
      <w:r>
        <w:rPr>
          <w:rFonts w:ascii="Arial" w:cs="Arial" w:eastAsia="Arial" w:hAnsi="Arial"/>
          <w:b/>
          <w:bCs/>
          <w:color w:val="14213D"/>
          <w:sz w:val="22"/>
          <w:szCs w:val="22"/>
        </w:rPr>
        <w:t xml:space="preserve">Scalability</w:t>
      </w:r>
    </w:p>
    <w:p>
      <w:pPr>
        <w:pStyle w:val="ListParagraph"/>
        <w:numPr>
          <w:ilvl w:val="0"/>
          <w:numId w:val="3"/>
        </w:numPr>
        <w:spacing w:after="80"/>
      </w:pPr>
      <w:r>
        <w:rPr>
          <w:rFonts w:ascii="Arial" w:cs="Arial" w:eastAsia="Arial" w:hAnsi="Arial"/>
          <w:color w:val="333333"/>
          <w:sz w:val="22"/>
          <w:szCs w:val="22"/>
        </w:rPr>
        <w:t xml:space="preserve">Cloud spend is growing 20–30% year-over-year. The market expands automatically.</w:t>
      </w:r>
    </w:p>
    <w:p>
      <w:pPr>
        <w:pStyle w:val="ListParagraph"/>
        <w:numPr>
          <w:ilvl w:val="0"/>
          <w:numId w:val="3"/>
        </w:numPr>
        <w:spacing w:after="80"/>
      </w:pPr>
      <w:r>
        <w:rPr>
          <w:rFonts w:ascii="Arial" w:cs="Arial" w:eastAsia="Arial" w:hAnsi="Arial"/>
          <w:color w:val="333333"/>
          <w:sz w:val="22"/>
          <w:szCs w:val="22"/>
        </w:rPr>
        <w:t xml:space="preserve">Multi-cloud is the norm. CloudCommander can expand from AWS-only to AWS+Azure+GCP, each cloud becoming a new ‘theatre of war’ in the RTS.</w:t>
      </w:r>
    </w:p>
    <w:p>
      <w:pPr>
        <w:pStyle w:val="ListParagraph"/>
        <w:numPr>
          <w:ilvl w:val="0"/>
          <w:numId w:val="3"/>
        </w:numPr>
        <w:spacing w:after="80"/>
      </w:pPr>
      <w:r>
        <w:rPr>
          <w:rFonts w:ascii="Arial" w:cs="Arial" w:eastAsia="Arial" w:hAnsi="Arial"/>
          <w:color w:val="333333"/>
          <w:sz w:val="22"/>
          <w:szCs w:val="22"/>
        </w:rPr>
        <w:t xml:space="preserve">Per-seat SaaS pricing scales with the customer’s team size. Larger companies = more seats = more revenue. Enterprise contracts at £1K–£5K/month.</w:t>
      </w:r>
    </w:p>
    <w:p>
      <w:pPr>
        <w:pStyle w:val="ListParagraph"/>
        <w:numPr>
          <w:ilvl w:val="0"/>
          <w:numId w:val="3"/>
        </w:numPr>
        <w:spacing w:after="80"/>
      </w:pPr>
      <w:r>
        <w:rPr>
          <w:rFonts w:ascii="Arial" w:cs="Arial" w:eastAsia="Arial" w:hAnsi="Arial"/>
          <w:color w:val="333333"/>
          <w:sz w:val="22"/>
          <w:szCs w:val="22"/>
        </w:rPr>
        <w:t xml:space="preserve">The cost-savings ROI is directly measurable: ‘CloudCommander saved you £4,200 this month by identifying and terminating 23 zombie instances.’ Self-selling value proposition.</w:t>
      </w:r>
    </w:p>
    <w:p>
      <w:pPr>
        <w:pStyle w:val="Heading3"/>
        <w:spacing w:after="160" w:before="240"/>
      </w:pPr>
      <w:r>
        <w:rPr>
          <w:rFonts w:ascii="Arial" w:cs="Arial" w:eastAsia="Arial" w:hAnsi="Arial"/>
          <w:b/>
          <w:bCs/>
          <w:color w:val="14213D"/>
          <w:sz w:val="22"/>
          <w:szCs w:val="22"/>
        </w:rPr>
        <w:t xml:space="preserve">Innovation</w:t>
      </w:r>
    </w:p>
    <w:p>
      <w:pPr>
        <w:pStyle w:val="ListParagraph"/>
        <w:numPr>
          <w:ilvl w:val="0"/>
          <w:numId w:val="4"/>
        </w:numPr>
        <w:spacing w:after="80"/>
      </w:pPr>
      <w:r>
        <w:rPr>
          <w:rFonts w:ascii="Arial" w:cs="Arial" w:eastAsia="Arial" w:hAnsi="Arial"/>
          <w:color w:val="333333"/>
          <w:sz w:val="22"/>
          <w:szCs w:val="22"/>
        </w:rPr>
        <w:t xml:space="preserve">Nobody has applied genuine game design thinking to cloud cost management. Every competitor is a dashboard with charts. CloudCommander is the first to make infrastructure management feel like a game you’re good at.</w:t>
      </w:r>
    </w:p>
    <w:p>
      <w:pPr>
        <w:pStyle w:val="ListParagraph"/>
        <w:numPr>
          <w:ilvl w:val="0"/>
          <w:numId w:val="4"/>
        </w:numPr>
        <w:spacing w:after="80"/>
      </w:pPr>
      <w:r>
        <w:rPr>
          <w:rFonts w:ascii="Arial" w:cs="Arial" w:eastAsia="Arial" w:hAnsi="Arial"/>
          <w:color w:val="333333"/>
          <w:sz w:val="22"/>
          <w:szCs w:val="22"/>
        </w:rPr>
        <w:t xml:space="preserve">The RTS genre is the most natural fit for infrastructure of any genre-to-domain mapping in the entire portfolio. This isn’t a stretch — it’s obvious once you see it.</w:t>
      </w:r>
    </w:p>
    <w:p>
      <w:pPr>
        <w:pStyle w:val="ListParagraph"/>
        <w:numPr>
          <w:ilvl w:val="0"/>
          <w:numId w:val="4"/>
        </w:numPr>
        <w:spacing w:after="80"/>
      </w:pPr>
      <w:r>
        <w:rPr>
          <w:rFonts w:ascii="Arial" w:cs="Arial" w:eastAsia="Arial" w:hAnsi="Arial"/>
          <w:color w:val="333333"/>
          <w:sz w:val="22"/>
          <w:szCs w:val="22"/>
        </w:rPr>
        <w:t xml:space="preserve">Portfolio signal is exceptional: real-time systems, data visualisation, resource optimisation algorithms, cloud API integration, RTS game design. This is the concept that most clearly demonstrates a game designer solving a real infrastructure problem.</w:t>
      </w:r>
    </w:p>
    <w:p>
      <w:pPr>
        <w:pStyle w:val="Heading3"/>
        <w:spacing w:after="160" w:before="240"/>
      </w:pPr>
      <w:r>
        <w:rPr>
          <w:rFonts w:ascii="Arial" w:cs="Arial" w:eastAsia="Arial" w:hAnsi="Arial"/>
          <w:b/>
          <w:bCs/>
          <w:color w:val="14213D"/>
          <w:sz w:val="22"/>
          <w:szCs w:val="22"/>
        </w:rPr>
        <w:t xml:space="preserve">Dark Persona Resilience</w:t>
      </w:r>
    </w:p>
    <w:p>
      <w:pPr>
        <w:pStyle w:val="ListParagraph"/>
        <w:numPr>
          <w:ilvl w:val="0"/>
          <w:numId w:val="5"/>
        </w:numPr>
        <w:spacing w:after="80"/>
      </w:pPr>
      <w:r>
        <w:rPr>
          <w:rFonts w:ascii="Arial" w:cs="Arial" w:eastAsia="Arial" w:hAnsi="Arial"/>
          <w:color w:val="333333"/>
          <w:sz w:val="22"/>
          <w:szCs w:val="22"/>
        </w:rPr>
        <w:t xml:space="preserve">CloudCommander manages infrastructure, not people. There are no individual performance metrics to weaponise. No leaderboards. No XP. No skill trees. No pet health scores. No run times. The Toxic Manager has nothing to work with.</w:t>
      </w:r>
    </w:p>
    <w:p>
      <w:pPr>
        <w:pStyle w:val="ListParagraph"/>
        <w:numPr>
          <w:ilvl w:val="0"/>
          <w:numId w:val="5"/>
        </w:numPr>
        <w:spacing w:after="80"/>
      </w:pPr>
      <w:r>
        <w:rPr>
          <w:rFonts w:ascii="Arial" w:cs="Arial" w:eastAsia="Arial" w:hAnsi="Arial"/>
          <w:color w:val="333333"/>
          <w:sz w:val="22"/>
          <w:szCs w:val="22"/>
        </w:rPr>
        <w:t xml:space="preserve">The Metric Gamer can over-optimise for cost (killing servers that are needed), but this is a standard operational risk with standard mitigations (minimum resource thresholds, approval gates for large-scale changes).</w:t>
      </w:r>
    </w:p>
    <w:p>
      <w:pPr>
        <w:pStyle w:val="ListParagraph"/>
        <w:numPr>
          <w:ilvl w:val="0"/>
          <w:numId w:val="5"/>
        </w:numPr>
        <w:spacing w:after="80"/>
      </w:pPr>
      <w:r>
        <w:rPr>
          <w:rFonts w:ascii="Arial" w:cs="Arial" w:eastAsia="Arial" w:hAnsi="Arial"/>
          <w:color w:val="333333"/>
          <w:sz w:val="22"/>
          <w:szCs w:val="22"/>
        </w:rPr>
        <w:t xml:space="preserve">The Rogue Insider is the primary risk (admin access to infrastructure configuration), but this is identical to the risk in any infrastructure management tool. CloudCommander doesn’t create new insider risk; it inherits the existing risk.</w:t>
      </w:r>
    </w:p>
    <w:p>
      <w:pPr>
        <w:pStyle w:val="ListParagraph"/>
        <w:numPr>
          <w:ilvl w:val="0"/>
          <w:numId w:val="5"/>
        </w:numPr>
        <w:spacing w:after="80"/>
      </w:pPr>
      <w:r>
        <w:rPr>
          <w:rFonts w:ascii="Arial" w:cs="Arial" w:eastAsia="Arial" w:hAnsi="Arial"/>
          <w:color w:val="333333"/>
          <w:sz w:val="22"/>
          <w:szCs w:val="22"/>
        </w:rPr>
        <w:t xml:space="preserve">No burnout risk: infrastructure monitoring doesn’t create guilt, shame, or competitive pressure. The RTS is played during work hours against the infrastructure, not against colleagues.</w:t>
      </w:r>
    </w:p>
    <w:p>
      <w:pPr>
        <w:pStyle w:val="Heading3"/>
        <w:spacing w:after="160" w:before="240"/>
      </w:pPr>
      <w:r>
        <w:rPr>
          <w:rFonts w:ascii="Arial" w:cs="Arial" w:eastAsia="Arial" w:hAnsi="Arial"/>
          <w:b/>
          <w:bCs/>
          <w:color w:val="14213D"/>
          <w:sz w:val="22"/>
          <w:szCs w:val="22"/>
        </w:rPr>
        <w:t xml:space="preserve">Revenue</w:t>
      </w:r>
    </w:p>
    <w:p>
      <w:pPr>
        <w:pStyle w:val="ListParagraph"/>
        <w:numPr>
          <w:ilvl w:val="0"/>
          <w:numId w:val="6"/>
        </w:numPr>
        <w:spacing w:after="80"/>
      </w:pPr>
      <w:r>
        <w:rPr>
          <w:rFonts w:ascii="Arial" w:cs="Arial" w:eastAsia="Arial" w:hAnsi="Arial"/>
          <w:color w:val="333333"/>
          <w:sz w:val="22"/>
          <w:szCs w:val="22"/>
        </w:rPr>
        <w:t xml:space="preserve">Self-funding value proposition: ‘The tool pays for itself by reducing your cloud bill.’ This is the strongest sales pitch in the entire set because the ROI is measurable in the customer’s own spend data.</w:t>
      </w:r>
    </w:p>
    <w:p>
      <w:pPr>
        <w:pStyle w:val="ListParagraph"/>
        <w:numPr>
          <w:ilvl w:val="0"/>
          <w:numId w:val="6"/>
        </w:numPr>
        <w:spacing w:after="80"/>
      </w:pPr>
      <w:r>
        <w:rPr>
          <w:rFonts w:ascii="Arial" w:cs="Arial" w:eastAsia="Arial" w:hAnsi="Arial"/>
          <w:color w:val="333333"/>
          <w:sz w:val="22"/>
          <w:szCs w:val="22"/>
        </w:rPr>
        <w:t xml:space="preserve">Tiered pricing: Starter (single cloud, £199/mo), Professional (multi-cloud, £599/mo), Enterprise (custom integrations, dedicated support, £2K+/mo).</w:t>
      </w:r>
    </w:p>
    <w:p>
      <w:pPr>
        <w:pStyle w:val="ListParagraph"/>
        <w:numPr>
          <w:ilvl w:val="0"/>
          <w:numId w:val="6"/>
        </w:numPr>
        <w:spacing w:after="80"/>
      </w:pPr>
      <w:r>
        <w:rPr>
          <w:rFonts w:ascii="Arial" w:cs="Arial" w:eastAsia="Arial" w:hAnsi="Arial"/>
          <w:color w:val="333333"/>
          <w:sz w:val="22"/>
          <w:szCs w:val="22"/>
        </w:rPr>
        <w:t xml:space="preserve">Revenue-share model possible: take a percentage of the savings the tool identifies. Aligns incentives perfectly: you earn more when the customer saves more.</w:t>
      </w:r>
    </w:p>
    <w:p>
      <w:pPr>
        <w:pStyle w:val="ListParagraph"/>
        <w:numPr>
          <w:ilvl w:val="0"/>
          <w:numId w:val="6"/>
        </w:numPr>
        <w:spacing w:after="80"/>
      </w:pPr>
      <w:r>
        <w:rPr>
          <w:rFonts w:ascii="Arial" w:cs="Arial" w:eastAsia="Arial" w:hAnsi="Arial"/>
          <w:color w:val="333333"/>
          <w:sz w:val="22"/>
          <w:szCs w:val="22"/>
        </w:rPr>
        <w:t xml:space="preserve">Upsell path: cloud security posture management, compliance scanning, resource forecasting. Each is a new ‘campaign’ in the RTS.</w:t>
      </w:r>
    </w:p>
    <w:p>
      <w:pPr>
        <w:pStyle w:val="Heading2"/>
        <w:spacing w:after="160" w:before="240"/>
      </w:pPr>
      <w:r>
        <w:rPr>
          <w:rFonts w:ascii="Arial" w:cs="Arial" w:eastAsia="Arial" w:hAnsi="Arial"/>
          <w:b/>
          <w:bCs/>
          <w:color w:val="14213D"/>
          <w:sz w:val="26"/>
          <w:szCs w:val="26"/>
        </w:rPr>
        <w:t xml:space="preserve">Runner-Up: ChurnShield</w:t>
      </w:r>
    </w:p>
    <w:p>
      <w:pPr>
        <w:spacing w:after="160"/>
      </w:pPr>
      <w:r>
        <w:rPr>
          <w:rFonts w:ascii="Arial" w:cs="Arial" w:eastAsia="Arial" w:hAnsi="Arial"/>
          <w:color w:val="333333"/>
          <w:sz w:val="22"/>
          <w:szCs w:val="22"/>
        </w:rPr>
        <w:t xml:space="preserve">ChurnShield is the runner-up because it has the strongest revenue model (customer retention has clear ROI for any SaaS company), the clearest buyer (CS leaders), and the tower defence metaphor maps well to churn dynamics. It loses to CloudCommander because it manages people (CS managers defending accounts), which creates the Toxic Manager and Metric Gamer attack surfaces that CloudCommander avoids by managing infrastructure.</w:t>
      </w:r>
    </w:p>
    <w:p>
      <w:pPr>
        <w:pStyle w:val="Heading2"/>
        <w:spacing w:after="160" w:before="240"/>
      </w:pPr>
      <w:r>
        <w:rPr>
          <w:rFonts w:ascii="Arial" w:cs="Arial" w:eastAsia="Arial" w:hAnsi="Arial"/>
          <w:b/>
          <w:bCs/>
          <w:color w:val="14213D"/>
          <w:sz w:val="26"/>
          <w:szCs w:val="26"/>
        </w:rPr>
        <w:t xml:space="preserve">Honourable Mention: PipeFlow + FailRun Combination</w:t>
      </w:r>
    </w:p>
    <w:p>
      <w:pPr>
        <w:spacing w:after="160"/>
      </w:pPr>
      <w:r>
        <w:rPr>
          <w:rFonts w:ascii="Arial" w:cs="Arial" w:eastAsia="Arial" w:hAnsi="Arial"/>
          <w:color w:val="333333"/>
          <w:sz w:val="22"/>
          <w:szCs w:val="22"/>
        </w:rPr>
        <w:t xml:space="preserve">PipeFlow’s network view for ongoing monitoring combined with FailRun’s roguelike for incident response is the most complete integration reliability product. PipeFlow is what you look at every day; FailRun is what you use when something breaks. Together they cover the entire operational lifecycle. But both carry higher dark persona risk than CloudCommander due to the Competitor Spy vulnerability (PipeFlow’s network view) and the Blame Shifter vulnerability (FailRun’s run records).</w:t>
      </w:r>
    </w:p>
    <w:p>
      <w:pPr>
        <w:pBdr>
          <w:bottom w:val="single" w:color="14213D" w:sz="4" w:space="4"/>
        </w:pBdr>
        <w:spacing w:after="200" w:before="200"/>
      </w:pPr>
    </w:p>
    <w:p>
      <w:pPr>
        <w:pStyle w:val="Heading1"/>
        <w:spacing w:after="160" w:before="360"/>
      </w:pPr>
      <w:r>
        <w:rPr>
          <w:rFonts w:ascii="Arial" w:cs="Arial" w:eastAsia="Arial" w:hAnsi="Arial"/>
          <w:b/>
          <w:bCs/>
          <w:color w:val="14213D"/>
          <w:sz w:val="32"/>
          <w:szCs w:val="32"/>
        </w:rPr>
        <w:t xml:space="preserve">6. Final Build Recommendation</w:t>
      </w:r>
    </w:p>
    <w:p>
      <w:pPr>
        <w:spacing w:after="160"/>
      </w:pPr>
      <w:r>
        <w:rPr>
          <w:rFonts w:ascii="Arial" w:cs="Arial" w:eastAsia="Arial" w:hAnsi="Arial"/>
          <w:b/>
          <w:bCs/>
          <w:color w:val="14213D"/>
          <w:sz w:val="22"/>
          <w:szCs w:val="22"/>
        </w:rPr>
        <w:t xml:space="preserve">Build first: </w:t>
      </w:r>
      <w:r>
        <w:rPr>
          <w:rFonts w:ascii="Arial" w:cs="Arial" w:eastAsia="Arial" w:hAnsi="Arial"/>
          <w:color w:val="333333"/>
          <w:sz w:val="22"/>
          <w:szCs w:val="22"/>
        </w:rPr>
        <w:t xml:space="preserve">CloudCommander. Lowest risk, highest scalability, clearest buyer, self-funding ROI. The product that’s hardest to argue against.</w:t>
      </w:r>
    </w:p>
    <w:p>
      <w:pPr>
        <w:spacing w:after="80"/>
      </w:pPr>
    </w:p>
    <w:p>
      <w:pPr>
        <w:spacing w:after="160"/>
      </w:pPr>
      <w:r>
        <w:rPr>
          <w:rFonts w:ascii="Arial" w:cs="Arial" w:eastAsia="Arial" w:hAnsi="Arial"/>
          <w:b/>
          <w:bCs/>
          <w:color w:val="14213D"/>
          <w:sz w:val="22"/>
          <w:szCs w:val="22"/>
        </w:rPr>
        <w:t xml:space="preserve">Build second: </w:t>
      </w:r>
      <w:r>
        <w:rPr>
          <w:rFonts w:ascii="Arial" w:cs="Arial" w:eastAsia="Arial" w:hAnsi="Arial"/>
          <w:color w:val="333333"/>
          <w:sz w:val="22"/>
          <w:szCs w:val="22"/>
        </w:rPr>
        <w:t xml:space="preserve">ChurnShield. Strong buyer, clear revenue, manageable risks with mitigations. The product that proves game design works for customer success.</w:t>
      </w:r>
    </w:p>
    <w:p>
      <w:pPr>
        <w:spacing w:after="80"/>
      </w:pPr>
    </w:p>
    <w:p>
      <w:pPr>
        <w:spacing w:after="160"/>
      </w:pPr>
      <w:r>
        <w:rPr>
          <w:rFonts w:ascii="Arial" w:cs="Arial" w:eastAsia="Arial" w:hAnsi="Arial"/>
          <w:b/>
          <w:bCs/>
          <w:color w:val="14213D"/>
          <w:sz w:val="22"/>
          <w:szCs w:val="22"/>
        </w:rPr>
        <w:t xml:space="preserve">Build third: </w:t>
      </w:r>
      <w:r>
        <w:rPr>
          <w:rFonts w:ascii="Arial" w:cs="Arial" w:eastAsia="Arial" w:hAnsi="Arial"/>
          <w:color w:val="333333"/>
          <w:sz w:val="22"/>
          <w:szCs w:val="22"/>
        </w:rPr>
        <w:t xml:space="preserve">PipeFlow + FailRun as a combined integration reliability platform. This is the product from the original strategy document, delivered through two complementary game lenses. Higher risk, higher differentiation, higher portfolio signal.</w:t>
      </w:r>
    </w:p>
    <w:p>
      <w:pPr>
        <w:spacing w:after="80"/>
      </w:pPr>
    </w:p>
    <w:p>
      <w:pPr>
        <w:spacing w:after="160"/>
      </w:pPr>
      <w:r>
        <w:rPr>
          <w:rFonts w:ascii="Arial" w:cs="Arial" w:eastAsia="Arial" w:hAnsi="Arial"/>
          <w:b/>
          <w:bCs/>
          <w:color w:val="14213D"/>
          <w:sz w:val="22"/>
          <w:szCs w:val="22"/>
        </w:rPr>
        <w:t xml:space="preserve">Keep as portfolio pieces: </w:t>
      </w:r>
      <w:r>
        <w:rPr>
          <w:rFonts w:ascii="Arial" w:cs="Arial" w:eastAsia="Arial" w:hAnsi="Arial"/>
          <w:color w:val="333333"/>
          <w:sz w:val="22"/>
          <w:szCs w:val="22"/>
        </w:rPr>
        <w:t xml:space="preserve">SyncTower (the original concept, strong portfolio signal), ComplianceCrawler (with redesign), AuditAlchemist (with redesign), IntegriPet (with mandatory working-hours enforcement).</w:t>
      </w:r>
    </w:p>
    <w:p>
      <w:pPr>
        <w:spacing w:after="80"/>
      </w:pPr>
    </w:p>
    <w:p>
      <w:pPr>
        <w:spacing w:after="160"/>
      </w:pPr>
      <w:r>
        <w:rPr>
          <w:rFonts w:ascii="Arial" w:cs="Arial" w:eastAsia="Arial" w:hAnsi="Arial"/>
          <w:b/>
          <w:bCs/>
          <w:color w:val="14213D"/>
          <w:sz w:val="22"/>
          <w:szCs w:val="22"/>
        </w:rPr>
        <w:t xml:space="preserve">Kill: </w:t>
      </w:r>
      <w:r>
        <w:rPr>
          <w:rFonts w:ascii="Arial" w:cs="Arial" w:eastAsia="Arial" w:hAnsi="Arial"/>
          <w:color w:val="333333"/>
          <w:sz w:val="22"/>
          <w:szCs w:val="22"/>
        </w:rPr>
        <w:t xml:space="preserve">SalesSim and TalentTree. Both produce individual human performance data that will be weaponised. The core value propositions are inseparable from the core risks. No mitigation makes them safe.</w:t>
      </w:r>
    </w:p>
    <w:p>
      <w:pPr>
        <w:spacing w:after="80"/>
      </w:pPr>
    </w:p>
    <w:p>
      <w:pPr>
        <w:spacing w:after="160"/>
      </w:pPr>
      <w:r>
        <w:rPr>
          <w:rFonts w:ascii="Arial" w:cs="Arial" w:eastAsia="Arial" w:hAnsi="Arial"/>
          <w:b/>
          <w:bCs/>
          <w:color w:val="14213D"/>
          <w:sz w:val="22"/>
          <w:szCs w:val="22"/>
        </w:rPr>
        <w:t xml:space="preserve">Deprioritise: </w:t>
      </w:r>
      <w:r>
        <w:rPr>
          <w:rFonts w:ascii="Arial" w:cs="Arial" w:eastAsia="Arial" w:hAnsi="Arial"/>
          <w:color w:val="333333"/>
          <w:sz w:val="22"/>
          <w:szCs w:val="22"/>
        </w:rPr>
        <w:t xml:space="preserve">SprintQuest (tried before, XP leaderboards are toxic) and SupportSquad (burnout prevention tool that creates burnout).</w:t>
      </w:r>
    </w:p>
    <w:p>
      <w:pPr>
        <w:spacing w:after="80"/>
      </w:pPr>
    </w:p>
    <w:p>
      <w:pPr>
        <w:spacing w:after="160"/>
      </w:pPr>
      <w:r>
        <w:rPr>
          <w:rFonts w:ascii="Arial" w:cs="Arial" w:eastAsia="Arial" w:hAnsi="Arial"/>
          <w:i/>
          <w:iCs/>
          <w:color w:val="333333"/>
          <w:sz w:val="22"/>
          <w:szCs w:val="22"/>
        </w:rPr>
        <w:t xml:space="preserve">CloudCommander is the one you ship. It’s the concept where the game design metaphor isn’t decorative — it’s structural. Managing cloud infrastructure IS an RTS. The game doesn’t make it fun. The game makes it legible.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B2B SaaS Consolidated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213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4213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421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2026-05-21T08:39:28.636Z</dcterms:created>
  <dcterms:modified xsi:type="dcterms:W3CDTF">2026-05-21T08:39:28.648Z</dcterms:modified>
</cp:coreProperties>
</file>

<file path=docProps/custom.xml><?xml version="1.0" encoding="utf-8"?>
<Properties xmlns="http://schemas.openxmlformats.org/officeDocument/2006/custom-properties" xmlns:vt="http://schemas.openxmlformats.org/officeDocument/2006/docPropsVTypes"/>
</file>