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开放系统互连参考模型 osi：物理，数据链路，网络，传输，会话，表示，应用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1～3链式连接4～7端到端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交换单元名称：比特，帧，数据包，TPDU SPDU PPDU APDU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物理：机械、电子、时序接口，物理传输介质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数据链路：流量调节机制，广播式网络的另一个问题：介质访问控制子层（数链的一个特殊子层）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网络：控制子网的运行：路由；处理拥塞，延迟，传输时间，抖动，异构等问题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传输：端到端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会话：对话控制，令牌管理，同步功能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表示：所传递信息的语法和语义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 用户交互 线路利用率 可靠性（依赖性</w:t>
      </w:r>
      <w:bookmarkStart w:id="0" w:name="_GoBack"/>
      <w:bookmarkEnd w:id="0"/>
      <w:r>
        <w:rPr>
          <w:rFonts w:hint="eastAsia"/>
          <w:lang w:val="en-US" w:eastAsia="zh-CN"/>
        </w:rPr>
        <w:t>） 是否便于管理 主机负荷（负载均衡）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264E8"/>
    <w:rsid w:val="0F6B6D8D"/>
    <w:rsid w:val="67D264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2016-03-04T10:28:00Z</dcterms:created>
  <dc:creator>wyq</dc:creator>
  <cp:lastModifiedBy>wyq</cp:lastModifiedBy>
  <dcterms:modified xsi:type="dcterms:W3CDTF">2016-03-07T00:01:51Z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