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044B" w14:textId="77777777" w:rsidR="008B77C1" w:rsidRDefault="00000000">
      <w:pPr>
        <w:spacing w:before="26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Options Wheel &amp; Put-Selling System</w:t>
      </w:r>
    </w:p>
    <w:p w14:paraId="0E18A71D" w14:textId="77777777" w:rsidR="008B77C1" w:rsidRDefault="00000000">
      <w:pPr>
        <w:spacing w:before="160"/>
        <w:jc w:val="center"/>
      </w:pPr>
      <w:r>
        <w:rPr>
          <w:rFonts w:eastAsia="Arial"/>
          <w:color w:val="2E75B6"/>
          <w:sz w:val="30"/>
          <w:szCs w:val="30"/>
        </w:rPr>
        <w:t>A Plain-English Technical Guide</w:t>
      </w:r>
    </w:p>
    <w:p w14:paraId="62CFAC4B" w14:textId="77777777" w:rsidR="008B77C1" w:rsidRDefault="00000000">
      <w:pPr>
        <w:spacing w:before="120"/>
        <w:jc w:val="center"/>
      </w:pPr>
      <w:r>
        <w:rPr>
          <w:rFonts w:eastAsia="Arial"/>
          <w:i/>
          <w:iCs/>
          <w:color w:val="555555"/>
        </w:rPr>
        <w:t>How the system finds, scores, sizes, monitors, and protects trades</w:t>
      </w:r>
    </w:p>
    <w:p w14:paraId="5411B241" w14:textId="77777777" w:rsidR="008B77C1" w:rsidRDefault="00000000">
      <w:pPr>
        <w:spacing w:before="2400"/>
        <w:jc w:val="center"/>
      </w:pPr>
      <w:r>
        <w:rPr>
          <w:rFonts w:eastAsia="Arial"/>
        </w:rPr>
        <w:t>Version 1.5  ·  June 2026</w:t>
      </w:r>
    </w:p>
    <w:p w14:paraId="45F04EDD" w14:textId="77777777" w:rsidR="008B77C1" w:rsidRDefault="00000000">
      <w:pPr>
        <w:spacing w:before="80"/>
        <w:jc w:val="center"/>
      </w:pPr>
      <w:r>
        <w:rPr>
          <w:rFonts w:eastAsia="Arial"/>
          <w:i/>
          <w:iCs/>
          <w:color w:val="888888"/>
          <w:sz w:val="18"/>
          <w:szCs w:val="18"/>
        </w:rPr>
        <w:t>Personal trading tooling — not investment advice</w:t>
      </w:r>
    </w:p>
    <w:p w14:paraId="2F0E59AA" w14:textId="77777777" w:rsidR="008B77C1" w:rsidRDefault="00000000">
      <w:r>
        <w:br w:type="page"/>
      </w:r>
    </w:p>
    <w:p w14:paraId="54929F61" w14:textId="77777777" w:rsidR="008B77C1" w:rsidRDefault="00000000">
      <w:pPr>
        <w:spacing w:after="160"/>
      </w:pPr>
      <w:r>
        <w:rPr>
          <w:rFonts w:eastAsia="Arial"/>
          <w:b/>
          <w:bCs/>
          <w:color w:val="1F3864"/>
          <w:sz w:val="30"/>
          <w:szCs w:val="30"/>
        </w:rPr>
        <w:lastRenderedPageBreak/>
        <w:t>Contents</w:t>
      </w:r>
    </w:p>
    <w:sdt>
      <w:sdtPr>
        <w:alias w:val="Contents"/>
        <w:id w:val="-1846477686"/>
      </w:sdtPr>
      <w:sdtContent>
        <w:p w14:paraId="17F9372A" w14:textId="77777777" w:rsidR="00E0034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37183" w:history="1">
            <w:r w:rsidR="00E00342" w:rsidRPr="007503CC">
              <w:rPr>
                <w:rStyle w:val="Hyperlink"/>
                <w:noProof/>
              </w:rPr>
              <w:t>1. What this system does</w:t>
            </w:r>
            <w:r w:rsidR="00E00342">
              <w:rPr>
                <w:noProof/>
              </w:rPr>
              <w:tab/>
            </w:r>
            <w:r w:rsidR="00E00342">
              <w:rPr>
                <w:noProof/>
              </w:rPr>
              <w:fldChar w:fldCharType="begin"/>
            </w:r>
            <w:r w:rsidR="00E00342">
              <w:rPr>
                <w:noProof/>
              </w:rPr>
              <w:instrText xml:space="preserve"> PAGEREF _Toc232237183 \h </w:instrText>
            </w:r>
            <w:r w:rsidR="00E00342">
              <w:rPr>
                <w:noProof/>
              </w:rPr>
            </w:r>
            <w:r w:rsidR="00E00342">
              <w:rPr>
                <w:noProof/>
              </w:rPr>
              <w:fldChar w:fldCharType="separate"/>
            </w:r>
            <w:r w:rsidR="00E00342">
              <w:rPr>
                <w:noProof/>
              </w:rPr>
              <w:t>3</w:t>
            </w:r>
            <w:r w:rsidR="00E00342">
              <w:rPr>
                <w:noProof/>
              </w:rPr>
              <w:fldChar w:fldCharType="end"/>
            </w:r>
          </w:hyperlink>
        </w:p>
        <w:p w14:paraId="4EC60173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4" w:history="1">
            <w:r w:rsidRPr="007503CC">
              <w:rPr>
                <w:rStyle w:val="Hyperlink"/>
                <w:noProof/>
              </w:rPr>
              <w:t>2. The strategy, in plain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285A7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5" w:history="1">
            <w:r w:rsidRPr="007503CC">
              <w:rPr>
                <w:rStyle w:val="Hyperlink"/>
                <w:noProof/>
              </w:rPr>
              <w:t>3. Two kinds of volatility (the engine of option 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3E083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6" w:history="1">
            <w:r w:rsidRPr="007503CC">
              <w:rPr>
                <w:rStyle w:val="Hyperlink"/>
                <w:noProof/>
              </w:rPr>
              <w:t>4. Two ways to read volatility: IV Rank vs IV/HV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E4129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7" w:history="1">
            <w:r w:rsidRPr="007503CC">
              <w:rPr>
                <w:rStyle w:val="Hyperlink"/>
                <w:noProof/>
              </w:rPr>
              <w:t>5. How a trade is chosen: first gates, then a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67C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88" w:history="1">
            <w:r w:rsidRPr="007503CC">
              <w:rPr>
                <w:rStyle w:val="Hyperlink"/>
                <w:noProof/>
              </w:rPr>
              <w:t>5.1 The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7236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89" w:history="1">
            <w:r w:rsidRPr="007503CC">
              <w:rPr>
                <w:rStyle w:val="Hyperlink"/>
                <w:noProof/>
              </w:rPr>
              <w:t>6. How the score is calculated and weighted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167B97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0" w:history="1">
            <w:r w:rsidRPr="007503CC">
              <w:rPr>
                <w:rStyle w:val="Hyperlink"/>
                <w:noProof/>
              </w:rPr>
              <w:t>6.1 The technical factors,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20C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1" w:history="1">
            <w:r w:rsidRPr="007503CC">
              <w:rPr>
                <w:rStyle w:val="Hyperlink"/>
                <w:noProof/>
              </w:rPr>
              <w:t>6.2 A worked example,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652BA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2" w:history="1">
            <w:r w:rsidRPr="007503CC">
              <w:rPr>
                <w:rStyle w:val="Hyperlink"/>
                <w:noProof/>
              </w:rPr>
              <w:t>7. The diversification score, with live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07AA6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3" w:history="1">
            <w:r w:rsidRPr="007503CC">
              <w:rPr>
                <w:rStyle w:val="Hyperlink"/>
                <w:noProof/>
              </w:rPr>
              <w:t>7.1 How it is measured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DD3F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4" w:history="1">
            <w:r w:rsidRPr="007503CC">
              <w:rPr>
                <w:rStyle w:val="Hyperlink"/>
                <w:noProof/>
              </w:rPr>
              <w:t>7.2 A live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48DA1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5" w:history="1">
            <w:r w:rsidRPr="007503CC">
              <w:rPr>
                <w:rStyle w:val="Hyperlink"/>
                <w:noProof/>
              </w:rPr>
              <w:t>8. Position sizing and exposure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42CEE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196" w:history="1">
            <w:r w:rsidRPr="007503CC">
              <w:rPr>
                <w:rStyle w:val="Hyperlink"/>
                <w:noProof/>
              </w:rPr>
              <w:t>9. Managing open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9C684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7" w:history="1">
            <w:r w:rsidRPr="007503CC">
              <w:rPr>
                <w:rStyle w:val="Hyperlink"/>
                <w:noProof/>
              </w:rPr>
              <w:t>9.1 The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582529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8" w:history="1">
            <w:r w:rsidRPr="007503CC">
              <w:rPr>
                <w:rStyle w:val="Hyperlink"/>
                <w:noProof/>
              </w:rPr>
              <w:t>9.2 Roll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965B6D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199" w:history="1">
            <w:r w:rsidRPr="007503CC">
              <w:rPr>
                <w:rStyle w:val="Hyperlink"/>
                <w:noProof/>
              </w:rPr>
              <w:t>9.3 Stops (the safety net)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3E5404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0" w:history="1">
            <w:r w:rsidRPr="007503CC">
              <w:rPr>
                <w:rStyle w:val="Hyperlink"/>
                <w:noProof/>
              </w:rPr>
              <w:t>10. Delivery and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9FB1D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1" w:history="1">
            <w:r w:rsidRPr="007503CC">
              <w:rPr>
                <w:rStyle w:val="Hyperlink"/>
                <w:noProof/>
              </w:rPr>
              <w:t>11.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936353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2" w:history="1">
            <w:r w:rsidRPr="007503CC">
              <w:rPr>
                <w:rStyle w:val="Hyperlink"/>
                <w:noProof/>
              </w:rPr>
              <w:t>11.1 Output columns (what each header 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62E30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3" w:history="1">
            <w:r w:rsidRPr="007503CC">
              <w:rPr>
                <w:rStyle w:val="Hyperlink"/>
                <w:noProof/>
              </w:rPr>
              <w:t>11.2 Command reference (running the scripts)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36A268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4" w:history="1">
            <w:r w:rsidRPr="007503CC">
              <w:rPr>
                <w:rStyle w:val="Hyperlink"/>
                <w:noProof/>
              </w:rPr>
              <w:t>11.3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147BF" w14:textId="77777777" w:rsidR="00E00342" w:rsidRDefault="00E0034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37205" w:history="1">
            <w:r w:rsidRPr="007503CC">
              <w:rPr>
                <w:rStyle w:val="Hyperlink"/>
                <w:noProof/>
              </w:rPr>
              <w:t>11.4 Sleeve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A4DAB" w14:textId="77777777" w:rsidR="00E00342" w:rsidRDefault="00E0034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37206" w:history="1">
            <w:r w:rsidRPr="007503CC">
              <w:rPr>
                <w:rStyle w:val="Hyperlink"/>
                <w:noProof/>
              </w:rPr>
              <w:t>12. Where the details and code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_Toc232237206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F26673" w14:textId="77777777" w:rsidR="008B77C1" w:rsidRDefault="00000000">
          <w:r>
            <w:fldChar w:fldCharType="end"/>
          </w:r>
        </w:p>
      </w:sdtContent>
    </w:sdt>
    <w:p w14:paraId="3C510EA3" w14:textId="77777777" w:rsidR="008B77C1" w:rsidRDefault="00000000">
      <w:r>
        <w:br w:type="page"/>
      </w:r>
    </w:p>
    <w:p w14:paraId="0CAB5A49" w14:textId="77777777" w:rsidR="008B77C1" w:rsidRDefault="00000000">
      <w:pPr>
        <w:pStyle w:val="Heading1"/>
      </w:pPr>
      <w:bookmarkStart w:id="0" w:name="_Toc232237183"/>
      <w:r>
        <w:t>1. What this system does</w:t>
      </w:r>
      <w:bookmarkEnd w:id="0"/>
    </w:p>
    <w:p w14:paraId="24B3588B" w14:textId="77777777" w:rsidR="008B77C1" w:rsidRDefault="00000000">
      <w:pPr>
        <w:spacing w:after="120"/>
      </w:pPr>
      <w:r>
        <w:rPr>
          <w:rFonts w:eastAsia="Arial"/>
        </w:rPr>
        <w:t>This is a personal tool for running an income strategy called the “wheel”: selling put options on solid companies (and a few funds) to collect premium, then managing those positions carefully. The system does three jobs end to end:</w:t>
      </w:r>
    </w:p>
    <w:p w14:paraId="0F58A4EA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Screener (screener.py) — the “find” step: scans ~110 stocks and ETFs, throws out anything unsafe or hard to trade, and ranks the rest by a blend of “edge,” chart timing, and how well it diversifies your existing positions.</w:t>
      </w:r>
      <w:r w:rsidR="00E22FFA">
        <w:rPr>
          <w:rStyle w:val="CommentReference"/>
          <w:rFonts w:eastAsia="Arial"/>
          <w:b/>
          <w:bCs/>
          <w:sz w:val="22"/>
          <w:szCs w:val="22"/>
        </w:rPr>
      </w:r>
      <w:r>
        <w:rPr>
          <w:rFonts w:eastAsia="Arial"/>
          <w:b/>
          <w:bCs/>
        </w:rPr>
      </w:r>
      <w:r>
        <w:rPr>
          <w:rFonts w:eastAsia="Arial"/>
        </w:rPr>
      </w:r>
    </w:p>
    <w:p w14:paraId="56BB655F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Monitor (monitor.py) — the “manage” step: watches your open positions and flags each one to close, roll, or hold, and shows how much you have at risk.</w:t>
      </w:r>
      <w:r>
        <w:rPr>
          <w:rFonts w:eastAsia="Arial"/>
        </w:rPr>
      </w:r>
    </w:p>
    <w:p w14:paraId="6E2CC879" w14:textId="77777777" w:rsidR="008B77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Stops (place_stops.py) — the “protect” step: proposes (and, on your command, places) automatic protective exit orders.</w:t>
      </w:r>
      <w:r>
        <w:rPr>
          <w:rFonts w:eastAsia="Arial"/>
        </w:rPr>
      </w:r>
    </w:p>
    <w:p w14:paraId="4713B76D" w14:textId="77777777" w:rsidR="008B77C1" w:rsidRDefault="00000000">
      <w:pPr>
        <w:spacing w:after="120"/>
      </w:pPr>
      <w:r>
        <w:rPr>
          <w:rFonts w:eastAsia="Arial"/>
        </w:rPr>
        <w:t>Every morning it can text you a summary on Telegram. The “find” part can even run by itself in the cloud, so you get the report whether or not your computer is on.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10B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0B8F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In plain English</w:t>
            </w:r>
          </w:p>
          <w:p w14:paraId="31750345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Think of it as a tireless assistant that each morning hands you a short-list of good trades to consider, a health-check of what you already hold, and a safety net for positions that move against you.</w:t>
            </w:r>
          </w:p>
        </w:tc>
      </w:tr>
    </w:tbl>
    <w:p w14:paraId="59ACD720" w14:textId="77777777" w:rsidR="008B77C1" w:rsidRDefault="00000000">
      <w:pPr>
        <w:pStyle w:val="Heading1"/>
      </w:pPr>
      <w:bookmarkStart w:id="2" w:name="_Toc232237184"/>
      <w:r>
        <w:t>2. The strategy, in plain terms</w:t>
      </w:r>
      <w:r/>
      <w:bookmarkEnd w:id="2"/>
    </w:p>
    <w:p>
      <w:pPr/>
      <w:r>
        <w:t>The overall strategy is “the wheel.” You sell a cash-secured put to collect premium; if the stock falls far enough that you’re assigned, you end up owning 100 shares, and you then sell covered calls against those shares for more premium until they’re called away — then you start over. This tool automates the first leg (finding, scoring, sizing and managing cash-secured puts) and now also suggests covered calls and roll-ups for shares or long calls you already hold (see 8.4). You still place the trades yourself.</w:t>
      </w:r>
    </w:p>
    <w:p w14:paraId="56C5B9DF" w14:textId="77777777" w:rsidR="008B77C1" w:rsidRDefault="00000000">
      <w:pPr>
        <w:spacing w:after="120"/>
      </w:pPr>
      <w:r>
        <w:rPr>
          <w:rFonts w:eastAsia="Arial"/>
        </w:rPr>
        <w:t xml:space="preserve">Selling a </w:t>
      </w:r>
      <w:r>
        <w:rPr>
          <w:rFonts w:eastAsia="Arial"/>
          <w:b/>
          <w:bCs/>
        </w:rPr>
        <w:t>cash-secured put</w:t>
      </w:r>
      <w:r>
        <w:rPr>
          <w:rFonts w:eastAsia="Arial"/>
        </w:rPr>
        <w:t xml:space="preserve"> means you agree to buy 100 shares of a stock at a set price (the </w:t>
      </w:r>
      <w:r>
        <w:rPr>
          <w:rFonts w:eastAsia="Arial"/>
          <w:i/>
          <w:iCs/>
        </w:rPr>
        <w:t>strike</w:t>
      </w:r>
      <w:r>
        <w:rPr>
          <w:rFonts w:eastAsia="Arial"/>
        </w:rPr>
        <w:t xml:space="preserve">) any time before a set date, and you are paid a </w:t>
      </w:r>
      <w:r>
        <w:rPr>
          <w:rFonts w:eastAsia="Arial"/>
          <w:i/>
          <w:iCs/>
        </w:rPr>
        <w:t>credit</w:t>
      </w:r>
      <w:r>
        <w:rPr>
          <w:rFonts w:eastAsia="Arial"/>
        </w:rPr>
        <w:t xml:space="preserve"> up front for making that promise. Two things can happen:</w:t>
      </w:r>
    </w:p>
    <w:p w14:paraId="7A78724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stays above the strike — the option expires worthless and you simply keep the credit. This is the common case.</w:t>
      </w:r>
    </w:p>
    <w:p w14:paraId="79C51EED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</w:rPr>
        <w:t>The stock falls below the strike — you buy the shares at the strike (“assignment”), at a discount to where the stock was, and you still kept the credit. You can then sell call options against those shares. Repeating this cycle is the “wheel.”</w:t>
      </w:r>
    </w:p>
    <w:p w14:paraId="1A406429" w14:textId="77777777" w:rsidR="008B77C1" w:rsidRDefault="00000000">
      <w:pPr>
        <w:spacing w:after="120"/>
      </w:pPr>
      <w:r>
        <w:rPr>
          <w:rFonts w:eastAsia="Arial"/>
        </w:rPr>
        <w:t xml:space="preserve">Because assignment means you end up owning the stock, the key screening question is not </w:t>
      </w:r>
      <w:r>
        <w:rPr>
          <w:rFonts w:eastAsia="Arial"/>
          <w:i/>
          <w:iCs/>
        </w:rPr>
        <w:t>“will this go up?”</w:t>
      </w:r>
      <w:r>
        <w:rPr>
          <w:rFonts w:eastAsia="Arial"/>
        </w:rPr>
        <w:t xml:space="preserve"> but </w:t>
      </w:r>
      <w:r>
        <w:rPr>
          <w:rFonts w:eastAsia="Arial"/>
          <w:b/>
          <w:bCs/>
        </w:rPr>
        <w:t>“would I be happy to own this company if I had to, and am I being paid well to wait?”</w:t>
      </w:r>
    </w:p>
    <w:p w14:paraId="334F2853" w14:textId="77777777" w:rsidR="008B77C1" w:rsidRDefault="00000000">
      <w:pPr>
        <w:pStyle w:val="Heading1"/>
      </w:pPr>
      <w:bookmarkStart w:id="4" w:name="_Toc232237185"/>
      <w:r>
        <w:t>3. Volatility: the two measures, and how to rank them</w:t>
      </w:r>
      <w:bookmarkEnd w:id="4"/>
    </w:p>
    <w:p>
      <w:pPr>
        <w:pStyle w:val="Heading2"/>
      </w:pPr>
      <w:r>
        <w:t>3.1 IV vs HV — the two measures</w:t>
      </w:r>
    </w:p>
    <w:p w14:paraId="7ECAD12A" w14:textId="77777777" w:rsidR="008B77C1" w:rsidRDefault="00000000">
      <w:pPr>
        <w:spacing w:after="120"/>
      </w:pPr>
      <w:r>
        <w:rPr>
          <w:rFonts w:eastAsia="Arial"/>
        </w:rPr>
        <w:t>Options are priced off volatility — how much a stock is expected to move. The system uses two different measures, and telling them apart matters: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260"/>
        <w:gridCol w:w="3000"/>
      </w:tblGrid>
      <w:tr w:rsidR="008B77C1" w14:paraId="50E25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7305E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7669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it measures</w:t>
            </w:r>
          </w:p>
        </w:tc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73334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Looks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419E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comes from</w:t>
            </w:r>
          </w:p>
        </w:tc>
      </w:tr>
      <w:tr w:rsidR="008B77C1" w14:paraId="0D1F98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7F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Historical Volatility (HV)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A9D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stock has actually moved recently</w:t>
            </w:r>
          </w:p>
        </w:tc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05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Backward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91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stock's own past price changes</w:t>
            </w:r>
          </w:p>
        </w:tc>
      </w:tr>
      <w:tr w:rsidR="008B77C1" w14:paraId="2D213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3B50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Implied Volatility (IV)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9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How much the market expects it to move from here</w:t>
            </w:r>
          </w:p>
        </w:tc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F9DD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Forward</w:t>
            </w:r>
          </w:p>
        </w:tc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6FC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option prices</w:t>
            </w:r>
          </w:p>
        </w:tc>
      </w:tr>
    </w:tbl>
    <w:p w14:paraId="6F28F413" w14:textId="77777777" w:rsidR="008B77C1" w:rsidRDefault="008B77C1">
      <w:pPr>
        <w:spacing w:after="60"/>
      </w:pPr>
    </w:p>
    <w:p w14:paraId="11287E88" w14:textId="77777777" w:rsidR="008B77C1" w:rsidRDefault="00000000">
      <w:pPr>
        <w:spacing w:after="120"/>
      </w:pPr>
      <w:r>
        <w:rPr>
          <w:rFonts w:eastAsia="Arial"/>
        </w:rPr>
        <w:t xml:space="preserve">They are </w:t>
      </w:r>
      <w:r>
        <w:rPr>
          <w:rFonts w:eastAsia="Arial"/>
          <w:b/>
          <w:bCs/>
        </w:rPr>
        <w:t>not</w:t>
      </w:r>
      <w:r>
        <w:rPr>
          <w:rFonts w:eastAsia="Arial"/>
        </w:rPr>
        <w:t xml:space="preserve"> the same number measured twice — HV is read off the stock, IV off the options. The gap between them is where a put seller's edge lives: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A20E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AE42C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 xml:space="preserve">The edge: </w:t>
            </w:r>
            <w:r>
              <w:rPr>
                <w:rFonts w:eastAsia="Arial"/>
                <w:b/>
                <w:bCs/>
                <w:color w:val="1F3864"/>
              </w:rPr>
              <w:t>IV vs HV</w:t>
            </w:r>
          </w:p>
          <w:p w14:paraId="406051BD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When </w:t>
            </w:r>
            <w:r>
              <w:rPr>
                <w:rFonts w:eastAsia="Arial"/>
                <w:b/>
                <w:bCs/>
              </w:rPr>
              <w:t>IV is higher than HV</w:t>
            </w:r>
            <w:r>
              <w:rPr>
                <w:rFonts w:eastAsia="Arial"/>
              </w:rPr>
              <w:t xml:space="preserve"> (</w:t>
            </w:r>
            <w:r>
              <w:rPr>
                <w:rFonts w:eastAsia="Arial"/>
                <w:b/>
                <w:bCs/>
              </w:rPr>
              <w:t>IV/HV &gt; 1</w:t>
            </w:r>
            <w:r>
              <w:rPr>
                <w:rFonts w:eastAsia="Arial"/>
              </w:rPr>
              <w:t>), options are priced for more movement than the stock is actually delivering — you are paid more than the realized risk. That premium is the seller's structural advantage.</w:t>
            </w:r>
          </w:p>
          <w:p w14:paraId="4A2C8CC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After a real drop, HV rises too, so the ratio shrinks back toward 1 — correct, not a bug.</w:t>
            </w:r>
          </w:p>
        </w:tc>
      </w:tr>
    </w:tbl>
    <w:p w14:paraId="4BEA40F6" w14:textId="77777777" w:rsidR="008B77C1" w:rsidRDefault="00000000">
      <w:pPr>
        <w:pStyle w:val="Heading2"/>
      </w:pPr>
      <w:bookmarkStart w:id="6" w:name="_Toc232237186"/>
      <w:r>
        <w:t>3.2 IV Rank vs IV/HV</w:t>
      </w:r>
      <w:r/>
      <w:bookmarkEnd w:id="6"/>
      <w:r w:rsidR="00D960DF">
        <w:rPr>
          <w:rStyle w:val="CommentReference"/>
          <w:sz w:val="32"/>
          <w:szCs w:val="32"/>
        </w:rPr>
      </w:r>
    </w:p>
    <w:p w14:paraId="74CAF8A0" w14:textId="77777777" w:rsidR="008B77C1" w:rsidRDefault="00000000">
      <w:pPr>
        <w:spacing w:after="120"/>
      </w:pPr>
      <w:r>
        <w:rPr>
          <w:rFonts w:eastAsia="Arial"/>
        </w:rPr>
        <w:t>These two often get confused. They answer different questions: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60"/>
        <w:gridCol w:w="3300"/>
      </w:tblGrid>
      <w:tr w:rsidR="008B77C1" w14:paraId="08D4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11B78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Measure</w:t>
            </w:r>
          </w:p>
        </w:tc>
        <w:tc>
          <w:tcPr>
            <w:tcW w:w="4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7A27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Question it answers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14B5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Formula (plain)</w:t>
            </w:r>
          </w:p>
        </w:tc>
      </w:tr>
      <w:tr w:rsidR="008B77C1" w14:paraId="48ABC3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7047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/ HV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3456B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Are options rich compared with how the stock is actually moving right now?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FE83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Today's IV divided by today's HV</w:t>
            </w:r>
          </w:p>
        </w:tc>
      </w:tr>
      <w:tr w:rsidR="008B77C1" w14:paraId="76ED1A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75B8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</w:t>
            </w:r>
          </w:p>
        </w:tc>
        <w:tc>
          <w:tcPr>
            <w:tcW w:w="4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E96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Is volatility high for this stock compared with its own past year?</w:t>
            </w:r>
          </w:p>
        </w:tc>
        <w:tc>
          <w:tcPr>
            <w:tcW w:w="3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03AD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Where today's IV sits between its 52-week low and high (0–100)</w:t>
            </w:r>
          </w:p>
        </w:tc>
      </w:tr>
    </w:tbl>
    <w:p w14:paraId="010B7F9E" w14:textId="77777777" w:rsidR="008B77C1" w:rsidRDefault="008B77C1">
      <w:pPr>
        <w:spacing w:after="60"/>
      </w:pPr>
    </w:p>
    <w:p w14:paraId="312B8F90" w14:textId="77777777" w:rsidR="008B77C1" w:rsidRDefault="00000000">
      <w:pPr>
        <w:spacing w:after="120"/>
      </w:pPr>
      <w:r>
        <w:rPr>
          <w:rFonts w:eastAsia="Arial"/>
        </w:rPr>
        <w:t>They can disagree: a stock can have rich IV/HV yet a middling IV Rank (today's level isn't high versus its own past spikes). The system uses both because each tells you something the other doesn't.</w:t>
      </w:r>
    </w:p>
    <w:p w14:paraId="6F2F65DF" w14:textId="77777777" w:rsidR="008B77C1" w:rsidRDefault="00000000">
      <w:pPr>
        <w:pStyle w:val="Heading1"/>
      </w:pPr>
      <w:bookmarkStart w:id="8" w:name="_Toc232237187"/>
      <w:r>
        <w:t>4. How a trade is chosen: first gates, then a score</w:t>
      </w:r>
      <w:bookmarkEnd w:id="8"/>
    </w:p>
    <w:p w14:paraId="08640A33" w14:textId="77777777" w:rsidR="008B77C1" w:rsidRDefault="00000000">
      <w:pPr>
        <w:spacing w:after="120"/>
      </w:pPr>
      <w:r>
        <w:rPr>
          <w:rFonts w:eastAsia="Arial"/>
        </w:rPr>
        <w:t>A single ranked list cannot both exclude the un-tradable and rank the rest sensibly. So the system works in two stages:</w:t>
      </w:r>
    </w:p>
    <w:p w14:paraId="00E7EADF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Gates</w:t>
      </w:r>
      <w:r>
        <w:rPr>
          <w:rFonts w:eastAsia="Arial"/>
        </w:rPr>
        <w:t xml:space="preserve"> are hard pass/fail filters for safety and tradability. Fail one and the candidate is dropped — no score can rescue it.</w:t>
      </w:r>
    </w:p>
    <w:p w14:paraId="5C2A2428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Scores</w:t>
      </w:r>
      <w:r>
        <w:rPr>
          <w:rFonts w:eastAsia="Arial"/>
        </w:rPr>
        <w:t xml:space="preserve"> then rank only the survivors.</w:t>
      </w:r>
    </w:p>
    <w:p w14:paraId="57BA06BF" w14:textId="77777777" w:rsidR="008B77C1" w:rsidRDefault="00000000">
      <w:pPr>
        <w:pStyle w:val="Heading2"/>
      </w:pPr>
      <w:bookmarkStart w:id="9" w:name="_Toc232237188"/>
      <w:r>
        <w:t>4.1 The gates</w:t>
      </w:r>
      <w:bookmarkEnd w:id="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8B77C1" w14:paraId="465C9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1A82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Gate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BAC3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Rule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A21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Why it exists</w:t>
            </w:r>
          </w:p>
        </w:tc>
      </w:tr>
      <w:tr w:rsidR="008B77C1" w14:paraId="0389E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437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980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15–60 days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67E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“sweet spot” for time-decay; avoids last-week gamma risk</w:t>
            </w:r>
          </w:p>
        </w:tc>
      </w:tr>
      <w:tr w:rsidR="008B77C1" w14:paraId="66847C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57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Delta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301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0.15–0.30 (absolute)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51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Roughly a 70–85% chance the option expires worthless</w:t>
            </w:r>
          </w:p>
        </w:tc>
      </w:tr>
      <w:tr w:rsidR="008B77C1" w14:paraId="16BB53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AA42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spread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6D3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Bid-ask ≤ 10% of price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1E8C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Wide spreads quietly eat the edge on entry and exit</w:t>
            </w:r>
          </w:p>
        </w:tc>
      </w:tr>
      <w:tr w:rsidR="008B77C1" w14:paraId="7D520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603B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Liquidity — open interest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8425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≥ 100 contracts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94ECE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Enough activity to get in and out (relaxed weekends when data is blank)</w:t>
            </w:r>
          </w:p>
        </w:tc>
      </w:tr>
      <w:tr w:rsidR="008B77C1" w14:paraId="69392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ED05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Earnings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F40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expiries that cross the next earnings date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D502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Avoids the binary gap risk around earnings</w:t>
            </w:r>
          </w:p>
        </w:tc>
      </w:tr>
      <w:tr w:rsidR="008B77C1" w14:paraId="782FF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28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Trend (regime)</w:t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11F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Skip only active breakdowns — a steep recent drop or a volatility spike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5208F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Don't sell puts into an active breakdown — see note</w:t>
            </w:r>
          </w:p>
        </w:tc>
      </w:tr>
      <w:tr w:rsidR="008B77C1" w14:paraId="6BEB7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F3C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Solvency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CEC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Drop clearly distressed balance sheets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03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If assigned, you don't want to own a company in trouble</w:t>
            </w:r>
          </w:p>
        </w:tc>
      </w:tr>
      <w:tr w:rsidR="008B77C1" w14:paraId="42C522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2ED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Fundamentals</w:t>
            </w:r>
            <w:r w:rsidR="00973B0F">
              <w:rPr>
                <w:rStyle w:val="CommentReference"/>
                <w:sz w:val="22"/>
                <w:szCs w:val="22"/>
              </w:rPr>
            </w:r>
          </w:p>
        </w:tc>
        <w:tc>
          <w:tcPr>
            <w:tcW w:w="3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7C9F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FCF &gt; 0, growth ≥ 0, ROE ≥ 8%, forward P/E ≤ 60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B0A4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Only sell puts on companies you'd be content to own</w:t>
            </w:r>
          </w:p>
        </w:tc>
      </w:tr>
    </w:tbl>
    <w:p w14:paraId="1FB9112A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31EF6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D43F11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trend gate only blocks active breakdowns</w:t>
            </w:r>
          </w:p>
          <w:p w14:paraId="7E843B99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What matters for a “falling knife” is the steepness of the move, not the price level: a stock that quietly drifted down to a low but is now calm is a fine put-sell, while one crashing today is not. So the gate ignores the 200-day average and new lows entirely. It blocks a name only when it is in an active breakdown — either a steep recent drop (price down ~15%+ from its high over the last ~10 trading days) or a volatility spike (short-term volatility well above its own 3-month norm). A stock that fell months ago and has since settled passes through to be judged by the score.</w:t>
            </w:r>
            <w:r>
              <w:rPr>
                <w:rFonts w:eastAsia="Arial"/>
              </w:rPr>
            </w:r>
            <w:r w:rsidR="00973B0F">
              <w:rPr>
                <w:rStyle w:val="CommentReference"/>
                <w:rFonts w:eastAsia="Arial"/>
                <w:sz w:val="22"/>
                <w:szCs w:val="22"/>
              </w:rPr>
            </w:r>
            <w:r>
              <w:rPr>
                <w:rFonts w:eastAsia="Arial"/>
              </w:rPr>
            </w:r>
          </w:p>
        </w:tc>
      </w:tr>
      <w:tr w:rsidR="008B77C1" w14:paraId="7204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9CA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Deeply oversold is an opportunity, not a danger</w:t>
            </w:r>
          </w:p>
          <w:p w14:paraId="37C0944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plunge far below the normal range (a “3-sigma” move) is usually capitulation — rich premium and a stock stretched for a bounce, often a GOOD place to sell a put. So instead of excluding it, the system flags it: bb_z measures how many standard deviations below the 20-day average price sits, and deeply oversold names get a small technical-score bonus, surfacing those support/bounce entries.</w:t>
            </w:r>
          </w:p>
        </w:tc>
      </w:tr>
      <w:tr w:rsidR="008B77C1" w14:paraId="7FC2C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F605A9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fundamentals are a gate, not part of the score</w:t>
            </w:r>
          </w:p>
          <w:p w14:paraId="1843E55C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Fundamental quality used to be a scored factor, but a strong name's advantage kept being cancelled by a weaker name offering richer premium — premium could “buy past” quality. So fundamental quality became a pass/fail bar; survivors compete on option edge, timing, and diversification.</w:t>
            </w:r>
          </w:p>
        </w:tc>
      </w:tr>
    </w:tbl>
    <w:p w14:paraId="6D5C2248" w14:textId="77777777" w:rsidR="008B77C1" w:rsidRDefault="00000000">
      <w:pPr>
        <w:pStyle w:val="Heading1"/>
      </w:pPr>
      <w:bookmarkStart w:id="12" w:name="_Toc232237189"/>
      <w:r>
        <w:t>5. How the score is calculated and weighted</w:t>
      </w:r>
      <w:bookmarkEnd w:id="12"/>
    </w:p>
    <w:p w14:paraId="029C0F88" w14:textId="77777777" w:rsidR="008B77C1" w:rsidRDefault="00000000">
      <w:pPr>
        <w:spacing w:after="120"/>
      </w:pPr>
      <w:r>
        <w:rPr>
          <w:rFonts w:eastAsia="Arial"/>
        </w:rPr>
        <w:t>Every surviving candidate gets a single 0–100 composite score: a weighted blend of three “buckets,” each itself an average of several factors.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00"/>
        <w:gridCol w:w="3360"/>
        <w:gridCol w:w="3400"/>
      </w:tblGrid>
      <w:tr w:rsidR="008B77C1" w14:paraId="2B2A5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93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Bucket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4E760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Weight</w:t>
            </w:r>
          </w:p>
        </w:tc>
        <w:tc>
          <w:tcPr>
            <w:tcW w:w="33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D39ED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What goes in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3E9BA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How each factor becomes a number</w:t>
            </w:r>
          </w:p>
        </w:tc>
      </w:tr>
      <w:tr w:rsidR="008B77C1" w14:paraId="0BD7C4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B26E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Option edge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96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CE8F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IV Rank, IV/HV, annualized return, theta (decay)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EDA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Percentile-ranked against the other candidates (higher = better)</w:t>
            </w:r>
          </w:p>
        </w:tc>
      </w:tr>
      <w:tr w:rsidR="008B77C1" w14:paraId="280E3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E441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Technical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650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33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1FC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RSI, Bollinger %B, support cushion, oversold bonus</w:t>
            </w:r>
          </w:p>
        </w:tc>
        <w:tc>
          <w:tcPr>
            <w:tcW w:w="3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2BCB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 &amp; %B scored 0–100 directly; support percentile-ranked; deeply oversold adds a bonus</w:t>
            </w:r>
          </w:p>
        </w:tc>
      </w:tr>
      <w:tr w:rsidR="008B77C1" w14:paraId="2C25B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0083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Diversification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7E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720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Correlation to what you already hold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2BBA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Scored 0–100 on an absolute scale (Section 7)</w:t>
            </w:r>
          </w:p>
        </w:tc>
      </w:tr>
      <w:tr>
        <w:tc>
          <w:tcPr>
            <w:tcW w:type="dxa" w:w="1700"/>
          </w:tcPr>
          <w:p>
            <w:r/>
            <w:r>
              <w:rPr>
                <w:sz w:val="20"/>
              </w:rPr>
              <w:t>Fundamentals</w:t>
            </w:r>
          </w:p>
        </w:tc>
        <w:tc>
          <w:tcPr>
            <w:tcW w:type="dxa" w:w="900"/>
          </w:tcPr>
          <w:p>
            <w:r/>
            <w:r>
              <w:rPr>
                <w:sz w:val="20"/>
              </w:rPr>
              <w:t>0.30</w:t>
            </w:r>
          </w:p>
        </w:tc>
        <w:tc>
          <w:tcPr>
            <w:tcW w:type="dxa" w:w="3360"/>
          </w:tcPr>
          <w:p>
            <w:r/>
            <w:r>
              <w:rPr>
                <w:sz w:val="20"/>
              </w:rPr>
              <w:t>FCF yield + ROE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Percentile-ranked (higher = better)</w:t>
            </w:r>
          </w:p>
        </w:tc>
      </w:tr>
    </w:tbl>
    <w:p>
      <w:pPr/>
      <w:r>
        <w:rPr>
          <w:b w:val="0"/>
        </w:rPr>
        <w:t>Fundamentals bucket (new). Based on Goldman Sachs' “The Art of Put Selling,” selling puts on stocks with high free-cash-flow (FCF) yield — FCF divided by market value — historically beat the index by ~250bps a year at a higher Sharpe ratio. High FCF yield is a “margin of safety” signal: such firms tend to have fatter margins, less debt, and a bigger cash cushion. So the score now includes a fundamentals bucket (weight 0.30) that rewards high FCF yield, blended with ROE. Fundamentals are still also a pass/fail gate; the bucket then ranks the survivors by quality.</w:t>
      </w:r>
    </w:p>
    <w:p>
      <w:pPr/>
      <w:r>
        <w:rPr>
          <w:b w:val="0"/>
        </w:rPr>
        <w:t>(The step-by-step example in 5.2 below predates this bucket and still shows the older three-bucket 40/40/20 math; the fundamentals bucket simply adds a fourth input to the same weighted average.)</w:t>
      </w:r>
    </w:p>
    <w:p>
      <w:pPr/>
      <w:r>
        <w:rPr>
          <w:b w:val="0"/>
        </w:rPr>
        <w:t>Two more recent additions: the screener now requires a live bid/ask quote on a contract (so it never ranks a put you can’t actually sell, or prices IV off a stale trade), and the daily report includes a dividend watchlist — the highest-yielding dividend stocks scanned, shown even if they’re not currently tradable.</w:t>
      </w:r>
    </w:p>
    <w:p w14:paraId="3D29F2DA" w14:textId="77777777" w:rsidR="008B77C1" w:rsidRDefault="008B77C1">
      <w:pPr>
        <w:spacing w:after="40"/>
      </w:pPr>
    </w:p>
    <w:p w14:paraId="0D567B07" w14:textId="77777777" w:rsidR="008B77C1" w:rsidRDefault="00000000">
      <w:pPr>
        <w:spacing w:after="120"/>
      </w:pPr>
      <w:r>
        <w:rPr>
          <w:rFonts w:eastAsia="Arial"/>
        </w:rPr>
        <w:t xml:space="preserve">Weights live in config.json. The composite </w:t>
      </w:r>
      <w:r>
        <w:rPr>
          <w:rFonts w:eastAsia="Arial"/>
          <w:i/>
          <w:iCs/>
        </w:rPr>
        <w:t>re-normalizes</w:t>
      </w:r>
      <w:r>
        <w:rPr>
          <w:rFonts w:eastAsia="Arial"/>
        </w:rPr>
        <w:t xml:space="preserve"> over whichever buckets have data, so a missing factor never drops a candidate to zero. “Percentile-ranked” means: among the day's candidates, the best value for a factor scores 100, the worst a low number, the rest by rank — so option-edge factors grade each name </w:t>
      </w:r>
      <w:r>
        <w:rPr>
          <w:rFonts w:eastAsia="Arial"/>
          <w:i/>
          <w:iCs/>
        </w:rPr>
        <w:t>relative to the field</w:t>
      </w:r>
      <w:r>
        <w:rPr>
          <w:rFonts w:eastAsia="Arial"/>
        </w:rPr>
        <w:t>, while RSI, %B and diversification use fixed 0–100 scales.</w:t>
      </w:r>
    </w:p>
    <w:p w14:paraId="49BA6940" w14:textId="77777777" w:rsidR="008B77C1" w:rsidRDefault="00000000">
      <w:pPr>
        <w:pStyle w:val="Heading2"/>
      </w:pPr>
      <w:bookmarkStart w:id="13" w:name="_Toc232237190"/>
      <w:r>
        <w:t>5.1 The technical factors, explained</w:t>
      </w:r>
      <w:bookmarkEnd w:id="13"/>
    </w:p>
    <w:p w14:paraId="0F648E73" w14:textId="77777777" w:rsidR="008B77C1" w:rsidRDefault="00000000">
      <w:pPr>
        <w:pStyle w:val="Heading3"/>
      </w:pPr>
      <w:r>
        <w:t>RSI — the “mild pullback” gauge</w:t>
      </w:r>
    </w:p>
    <w:p w14:paraId="1FB98F39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RSI (Relative Strength Index) is a 0–100 momentum meter: below ~30 is “oversold,” above ~70 “overbought,” 50 neutral. We don't want the highest RSI (a euphoric, overbought name has thin premium and room to reverse) nor the lowest. We want a </w:t>
      </w:r>
      <w:r>
        <w:rPr>
          <w:rFonts w:eastAsia="Arial"/>
          <w:b/>
          <w:bCs/>
        </w:rPr>
        <w:t>slight pullback</w:t>
      </w:r>
      <w:r>
        <w:rPr>
          <w:rFonts w:eastAsia="Arial"/>
        </w:rPr>
        <w:t>: enough fear to fatten the premium, not a collapse.</w:t>
      </w:r>
    </w:p>
    <w:p w14:paraId="2CB82F16" w14:textId="77777777" w:rsidR="008B77C1" w:rsidRDefault="00000000">
      <w:pPr>
        <w:spacing w:after="120"/>
      </w:pPr>
      <w:r>
        <w:rPr>
          <w:rFonts w:eastAsia="Arial"/>
        </w:rPr>
        <w:t xml:space="preserve">So the score is a tent that </w:t>
      </w:r>
      <w:r>
        <w:rPr>
          <w:rFonts w:eastAsia="Arial"/>
          <w:b/>
          <w:bCs/>
        </w:rPr>
        <w:t>peaks at RSI 40</w:t>
      </w:r>
      <w:r>
        <w:rPr>
          <w:rFonts w:eastAsia="Arial"/>
        </w:rPr>
        <w:t xml:space="preserve"> and falls off symmetrically on both sides: </w:t>
      </w:r>
      <w:r>
        <w:rPr>
          <w:rFonts w:eastAsia="Arial"/>
          <w:i/>
          <w:iCs/>
        </w:rPr>
        <w:t>score = 100 − |RSI − 40| × 2</w:t>
      </w:r>
      <w:r>
        <w:rPr>
          <w:rFonts w:eastAsia="Arial"/>
        </w:rPr>
        <w:t xml:space="preserve">, then halved (×0.5) if RSI is below 25 or above 75 (too extreme). Because it's symmetric, RSI 30 and RSI 50 score the </w:t>
      </w:r>
      <w:r>
        <w:rPr>
          <w:rFonts w:eastAsia="Arial"/>
          <w:i/>
          <w:iCs/>
        </w:rPr>
        <w:t>same</w:t>
      </w:r>
      <w:r>
        <w:rPr>
          <w:rFonts w:eastAsia="Arial"/>
        </w:rPr>
        <w:t xml:space="preserve"> — each is 10 points from the 40 sweet spot.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8B77C1" w14:paraId="2A46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32D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048D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6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723D6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1AE14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2B0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EE16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9377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Very oversold — score halved (×0.5)</w:t>
            </w:r>
          </w:p>
        </w:tc>
      </w:tr>
      <w:tr w:rsidR="008B77C1" w14:paraId="29D6E2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A8E7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3B4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76062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Edge of oversold</w:t>
            </w:r>
          </w:p>
        </w:tc>
      </w:tr>
      <w:tr w:rsidR="008B77C1" w14:paraId="4234B3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59A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7AC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1B5B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(good)</w:t>
            </w:r>
          </w:p>
        </w:tc>
      </w:tr>
      <w:tr w:rsidR="008B77C1" w14:paraId="71B45F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A97B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A6A0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314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Sweet spot — peak</w:t>
            </w:r>
          </w:p>
        </w:tc>
      </w:tr>
      <w:tr w:rsidR="008B77C1" w14:paraId="3A1E9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0C2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5085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780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strong (same as 30)</w:t>
            </w:r>
          </w:p>
        </w:tc>
      </w:tr>
      <w:tr w:rsidR="008B77C1" w14:paraId="48F8E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D0D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EC7C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BF9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Getting extended</w:t>
            </w:r>
          </w:p>
        </w:tc>
      </w:tr>
      <w:tr w:rsidR="008B77C1" w14:paraId="28AD2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2A2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18D8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F996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Near overbought</w:t>
            </w:r>
          </w:p>
        </w:tc>
      </w:tr>
      <w:tr w:rsidR="008B77C1" w14:paraId="6B2C7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77F1C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41D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6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8D62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— score halved</w:t>
            </w:r>
          </w:p>
        </w:tc>
      </w:tr>
    </w:tbl>
    <w:p w14:paraId="2427DF03" w14:textId="77777777" w:rsidR="008B77C1" w:rsidRDefault="00000000">
      <w:pPr>
        <w:pStyle w:val="Heading3"/>
      </w:pPr>
      <w:r>
        <w:t>Bollinger %B — where price sits in its recent range</w:t>
      </w:r>
    </w:p>
    <w:p w14:paraId="28A33182" w14:textId="77777777" w:rsidR="008B77C1" w:rsidRDefault="00000000">
      <w:pPr>
        <w:spacing w:after="120"/>
      </w:pPr>
      <w:r>
        <w:rPr>
          <w:rFonts w:eastAsia="Arial"/>
        </w:rPr>
        <w:t xml:space="preserve">Bollinger Bands wrap a 20-day average with a band 2 standard deviations above and below — a statistical “normal range.” </w:t>
      </w:r>
      <w:r>
        <w:rPr>
          <w:rFonts w:eastAsia="Arial"/>
          <w:b/>
          <w:bCs/>
        </w:rPr>
        <w:t>%B</w:t>
      </w:r>
      <w:r>
        <w:rPr>
          <w:rFonts w:eastAsia="Arial"/>
        </w:rPr>
        <w:t xml:space="preserve"> says where today's price sits inside it: </w:t>
      </w:r>
      <w:r>
        <w:rPr>
          <w:rFonts w:eastAsia="Arial"/>
          <w:i/>
          <w:iCs/>
        </w:rPr>
        <w:t>%B = (price − lower band) ÷ (upper band − lower band)</w:t>
      </w:r>
      <w:r>
        <w:rPr>
          <w:rFonts w:eastAsia="Arial"/>
        </w:rPr>
        <w:t>.</w:t>
      </w:r>
    </w:p>
    <w:p w14:paraId="17AF23A4" w14:textId="77777777" w:rsidR="008B77C1" w:rsidRDefault="00000000">
      <w:pPr>
        <w:spacing w:after="120"/>
      </w:pPr>
      <w:r>
        <w:rPr>
          <w:rFonts w:eastAsia="Arial"/>
        </w:rPr>
        <w:t xml:space="preserve">%B = 0 means price is </w:t>
      </w:r>
      <w:r>
        <w:rPr>
          <w:rFonts w:eastAsia="Arial"/>
          <w:i/>
          <w:iCs/>
        </w:rPr>
        <w:t>at the lower band</w:t>
      </w:r>
      <w:r>
        <w:rPr>
          <w:rFonts w:eastAsia="Arial"/>
        </w:rPr>
        <w:t xml:space="preserve">, 0.5 the middle (the 20-day average), 1.0 the upper band; below 0 is </w:t>
      </w:r>
      <w:r>
        <w:rPr>
          <w:rFonts w:eastAsia="Arial"/>
          <w:i/>
          <w:iCs/>
        </w:rPr>
        <w:t>below</w:t>
      </w:r>
      <w:r>
        <w:rPr>
          <w:rFonts w:eastAsia="Arial"/>
        </w:rPr>
        <w:t xml:space="preserve"> the lower band, above 1 above the upper. Score = </w:t>
      </w:r>
      <w:r>
        <w:rPr>
          <w:rFonts w:eastAsia="Arial"/>
          <w:i/>
          <w:iCs/>
        </w:rPr>
        <w:t>(1 − %B) × 100</w:t>
      </w:r>
      <w:r>
        <w:rPr>
          <w:rFonts w:eastAsia="Arial"/>
        </w:rPr>
        <w:t xml:space="preserve"> (clipped 0–100), rewarding prices low in the band — a pulled-back, better entry zone.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460"/>
      </w:tblGrid>
      <w:tr w:rsidR="008B77C1" w14:paraId="5AD5A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7152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Price location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288E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3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BC23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</w:tr>
      <w:tr w:rsidR="008B77C1" w14:paraId="7E7562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7477C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Below the lower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23EF2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&lt; 0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A673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 (clipped)</w:t>
            </w:r>
          </w:p>
        </w:tc>
      </w:tr>
      <w:tr w:rsidR="008B77C1" w14:paraId="6EBFD4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D4F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lower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CB4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2BE6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</w:tr>
      <w:tr w:rsidR="008B77C1" w14:paraId="5529F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5A20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704D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0D14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</w:tr>
      <w:tr w:rsidR="008B77C1" w14:paraId="2E82B5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129E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Middle (20-day avg)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077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A1BA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</w:tr>
      <w:tr w:rsidR="008B77C1" w14:paraId="1A09AF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B8F6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Upper quarter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95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0.75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47E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</w:tr>
      <w:tr w:rsidR="008B77C1" w14:paraId="5DA100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DDF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At the upper band</w:t>
            </w:r>
          </w:p>
        </w:tc>
        <w:tc>
          <w:tcPr>
            <w:tcW w:w="1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0B9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3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609C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</w:tr>
      <w:tr w:rsidR="008B77C1" w14:paraId="4CFB98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573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Above the upper band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E66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&gt; 1</w:t>
            </w:r>
          </w:p>
        </w:tc>
        <w:tc>
          <w:tcPr>
            <w:tcW w:w="3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54C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 (clipped)</w:t>
            </w:r>
          </w:p>
        </w:tc>
      </w:tr>
    </w:tbl>
    <w:p w14:paraId="6B04208D" w14:textId="77777777" w:rsidR="008B77C1" w:rsidRDefault="00000000">
      <w:pPr>
        <w:pStyle w:val="Heading3"/>
      </w:pPr>
      <w:r>
        <w:t>Support cushion — is your strike below recent support?</w:t>
      </w:r>
    </w:p>
    <w:p w14:paraId="1861C387" w14:textId="77777777" w:rsidR="008B77C1" w:rsidRDefault="00000000">
      <w:pPr>
        <w:spacing w:after="120"/>
      </w:pPr>
      <w:r>
        <w:rPr>
          <w:rFonts w:eastAsia="Arial"/>
        </w:rPr>
        <w:t xml:space="preserve">“swing_low_20” is the lowest price over the last 20 trading days — recent support. Cushion = </w:t>
      </w:r>
      <w:r>
        <w:rPr>
          <w:rFonts w:eastAsia="Arial"/>
          <w:i/>
          <w:iCs/>
        </w:rPr>
        <w:t>(swing_low_20 − strike) ÷ price</w:t>
      </w:r>
      <w:r>
        <w:rPr>
          <w:rFonts w:eastAsia="Arial"/>
        </w:rPr>
        <w:t xml:space="preserve">: how far your strike sits </w:t>
      </w:r>
      <w:r>
        <w:rPr>
          <w:rFonts w:eastAsia="Arial"/>
          <w:b/>
          <w:bCs/>
        </w:rPr>
        <w:t>beneath</w:t>
      </w:r>
      <w:r>
        <w:rPr>
          <w:rFonts w:eastAsia="Arial"/>
        </w:rPr>
        <w:t xml:space="preserve"> that low, as a fraction of price. Positive = strike below support (safer — the stock must break to new lows to threaten you); negative = strike above the recent low. It is percentile-ranked across the day's candidates, so more cushion scores higher.</w:t>
      </w:r>
    </w:p>
    <w:p w14:paraId="7996C0B8" w14:textId="77777777" w:rsidR="008B77C1" w:rsidRDefault="00000000">
      <w:pPr>
        <w:pStyle w:val="Heading2"/>
      </w:pPr>
      <w:bookmarkStart w:id="14" w:name="_Toc232237191"/>
      <w:r>
        <w:t>5.2 A worked example, step by step</w:t>
      </w:r>
      <w:bookmarkEnd w:id="14"/>
    </w:p>
    <w:p w14:paraId="276C5944" w14:textId="77777777" w:rsidR="008B77C1" w:rsidRDefault="00000000">
      <w:pPr>
        <w:spacing w:after="120"/>
      </w:pPr>
      <w:r>
        <w:rPr>
          <w:rFonts w:eastAsia="Arial"/>
        </w:rPr>
        <w:t>To show the full behaviour, take four candidates that clear the gates but sit in very different technical situations: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060"/>
        <w:gridCol w:w="1200"/>
        <w:gridCol w:w="1400"/>
        <w:gridCol w:w="1400"/>
      </w:tblGrid>
      <w:tr w:rsidR="008B77C1" w14:paraId="7514B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95A7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lastRenderedPageBreak/>
              <w:t>Ticker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FB1F7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Scenario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0F7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C7A88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57F61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bb_z</w:t>
            </w:r>
          </w:p>
        </w:tc>
      </w:tr>
      <w:tr w:rsidR="008B77C1" w14:paraId="0A4E58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670A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204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Deep oversold / capitulation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E9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85C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A4E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−2.8</w:t>
            </w:r>
          </w:p>
        </w:tc>
      </w:tr>
      <w:tr w:rsidR="008B77C1" w14:paraId="6D957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B39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73D6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 pullback (sweet spot)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CB12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4F93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A6B5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−0.6</w:t>
            </w:r>
          </w:p>
        </w:tc>
      </w:tr>
      <w:tr w:rsidR="008B77C1" w14:paraId="48FDB4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41F5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28DE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Overbought / extended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A3C6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B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E2EF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+1.7</w:t>
            </w:r>
          </w:p>
        </w:tc>
      </w:tr>
      <w:tr w:rsidR="008B77C1" w14:paraId="6FCC65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2270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02EE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Neutral, low premium</w:t>
            </w:r>
          </w:p>
        </w:tc>
        <w:tc>
          <w:tcPr>
            <w:tcW w:w="12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3B5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485B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</w:t>
            </w:r>
          </w:p>
        </w:tc>
        <w:tc>
          <w:tcPr>
            <w:tcW w:w="14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B92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</w:t>
            </w:r>
          </w:p>
        </w:tc>
      </w:tr>
    </w:tbl>
    <w:p w14:paraId="0F4EFDDF" w14:textId="77777777" w:rsidR="008B77C1" w:rsidRDefault="00000000">
      <w:pPr>
        <w:pStyle w:val="Heading3"/>
      </w:pPr>
      <w:r>
        <w:t>Step 1 — Option-edge bucket</w:t>
      </w:r>
    </w:p>
    <w:p w14:paraId="646E17AC" w14:textId="77777777" w:rsidR="008B77C1" w:rsidRDefault="00000000">
      <w:pPr>
        <w:spacing w:after="120"/>
      </w:pPr>
      <w:r>
        <w:rPr>
          <w:rFonts w:eastAsia="Arial"/>
        </w:rPr>
        <w:t>Each option factor is percentile-ranked across the four (ranks 25 / 50 / 75 / 100), then averaged. Cells show raw value → rank-points.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700"/>
        <w:gridCol w:w="1700"/>
        <w:gridCol w:w="1800"/>
        <w:gridCol w:w="1300"/>
        <w:gridCol w:w="1600"/>
      </w:tblGrid>
      <w:tr w:rsidR="008B77C1" w14:paraId="2DED6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EFC25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C0F6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 Rank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7B4E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IV/HV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44E65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Ann. return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06D4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Theta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D2EE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avg</w:t>
            </w:r>
          </w:p>
        </w:tc>
      </w:tr>
      <w:tr w:rsidR="008B77C1" w14:paraId="0DF333C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FD0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F285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68 → 100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BDAB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1.45 → 100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2660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31.0% → 100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1530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50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AA1F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87.5</w:t>
            </w:r>
          </w:p>
        </w:tc>
      </w:tr>
      <w:tr w:rsidR="008B77C1" w14:paraId="7F209B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17217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C35A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47 → 50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292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1.10 → 50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560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24.6% → 50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AE7B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0.46 → 100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76D1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62.5</w:t>
            </w:r>
          </w:p>
        </w:tc>
      </w:tr>
      <w:tr w:rsidR="008B77C1" w14:paraId="69AA8E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809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BBF4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55 → 75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6FCF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1.20 → 75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42D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28.0% → 75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B452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0.30 → 75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204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75.0</w:t>
            </w:r>
          </w:p>
        </w:tc>
      </w:tr>
      <w:tr w:rsidR="008B77C1" w14:paraId="0A8B1B7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1B8E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0223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 → 25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BD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1.05 → 25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4D1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18.0% → 25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B641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0.20 → 25</w:t>
            </w:r>
          </w:p>
        </w:tc>
        <w:tc>
          <w:tcPr>
            <w:tcW w:w="1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656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</w:tr>
    </w:tbl>
    <w:p w14:paraId="15A8EE5C" w14:textId="77777777" w:rsidR="008B77C1" w:rsidRDefault="00000000">
      <w:pPr>
        <w:spacing w:after="120"/>
      </w:pPr>
      <w:r>
        <w:rPr>
          <w:rFonts w:eastAsia="Arial"/>
        </w:rPr>
        <w:t>PYPL has the richest option edge; GLD the thinnest (low premium across the board).</w:t>
      </w:r>
    </w:p>
    <w:p w14:paraId="0CCD0243" w14:textId="77777777" w:rsidR="008B77C1" w:rsidRDefault="00000000">
      <w:pPr>
        <w:pStyle w:val="Heading3"/>
      </w:pPr>
      <w:r>
        <w:t>Step 2 — Technical bucket</w:t>
      </w:r>
    </w:p>
    <w:p w14:paraId="2FDC78B7" w14:textId="77777777" w:rsidR="008B77C1" w:rsidRDefault="00000000">
      <w:pPr>
        <w:spacing w:after="120"/>
      </w:pPr>
      <w:r>
        <w:rPr>
          <w:rFonts w:eastAsia="Arial"/>
        </w:rPr>
        <w:t>RSI and %B use the fixed scales from 6.1; support is percentile-ranked; then a deeply-oversold name (bb_z ≤ −2.5) gets a +8 bonus.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500"/>
        <w:gridCol w:w="1560"/>
        <w:gridCol w:w="900"/>
        <w:gridCol w:w="1300"/>
        <w:gridCol w:w="1500"/>
      </w:tblGrid>
      <w:tr w:rsidR="008B77C1" w14:paraId="27D1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FDD0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FE3A9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RSI →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D9D1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%B → score</w:t>
            </w:r>
          </w:p>
        </w:tc>
        <w:tc>
          <w:tcPr>
            <w:tcW w:w="15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4FC2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Support → pts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D805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28D83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Oversold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3B9BB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</w:t>
            </w:r>
          </w:p>
        </w:tc>
      </w:tr>
      <w:tr w:rsidR="008B77C1" w14:paraId="744B2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7ED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84ED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22 → 32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3EB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−0.10 → 100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87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0.045 → 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754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77.3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F03C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1D4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85.3</w:t>
            </w:r>
          </w:p>
        </w:tc>
      </w:tr>
      <w:tr w:rsidR="008B77C1" w14:paraId="0FC100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9E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7DE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 → 96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47EA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0.28 → 72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F94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0.030 → 75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3323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A4EA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770D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81.0</w:t>
            </w:r>
          </w:p>
        </w:tc>
      </w:tr>
      <w:tr w:rsidR="008B77C1" w14:paraId="2AAB99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C27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F65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72 → 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BCD9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0.92 → 8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A2FE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−0.010 → 25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B744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79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6C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23.0</w:t>
            </w:r>
          </w:p>
        </w:tc>
      </w:tr>
      <w:tr w:rsidR="008B77C1" w14:paraId="3B8A87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95E6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7E0C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 → 80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A6E4B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0.50 → 50</w:t>
            </w:r>
          </w:p>
        </w:tc>
        <w:tc>
          <w:tcPr>
            <w:tcW w:w="15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14A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0.020 → 50</w:t>
            </w:r>
          </w:p>
        </w:tc>
        <w:tc>
          <w:tcPr>
            <w:tcW w:w="9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57AF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A78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15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8B09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60.0</w:t>
            </w:r>
          </w:p>
        </w:tc>
      </w:tr>
    </w:tbl>
    <w:p w14:paraId="4C6C493A" w14:textId="77777777" w:rsidR="008B77C1" w:rsidRDefault="00000000">
      <w:pPr>
        <w:spacing w:after="120"/>
      </w:pPr>
      <w:r>
        <w:rPr>
          <w:rFonts w:eastAsia="Arial"/>
        </w:rPr>
        <w:t xml:space="preserve">Two things to notice. </w:t>
      </w:r>
      <w:r>
        <w:rPr>
          <w:rFonts w:eastAsia="Arial"/>
          <w:b/>
          <w:bCs/>
        </w:rPr>
        <w:t>PYPL</w:t>
      </w:r>
      <w:r>
        <w:rPr>
          <w:rFonts w:eastAsia="Arial"/>
        </w:rPr>
        <w:t xml:space="preserve">'s RSI of 22 is </w:t>
      </w:r>
      <w:r>
        <w:rPr>
          <w:rFonts w:eastAsia="Arial"/>
          <w:i/>
          <w:iCs/>
        </w:rPr>
        <w:t>penalized</w:t>
      </w:r>
      <w:r>
        <w:rPr>
          <w:rFonts w:eastAsia="Arial"/>
        </w:rPr>
        <w:t xml:space="preserve"> (32) for being too extreme — but its price is below the lower band (%B score 100), its strike sits under support (100), and the oversold bonus (+8) tips it to 85.3. </w:t>
      </w:r>
      <w:r>
        <w:rPr>
          <w:rFonts w:eastAsia="Arial"/>
          <w:b/>
          <w:bCs/>
        </w:rPr>
        <w:t>NVDA</w:t>
      </w:r>
      <w:r>
        <w:rPr>
          <w:rFonts w:eastAsia="Arial"/>
        </w:rPr>
        <w:t>, overbought and near the upper band with its strike above the recent low, scores just 23 — the system correctly down-ranks an extended, euphoric entry.</w:t>
      </w:r>
    </w:p>
    <w:p w14:paraId="71421CCB" w14:textId="77777777" w:rsidR="008B77C1" w:rsidRDefault="00000000">
      <w:pPr>
        <w:pStyle w:val="Heading3"/>
      </w:pPr>
      <w:r>
        <w:t>Step 3 — Diversification bucket</w:t>
      </w:r>
    </w:p>
    <w:p w14:paraId="10579913" w14:textId="77777777" w:rsidR="008B77C1" w:rsidRDefault="00000000">
      <w:pPr>
        <w:spacing w:after="120"/>
      </w:pPr>
      <w:r>
        <w:rPr>
          <w:rFonts w:eastAsia="Arial"/>
        </w:rPr>
        <w:t xml:space="preserve">Average correlation to the current book, mapped with </w:t>
      </w:r>
      <w:r>
        <w:rPr>
          <w:rFonts w:eastAsia="Arial"/>
          <w:i/>
          <w:iCs/>
        </w:rPr>
        <w:t>(1 − corr) ÷ 2 × 100</w:t>
      </w:r>
      <w:r>
        <w:rPr>
          <w:rFonts w:eastAsia="Arial"/>
        </w:rPr>
        <w:t>: PYPL +0.10 → 45.0, META +0.07 → 46.5, NVDA +0.11 → 44.5, GLD +0.11 → 44.5. (All mid-40s — Section 7 explains why nothing scores higher in the current regime.)</w:t>
      </w:r>
    </w:p>
    <w:p w14:paraId="0B98352A" w14:textId="77777777" w:rsidR="008B77C1" w:rsidRDefault="00000000">
      <w:pPr>
        <w:pStyle w:val="Heading3"/>
      </w:pPr>
      <w:r>
        <w:t>Step 4 — Weighted composite (40 / 40 / 20)</w:t>
      </w:r>
    </w:p>
    <w:p w14:paraId="693C35C4" w14:textId="77777777" w:rsidR="008B77C1" w:rsidRDefault="00000000">
      <w:pPr>
        <w:spacing w:after="120"/>
      </w:pPr>
      <w:r>
        <w:rPr>
          <w:rFonts w:eastAsia="Arial"/>
        </w:rPr>
        <w:t xml:space="preserve">Composite = 0.40 × option + 0.40 × technical + 0.20 × diversify. For PYPL: 0.40×87.5 + 0.40×85.3 + 0.20×45.0 = 35.0 + 34.1 + 9.0 = </w:t>
      </w:r>
      <w:r>
        <w:rPr>
          <w:rFonts w:eastAsia="Arial"/>
          <w:b/>
          <w:bCs/>
        </w:rPr>
        <w:t>78.1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700"/>
        <w:gridCol w:w="1800"/>
        <w:gridCol w:w="1700"/>
        <w:gridCol w:w="1300"/>
        <w:gridCol w:w="1100"/>
      </w:tblGrid>
      <w:tr w:rsidR="008B77C1" w14:paraId="0E679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E7922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Ticker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F6006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Option ×0.40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3AF4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Technical ×0.40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9171B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Diversify ×0.20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8437E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Composite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22D0F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Rank</w:t>
            </w:r>
          </w:p>
        </w:tc>
      </w:tr>
      <w:tr w:rsidR="008B77C1" w14:paraId="001ACFCD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E168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PYPL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D83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35.0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BA522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ABE5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4601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7992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</w:t>
            </w:r>
          </w:p>
        </w:tc>
      </w:tr>
      <w:tr w:rsidR="008B77C1" w14:paraId="144C74C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972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DAF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ECA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32.4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8806E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9.3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3C4B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66.7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88A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</w:t>
            </w:r>
          </w:p>
        </w:tc>
      </w:tr>
      <w:tr w:rsidR="008B77C1" w14:paraId="559C5574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8225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B85E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30.0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D92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F560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4F7C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18873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3</w:t>
            </w:r>
          </w:p>
        </w:tc>
      </w:tr>
      <w:tr w:rsidR="008B77C1" w14:paraId="2FCB674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2D6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GLD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535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18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AB4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F7D5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877A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42.9</w:t>
            </w:r>
          </w:p>
        </w:tc>
        <w:tc>
          <w:tcPr>
            <w:tcW w:w="1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41878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</w:t>
            </w:r>
          </w:p>
        </w:tc>
      </w:tr>
    </w:tbl>
    <w:p w14:paraId="29468ED3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7006F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201AF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lastRenderedPageBreak/>
              <w:t>What this example teaches</w:t>
            </w:r>
          </w:p>
          <w:p w14:paraId="03673F9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PYPL wins</w:t>
            </w:r>
            <w:r>
              <w:rPr>
                <w:rFonts w:eastAsia="Arial"/>
              </w:rPr>
              <w:t xml:space="preserve"> — a capitulation name with rich premium, price below its lower band, strike under support. Its RSI alone hurt it, but %B, support and the oversold bonus surface it: exactly the high-premium support entry you wanted shown rather than hidden.</w:t>
            </w:r>
          </w:p>
          <w:p w14:paraId="2AFE3880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META is the textbook setup</w:t>
            </w:r>
            <w:r>
              <w:rPr>
                <w:rFonts w:eastAsia="Arial"/>
              </w:rPr>
              <w:t xml:space="preserve"> — a mild pullback (RSI 42 → near-perfect technical) but only middling option edge, so it lands #2.</w:t>
            </w:r>
          </w:p>
          <w:p w14:paraId="75CA6163" w14:textId="77777777" w:rsidR="008B77C1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NVDA sinks despite a decent option edge</w:t>
            </w:r>
            <w:r>
              <w:rPr>
                <w:rFonts w:eastAsia="Arial"/>
              </w:rPr>
              <w:t xml:space="preserve"> — overbought and extended, its technical bucket (23) drags it down. GLD lands last: solid technicals can't offset gold's thin premium, which is why low-premium diversifiers are surfaced in the per-sleeve view instead.</w:t>
            </w:r>
          </w:p>
        </w:tc>
      </w:tr>
    </w:tbl>
    <w:p w14:paraId="569D36A7" w14:textId="77777777" w:rsidR="008B77C1" w:rsidRDefault="00000000">
      <w:pPr>
        <w:pStyle w:val="Heading1"/>
      </w:pPr>
      <w:bookmarkStart w:id="15" w:name="_Toc232237192"/>
      <w:r>
        <w:t>6. The diversification score, with live examples</w:t>
      </w:r>
      <w:bookmarkEnd w:id="15"/>
    </w:p>
    <w:p w14:paraId="68467836" w14:textId="77777777" w:rsidR="008B77C1" w:rsidRDefault="00000000">
      <w:pPr>
        <w:spacing w:after="120"/>
      </w:pPr>
      <w:r>
        <w:rPr>
          <w:rFonts w:eastAsia="Arial"/>
        </w:rPr>
        <w:t>Selling many puts that all move together concentrates risk — if the market drops, every position hurts at once. The diversification score rewards candidates whose returns move differently from what you already own, smoothing the portfolio and improving risk-adjusted return.</w:t>
      </w:r>
    </w:p>
    <w:p w14:paraId="727E9DC2" w14:textId="77777777" w:rsidR="008B77C1" w:rsidRDefault="00000000">
      <w:pPr>
        <w:pStyle w:val="Heading2"/>
      </w:pPr>
      <w:bookmarkStart w:id="16" w:name="_Toc232237193"/>
      <w:r>
        <w:t>6.1 How it is measured</w:t>
      </w:r>
      <w:bookmarkEnd w:id="16"/>
    </w:p>
    <w:p w14:paraId="7E771C20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Read the last ~6 months of daily returns for the candidate and for each stock/ETF you currently hold.</w:t>
      </w:r>
    </w:p>
    <w:p w14:paraId="3A7EF32F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Compute the correlation between the candidate and each holding (–1 to +1: +1 = moves identically, 0 = unrelated, –1 = opposite).</w:t>
      </w:r>
    </w:p>
    <w:p w14:paraId="334419C8" w14:textId="77777777" w:rsidR="008B77C1" w:rsidRDefault="00000000">
      <w:pPr>
        <w:pStyle w:val="ListParagraph"/>
        <w:numPr>
          <w:ilvl w:val="0"/>
          <w:numId w:val="4"/>
        </w:numPr>
        <w:spacing w:after="60"/>
      </w:pPr>
      <w:r>
        <w:rPr>
          <w:rFonts w:eastAsia="Arial"/>
        </w:rPr>
        <w:t>Average those correlations, then map the average to a 0–100 score.</w:t>
      </w:r>
    </w:p>
    <w:p w14:paraId="569DE0FA" w14:textId="77777777" w:rsidR="008B77C1" w:rsidRDefault="00000000">
      <w:pPr>
        <w:spacing w:after="120"/>
      </w:pPr>
      <w:r>
        <w:rPr>
          <w:rFonts w:eastAsia="Arial"/>
        </w:rPr>
        <w:t xml:space="preserve">The mapping is </w:t>
      </w:r>
      <w:r>
        <w:rPr>
          <w:rFonts w:eastAsia="Arial"/>
          <w:b/>
          <w:bCs/>
        </w:rPr>
        <w:t>score = (1 − average correlation) ÷ 2 × 100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8B77C1" w14:paraId="36194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B010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Average correlation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161A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Score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BB77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Meaning</w:t>
            </w:r>
          </w:p>
        </w:tc>
      </w:tr>
      <w:tr w:rsidR="008B77C1" w14:paraId="2A23B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0450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–1.0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482A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100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4C5C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perfectly opposite to your book (ideal diversifier)</w:t>
            </w:r>
          </w:p>
        </w:tc>
      </w:tr>
      <w:tr w:rsidR="008B77C1" w14:paraId="241F6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0849B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–0.5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BFACF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75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1C27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Strong diversifier</w:t>
            </w:r>
          </w:p>
        </w:tc>
      </w:tr>
      <w:tr w:rsidR="008B77C1" w14:paraId="1B5F1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9504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800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50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4E2D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Unrelated</w:t>
            </w:r>
          </w:p>
        </w:tc>
      </w:tr>
      <w:tr w:rsidR="008B77C1" w14:paraId="2F9AD1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A56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+0.2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2C50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2B29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4C0E8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D687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A9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25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94024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Moves largely with your book</w:t>
            </w:r>
          </w:p>
        </w:tc>
      </w:tr>
      <w:tr w:rsidR="008B77C1" w14:paraId="4BF7E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9A59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+1.0</w:t>
            </w:r>
          </w:p>
        </w:tc>
        <w:tc>
          <w:tcPr>
            <w:tcW w:w="1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2E467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0</w:t>
            </w:r>
          </w:p>
        </w:tc>
        <w:tc>
          <w:tcPr>
            <w:tcW w:w="54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2CFE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Redundant with what you hold</w:t>
            </w:r>
          </w:p>
        </w:tc>
      </w:tr>
    </w:tbl>
    <w:p w14:paraId="7FE1FC9A" w14:textId="77777777" w:rsidR="008B77C1" w:rsidRDefault="008B77C1">
      <w:pPr>
        <w:spacing w:after="40"/>
      </w:pPr>
    </w:p>
    <w:p w14:paraId="1BA4925D" w14:textId="77777777" w:rsidR="008B77C1" w:rsidRDefault="00000000">
      <w:pPr>
        <w:spacing w:after="120"/>
      </w:pPr>
      <w:r>
        <w:rPr>
          <w:rFonts w:eastAsia="Arial"/>
        </w:rPr>
        <w:t xml:space="preserve">Crucially this is an </w:t>
      </w:r>
      <w:r>
        <w:rPr>
          <w:rFonts w:eastAsia="Arial"/>
          <w:b/>
          <w:bCs/>
        </w:rPr>
        <w:t>absolute</w:t>
      </w:r>
      <w:r>
        <w:rPr>
          <w:rFonts w:eastAsia="Arial"/>
        </w:rPr>
        <w:t xml:space="preserve"> scale, not a percentile. If nothing on offer is genuinely uncorrelated, nothing scores high — the system won't pretend the “least bad” option is a good diversifier.</w:t>
      </w:r>
    </w:p>
    <w:p w14:paraId="138FBB5A" w14:textId="77777777" w:rsidR="008B77C1" w:rsidRDefault="00000000">
      <w:pPr>
        <w:pStyle w:val="Heading2"/>
      </w:pPr>
      <w:bookmarkStart w:id="17" w:name="_Toc232237194"/>
      <w:r>
        <w:t>6.2 A live example</w:t>
      </w:r>
      <w:bookmarkEnd w:id="17"/>
    </w:p>
    <w:p w14:paraId="0C131CB4" w14:textId="77777777" w:rsidR="008B77C1" w:rsidRDefault="00000000">
      <w:pPr>
        <w:spacing w:after="120"/>
      </w:pPr>
      <w:r>
        <w:rPr>
          <w:rFonts w:eastAsia="Arial"/>
        </w:rPr>
        <w:t>Suppose your current book is nine positions: CMCSA, HOOD, MSFT, O, OMC, OTEX, PEP, QQQ, and WMT. Here is how four candidates score against it: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860"/>
        <w:gridCol w:w="3100"/>
      </w:tblGrid>
      <w:tr w:rsidR="008B77C1" w14:paraId="1CAD8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D0EC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Candidate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BDC07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Avg correlation to your book</w:t>
            </w:r>
          </w:p>
        </w:tc>
        <w:tc>
          <w:tcPr>
            <w:tcW w:w="18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4E0C4" w14:textId="77777777" w:rsidR="008B77C1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Diversification score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B271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Read</w:t>
            </w:r>
          </w:p>
        </w:tc>
      </w:tr>
      <w:tr w:rsidR="008B77C1" w14:paraId="66343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40E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E56D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+0.07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749A9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46.5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1A1A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Barely correlated — surprisingly diversifying because your book isn't purely tech</w:t>
            </w:r>
          </w:p>
        </w:tc>
      </w:tr>
      <w:tr w:rsidR="008B77C1" w14:paraId="04A6B7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A602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NVDA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759F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3093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5241A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Mildly correlated</w:t>
            </w:r>
          </w:p>
        </w:tc>
      </w:tr>
      <w:tr w:rsidR="008B77C1" w14:paraId="51618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8588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GLD (gold)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8F236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+0.11</w:t>
            </w:r>
          </w:p>
        </w:tc>
        <w:tc>
          <w:tcPr>
            <w:tcW w:w="1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0B9D1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44.5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5433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Low correlation, but not negative right now</w:t>
            </w:r>
          </w:p>
        </w:tc>
      </w:tr>
      <w:tr w:rsidR="008B77C1" w14:paraId="368CF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B41D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TLT (bonds)</w:t>
            </w:r>
          </w:p>
        </w:tc>
        <w:tc>
          <w:tcPr>
            <w:tcW w:w="27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9CF8A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+0.15</w:t>
            </w:r>
          </w:p>
        </w:tc>
        <w:tc>
          <w:tcPr>
            <w:tcW w:w="18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BB355" w14:textId="77777777" w:rsidR="008B77C1" w:rsidRDefault="00000000">
            <w:pPr>
              <w:jc w:val="center"/>
            </w:pPr>
            <w:r>
              <w:rPr>
                <w:rFonts w:eastAsia="Arial"/>
                <w:color w:val="000000"/>
                <w:sz w:val="19"/>
                <w:szCs w:val="19"/>
              </w:rPr>
              <w:t>42.5</w:t>
            </w:r>
          </w:p>
        </w:tc>
        <w:tc>
          <w:tcPr>
            <w:tcW w:w="31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B815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Even bonds are mildly positive in the current regime</w:t>
            </w:r>
          </w:p>
        </w:tc>
      </w:tr>
    </w:tbl>
    <w:p w14:paraId="5A0D75C8" w14:textId="77777777" w:rsidR="008B77C1" w:rsidRDefault="008B77C1">
      <w:pPr>
        <w:spacing w:after="4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D9A7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6C5358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honest reality of “diversification”</w:t>
            </w:r>
          </w:p>
          <w:p w14:paraId="43C64111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Every score clusters in the 40s. Over the last six months </w:t>
            </w:r>
            <w:r>
              <w:rPr>
                <w:rFonts w:eastAsia="Arial"/>
                <w:b/>
                <w:bCs/>
              </w:rPr>
              <w:t>nothing</w:t>
            </w:r>
            <w:r>
              <w:rPr>
                <w:rFonts w:eastAsia="Arial"/>
              </w:rPr>
              <w:t xml:space="preserve"> — not even gold or long-term bonds — was negatively correlated to the book. In stress, most things fall together.</w:t>
            </w:r>
          </w:p>
          <w:p w14:paraId="27BB0A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So the diversification </w:t>
            </w:r>
            <w:r>
              <w:rPr>
                <w:rFonts w:eastAsia="Arial"/>
                <w:i/>
                <w:iCs/>
              </w:rPr>
              <w:t>score</w:t>
            </w:r>
            <w:r>
              <w:rPr>
                <w:rFonts w:eastAsia="Arial"/>
              </w:rPr>
              <w:t xml:space="preserve"> is only a gentle nudge today. The heavy lifting is done by the </w:t>
            </w:r>
            <w:r>
              <w:rPr>
                <w:rFonts w:eastAsia="Arial"/>
                <w:b/>
                <w:bCs/>
              </w:rPr>
              <w:t>“best per sleeve”</w:t>
            </w:r>
            <w:r>
              <w:rPr>
                <w:rFonts w:eastAsia="Arial"/>
              </w:rPr>
              <w:t xml:space="preserve"> view, which guarantees you see the best bond, gold, REIT and index trade on their own merits — real diversification comes from holding </w:t>
            </w:r>
            <w:r>
              <w:rPr>
                <w:rFonts w:eastAsia="Arial"/>
                <w:i/>
                <w:iCs/>
              </w:rPr>
              <w:t>different asset classes</w:t>
            </w:r>
            <w:r>
              <w:rPr>
                <w:rFonts w:eastAsia="Arial"/>
              </w:rPr>
              <w:t>, which individual stocks can't provide.</w:t>
            </w:r>
          </w:p>
        </w:tc>
      </w:tr>
    </w:tbl>
    <w:p w14:paraId="397AE3A5" w14:textId="77777777" w:rsidR="008B77C1" w:rsidRDefault="00000000">
      <w:pPr>
        <w:pStyle w:val="Heading1"/>
      </w:pPr>
      <w:bookmarkStart w:id="18" w:name="_Toc232237195"/>
      <w:r>
        <w:t>7. Position sizing and exposure</w:t>
      </w:r>
      <w:bookmarkEnd w:id="18"/>
    </w:p>
    <w:p w14:paraId="3A7BFFC4" w14:textId="77777777" w:rsidR="008B77C1" w:rsidRDefault="00000000">
      <w:pPr>
        <w:spacing w:after="120"/>
      </w:pPr>
      <w:r>
        <w:rPr>
          <w:rFonts w:eastAsia="Arial"/>
        </w:rPr>
        <w:t xml:space="preserve">The system recommends how many contracts (“lots”) to sell so a bad outcome stays within a set fraction of your account. It assumes you'd exit once the stock is </w:t>
      </w:r>
      <w:r>
        <w:rPr>
          <w:rFonts w:eastAsia="Arial"/>
          <w:i/>
          <w:iCs/>
        </w:rPr>
        <w:t>15% below the strike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3574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FDF5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The sizing formula</w:t>
            </w:r>
          </w:p>
          <w:p w14:paraId="75F7DDF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Risk per contract = strike × 100 × 15%</w:t>
            </w:r>
          </w:p>
          <w:p w14:paraId="410BA3B3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Lots = (account value × 3%) ÷ risk per contract</w:t>
            </w:r>
          </w:p>
          <w:p w14:paraId="7693E8CF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Example: a $190 strike on a $700,000 account → risk/contract = 190 × 100 × 0.15 = $2,850; budget = $21,000; lots = 7.</w:t>
            </w:r>
          </w:p>
        </w:tc>
      </w:tr>
    </w:tbl>
    <w:p w14:paraId="65F6A8F6" w14:textId="77777777" w:rsidR="008B77C1" w:rsidRDefault="00000000">
      <w:pPr>
        <w:spacing w:after="120"/>
      </w:pPr>
      <w:r>
        <w:rPr>
          <w:rFonts w:eastAsia="Arial"/>
        </w:rPr>
        <w:t xml:space="preserve">Account value is read automatically from your broker (“Net Liquidation”). The monitor also shows </w:t>
      </w:r>
      <w:r>
        <w:rPr>
          <w:rFonts w:eastAsia="Arial"/>
          <w:b/>
          <w:bCs/>
        </w:rPr>
        <w:t>exposure</w:t>
      </w:r>
      <w:r>
        <w:rPr>
          <w:rFonts w:eastAsia="Arial"/>
        </w:rPr>
        <w:t xml:space="preserve"> per position — the dollar loss if it reached your stop (</w:t>
      </w:r>
      <w:r>
        <w:rPr>
          <w:rFonts w:eastAsia="Arial"/>
          <w:i/>
          <w:iCs/>
        </w:rPr>
        <w:t>strike × 15% × 100 × contracts</w:t>
      </w:r>
      <w:r>
        <w:rPr>
          <w:rFonts w:eastAsia="Arial"/>
        </w:rPr>
        <w:t>) — totalled as a % of your account.</w:t>
      </w:r>
    </w:p>
    <w:p w14:paraId="42BCCC52" w14:textId="77777777" w:rsidR="008B77C1" w:rsidRDefault="00000000">
      <w:pPr>
        <w:pStyle w:val="Heading1"/>
      </w:pPr>
      <w:bookmarkStart w:id="19" w:name="_Toc232237196"/>
      <w:r>
        <w:t>8. Managing open positions</w:t>
      </w:r>
      <w:bookmarkEnd w:id="19"/>
    </w:p>
    <w:p w14:paraId="5FF72F4B" w14:textId="77777777" w:rsidR="008B77C1" w:rsidRDefault="00000000">
      <w:pPr>
        <w:pStyle w:val="Heading2"/>
      </w:pPr>
      <w:bookmarkStart w:id="20" w:name="_Toc232237197"/>
      <w:r>
        <w:t>8.1 The monitor</w:t>
      </w:r>
      <w:bookmarkEnd w:id="20"/>
    </w:p>
    <w:p w14:paraId="28DE315B" w14:textId="77777777" w:rsidR="008B77C1" w:rsidRDefault="00000000">
      <w:pPr>
        <w:spacing w:after="120"/>
      </w:pPr>
      <w:r>
        <w:rPr>
          <w:rFonts w:eastAsia="Arial"/>
        </w:rPr>
        <w:t>Each open position is labelled with an action:</w:t>
      </w:r>
    </w:p>
    <w:p w14:paraId="6F18331E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1E7145"/>
        </w:rPr>
        <w:t>CLOSE — a short put that has reached ~70% of its max profit, or is within 21 days of expiry: lock in the gain. (If you still like the trade you can roll it out to a later expiry for fresh credit instead of closing flat.)</w:t>
      </w:r>
      <w:r>
        <w:rPr>
          <w:rFonts w:eastAsia="Arial"/>
        </w:rPr>
      </w:r>
      <w:r w:rsidR="00AD0886">
        <w:rPr>
          <w:rStyle w:val="CommentReference"/>
          <w:rFonts w:eastAsia="Arial"/>
          <w:sz w:val="22"/>
          <w:szCs w:val="22"/>
        </w:rPr>
      </w:r>
      <w:r>
        <w:rPr>
          <w:rFonts w:eastAsia="Arial"/>
        </w:rPr>
      </w:r>
    </w:p>
    <w:p w14:paraId="0E6DF58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  <w:color w:val="2E75B6"/>
        </w:rPr>
        <w:t>ROLL? — a put whose stock has fallen to or below the strike (at/in-the-money): roll it down-and-out for a net credit, or accept assignment and start selling covered calls against the shares (the wheel’s second leg).</w:t>
      </w:r>
      <w:r w:rsidR="00AD0886">
        <w:rPr>
          <w:rStyle w:val="CommentReference"/>
          <w:rFonts w:eastAsia="Arial"/>
          <w:b/>
          <w:bCs/>
          <w:color w:val="2E75B6"/>
          <w:sz w:val="22"/>
          <w:szCs w:val="22"/>
        </w:rPr>
      </w:r>
      <w:r>
        <w:rPr>
          <w:rFonts w:eastAsia="Arial"/>
          <w:b/>
          <w:bCs/>
          <w:color w:val="2E75B6"/>
        </w:rPr>
      </w:r>
      <w:r>
        <w:rPr>
          <w:rFonts w:eastAsia="Arial"/>
        </w:rPr>
      </w:r>
    </w:p>
    <w:p w14:paraId="2B71A1D9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HOLD</w:t>
      </w:r>
      <w:r>
        <w:rPr>
          <w:rFonts w:eastAsia="Arial"/>
        </w:rPr>
        <w:t xml:space="preserve"> — everything else.</w:t>
      </w:r>
    </w:p>
    <w:p>
      <w:pPr/>
      <w:r>
        <w:rPr>
          <w:b w:val="0"/>
        </w:rPr>
        <w:t>Each position also shows its collateral (the cash set aside = strike × 100 × contracts) and the underlying’s dividend yield, so you can see the capital tied up and the income you’d earn if assigned.</w:t>
      </w:r>
    </w:p>
    <w:p>
      <w:pPr/>
      <w:r>
        <w:rPr>
          <w:b w:val="0"/>
        </w:rPr>
        <w:t>Each row also shows the next earnings date (as M/D), so you can spot binary risk before it hits, alongside the dollar exposure at your stop.</w:t>
      </w:r>
    </w:p>
    <w:p w14:paraId="415ADF31" w14:textId="77777777" w:rsidR="008B77C1" w:rsidRDefault="00000000">
      <w:pPr>
        <w:pStyle w:val="Heading2"/>
      </w:pPr>
      <w:bookmarkStart w:id="23" w:name="_Toc232237198"/>
      <w:r>
        <w:t>8.2 Roll suggestions</w:t>
      </w:r>
      <w:bookmarkEnd w:id="23"/>
    </w:p>
    <w:p w14:paraId="56314114" w14:textId="77777777" w:rsidR="008B77C1" w:rsidRDefault="00000000">
      <w:pPr>
        <w:spacing w:after="120"/>
      </w:pPr>
      <w:r>
        <w:rPr>
          <w:rFonts w:eastAsia="Arial"/>
        </w:rPr>
        <w:t>For any flagged position, the system reuses the same scoring engine on that stock's later-dated puts. Instead of three strikes in one expiry, it now shows the best replacement per expiry across several different DTEs — so you can compare durations — each with the net credit (what you’d collect to roll out, after buying back the current option). Positive = you’re paid to extend.</w:t>
      </w:r>
      <w:r>
        <w:rPr>
          <w:rFonts w:eastAsia="Arial"/>
          <w:b/>
          <w:bCs/>
        </w:rPr>
      </w:r>
      <w:r>
        <w:rPr>
          <w:rFonts w:eastAsia="Arial"/>
        </w:rPr>
      </w:r>
      <w:r>
        <w:rPr>
          <w:rFonts w:eastAsia="Arial"/>
          <w:i/>
          <w:iCs/>
        </w:rPr>
      </w:r>
      <w:r>
        <w:rPr>
          <w:rFonts w:eastAsia="Arial"/>
        </w:rPr>
      </w:r>
    </w:p>
    <w:p w14:paraId="3A9A73C8" w14:textId="77777777" w:rsidR="008B77C1" w:rsidRDefault="00000000">
      <w:pPr>
        <w:pStyle w:val="Heading2"/>
      </w:pPr>
      <w:bookmarkStart w:id="24" w:name="_Toc232237199"/>
      <w:r>
        <w:t>8.3 Stops (the safety net)</w:t>
      </w:r>
      <w:bookmarkEnd w:id="24"/>
    </w:p>
    <w:p w14:paraId="52589F7D" w14:textId="77777777" w:rsidR="008B77C1" w:rsidRDefault="00000000">
      <w:pPr>
        <w:spacing w:after="120"/>
      </w:pPr>
      <w:r>
        <w:rPr>
          <w:rFonts w:eastAsia="Arial"/>
        </w:rPr>
        <w:lastRenderedPageBreak/>
        <w:t xml:space="preserve">The stop tool proposes </w:t>
      </w:r>
      <w:r>
        <w:rPr>
          <w:rFonts w:eastAsia="Arial"/>
          <w:i/>
          <w:iCs/>
        </w:rPr>
        <w:t>buy-to-close</w:t>
      </w:r>
      <w:r>
        <w:rPr>
          <w:rFonts w:eastAsia="Arial"/>
        </w:rPr>
        <w:t xml:space="preserve"> orders that trigger when the stock falls to </w:t>
      </w:r>
      <w:r>
        <w:rPr>
          <w:rFonts w:eastAsia="Arial"/>
          <w:b/>
          <w:bCs/>
        </w:rPr>
        <w:t>7% below the strike</w:t>
      </w:r>
      <w:r>
        <w:rPr>
          <w:rFonts w:eastAsia="Arial"/>
        </w:rPr>
        <w:t xml:space="preserve"> (you size for a 15% move but cut earlier, at 7% — a safety buffer). It is </w:t>
      </w:r>
      <w:r>
        <w:rPr>
          <w:rFonts w:eastAsia="Arial"/>
          <w:b/>
          <w:bCs/>
        </w:rPr>
        <w:t>advisory by default</w:t>
      </w:r>
      <w:r>
        <w:rPr>
          <w:rFonts w:eastAsia="Arial"/>
        </w:rPr>
        <w:t xml:space="preserve"> and submits nothing until you switch it to live and confirm. It never duplicates an existing stop.</w:t>
      </w: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29598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B6477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Why the stop watches the stock, not the option price</w:t>
            </w:r>
          </w:p>
          <w:p w14:paraId="5D79EBD7" w14:textId="77777777" w:rsidR="008B77C1" w:rsidRDefault="00000000">
            <w:pPr>
              <w:spacing w:after="40"/>
            </w:pPr>
            <w:r>
              <w:rPr>
                <w:rFonts w:eastAsia="Arial"/>
              </w:rPr>
              <w:t>A conventional stop sits on the option's own price, but option quotes are thin and jumpy — a single bad print can fire it at a terrible fill. Triggering on the underlying stock (a deep, clean market) avoids those false exits and matches the “exit if the stock drops X%” rule directly.</w:t>
            </w:r>
          </w:p>
        </w:tc>
      </w:tr>
    </w:tbl>
    <w:p>
      <w:pPr>
        <w:pStyle w:val="Heading2"/>
      </w:pPr>
      <w:r>
        <w:t>8.4 Call-write suggestions (covered calls &amp; roll-ups)</w:t>
      </w:r>
    </w:p>
    <w:p>
      <w:pPr/>
      <w:r>
        <w:rPr>
          <w:b w:val="0"/>
        </w:rPr>
        <w:t>When you hold shares (or long calls), the monitor suggests calls you could sell — the mirror of the put-entry logic. Against shares that’s a covered call; against a long call, selling a higher call is a spread / roll-up. It looks only at conservative, further-out-of-the-money strikes (0.15–0.25 delta) so your shares are unlikely to be called away, and it applies no gates — every eligible call is scored and shown.</w:t>
      </w:r>
    </w:p>
    <w:p>
      <w:pPr/>
      <w:r>
        <w:rPr>
          <w:b w:val="0"/>
        </w:rPr>
        <w:t>Each candidate’s score blends two parts, plus a small bonus:</w:t>
      </w:r>
    </w:p>
    <w:p>
      <w:pPr/>
      <w:r>
        <w:rPr>
          <w:b w:val="0"/>
        </w:rPr>
        <w:t>•  Option edge (60%) — IV rank, IV/HV, and the annualized premium yield on the shares, ranked across all candidates. Rewards rich premium.</w:t>
      </w:r>
    </w:p>
    <w:p>
      <w:pPr/>
      <w:r>
        <w:rPr>
          <w:b w:val="0"/>
        </w:rPr>
        <w:t>•  Resistance cushion (40%) — how far the strike sits above near-term resistance (the higher of the 20-day upper Bollinger band and the 20-day high). A strike above resistance is less likely to be reached, so you keep your shares. This mirrors the support cushion on the put side.</w:t>
      </w:r>
    </w:p>
    <w:p>
      <w:pPr/>
      <w:r>
        <w:rPr>
          <w:b w:val="0"/>
        </w:rPr>
        <w:t>•  3-month-high bonus (small, capped) — a few extra points only when the strike clears the ~3-month high and/or the stock is trading near that high (writing at the top of the range). The 3-month high is always shown as a column, but only nudges the score where it’s actually meaningful — so a far-away long-horizon level doesn’t flood you with useless signals on a one-month option.</w:t>
      </w:r>
    </w:p>
    <w:p>
      <w:pPr/>
      <w:r>
        <w:rPr>
          <w:b w:val="0"/>
        </w:rPr>
        <w:t>It won’t suggest writing more calls than you can cover: writable lots = shares ÷ 100 + long calls − calls you’ve already sold. A fully-covered name can be skipped, or shown anyway so the suggestions double as roll targets for calls you already hold (the current default).</w:t>
      </w:r>
    </w:p>
    <w:p>
      <w:pPr/>
      <w:r>
        <w:rPr>
          <w:b/>
        </w:rPr>
        <w:t>Worked example.</w:t>
      </w:r>
    </w:p>
    <w:p>
      <w:pPr/>
      <w:r>
        <w:rPr>
          <w:b w:val="0"/>
        </w:rPr>
        <w:t>Say you hold 300 WMT shares (3 lots), WMT is $121, near-term resistance (the 20-day band/high) is about $126, and the 3-month high is $135. A $122 call at 47 days has delta 0.23 and a $3.80 mid — roughly 24% annualized on the shares — but its strike is below resistance (cushion −3.3%) and well under the 3-month high, so it earns no bonus and lands mid-pack. A $127 call clears near-term resistance (cushion +0.8%) for a little less premium, so it scores higher on safety and lower on yield — the system shows both so you pick your aggressiveness. If WMT were near $134 (within 3% of its $135 high) and you wrote the $135 call, the capped +6 bonus would kick in — that’s writing calls right at the top of the range, where it’s most attractive.</w:t>
      </w:r>
    </w:p>
    <w:p w14:paraId="6A0F05E6" w14:textId="77777777" w:rsidR="008B77C1" w:rsidRDefault="00000000">
      <w:pPr>
        <w:pStyle w:val="Heading1"/>
      </w:pPr>
      <w:bookmarkStart w:id="25" w:name="_Toc232237200"/>
      <w:r>
        <w:t>9. Delivery and automation</w:t>
      </w:r>
      <w:bookmarkEnd w:id="25"/>
    </w:p>
    <w:p w14:paraId="5D623C18" w14:textId="77777777" w:rsidR="008B77C1" w:rsidRDefault="00000000">
      <w:pPr>
        <w:spacing w:after="120"/>
      </w:pPr>
      <w:r>
        <w:rPr>
          <w:rFonts w:eastAsia="Arial"/>
        </w:rPr>
        <w:t>Reports arrive as a Telegram message — free, instant, on your phone.</w:t>
      </w:r>
    </w:p>
    <w:p>
      <w:pPr/>
      <w:r>
        <w:rPr>
          <w:b w:val="0"/>
        </w:rPr>
        <w:t>To keep it readable on a phone, each report is compact (one line per item, dates as M/D, abbreviated labels). The full tables are also attached as CSV files — tap one to open it in a spreadsheet app, with every column and no width limits.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8B77C1" w14:paraId="31E99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84202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Piece</w:t>
            </w:r>
          </w:p>
        </w:tc>
        <w:tc>
          <w:tcPr>
            <w:tcW w:w="4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8FFAB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Where it runs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5451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Needs the broker app open?</w:t>
            </w:r>
          </w:p>
        </w:tc>
      </w:tr>
      <w:tr w:rsidR="008B77C1" w14:paraId="50FD5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47D4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Screener report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752F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cloud (GitHub Actions), free, daily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72B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No — uses free public data</w:t>
            </w:r>
          </w:p>
        </w:tc>
      </w:tr>
      <w:tr w:rsidR="008B77C1" w14:paraId="5E228D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151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Full report (positions, exposure, rolls)</w:t>
            </w:r>
          </w:p>
        </w:tc>
        <w:tc>
          <w:tcPr>
            <w:tcW w:w="4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62468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 (Windows Task Scheduler)</w:t>
            </w:r>
          </w:p>
        </w:tc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85BB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 — needs the broker connection</w:t>
            </w:r>
          </w:p>
        </w:tc>
      </w:tr>
      <w:tr w:rsidR="008B77C1" w14:paraId="217F4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7D58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Stops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67FF7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PC, on demand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194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Yes</w:t>
            </w:r>
          </w:p>
        </w:tc>
      </w:tr>
    </w:tbl>
    <w:p w14:paraId="2AFB496D" w14:textId="77777777" w:rsidR="008B77C1" w:rsidRDefault="008B77C1">
      <w:pPr>
        <w:spacing w:after="60"/>
      </w:pPr>
    </w:p>
    <w:tbl>
      <w:tblPr>
        <w:tblW w:w="9360" w:type="dxa"/>
        <w:tblBorders>
          <w:top w:val="single" w:sz="1" w:space="0" w:color="2E75B6"/>
          <w:left w:val="single" w:sz="12" w:space="0" w:color="2E75B6"/>
          <w:bottom w:val="single" w:sz="1" w:space="0" w:color="2E75B6"/>
          <w:right w:val="single" w:sz="1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7C1" w14:paraId="4E6B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CB15E" w14:textId="77777777" w:rsidR="008B77C1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All the settings live in one file (config.json)</w:t>
            </w:r>
          </w:p>
          <w:p w14:paraId="046D23AA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The tunable knobs — scoring weights, gate thresholds, the trend rule, sizing, stop levels — live in a single </w:t>
            </w:r>
            <w:r>
              <w:rPr>
                <w:rFonts w:eastAsia="Arial"/>
                <w:b/>
                <w:bCs/>
              </w:rPr>
              <w:t>config.json</w:t>
            </w:r>
            <w:r>
              <w:rPr>
                <w:rFonts w:eastAsia="Arial"/>
              </w:rPr>
              <w:t>. You edit values there, never the code.</w:t>
            </w:r>
          </w:p>
          <w:p w14:paraId="69FDF34B" w14:textId="77777777" w:rsidR="008B77C1" w:rsidRDefault="00000000">
            <w:pPr>
              <w:spacing w:after="40"/>
            </w:pPr>
            <w:r>
              <w:rPr>
                <w:rFonts w:eastAsia="Arial"/>
              </w:rPr>
              <w:t xml:space="preserve">It is committed to the GitHub repo, so the cloud screener and your PC read the </w:t>
            </w:r>
            <w:r>
              <w:rPr>
                <w:rFonts w:eastAsia="Arial"/>
                <w:i/>
                <w:iCs/>
              </w:rPr>
              <w:t>same</w:t>
            </w:r>
            <w:r>
              <w:rPr>
                <w:rFonts w:eastAsia="Arial"/>
              </w:rPr>
              <w:t xml:space="preserve"> settings. After changing it: git add config.json → git commit → git push.</w:t>
            </w:r>
          </w:p>
        </w:tc>
      </w:tr>
    </w:tbl>
    <w:p w14:paraId="09BA3003" w14:textId="77777777" w:rsidR="008B77C1" w:rsidRDefault="00000000">
      <w:pPr>
        <w:spacing w:after="120"/>
      </w:pPr>
      <w:r>
        <w:rPr>
          <w:rFonts w:eastAsia="Arial"/>
        </w:rPr>
        <w:t>One honest limitation: a fully hands-off broker login isn't possible (two-factor authentication). The practical setup is to leave the broker gateway running with “auto-restart” on; log in once and re-confirm roughly weekly. The scheduled jobs connect to the already-running gateway.</w:t>
      </w:r>
    </w:p>
    <w:p w14:paraId="385FDB53" w14:textId="77777777" w:rsidR="008B77C1" w:rsidRDefault="00000000">
      <w:pPr>
        <w:pStyle w:val="Heading1"/>
      </w:pPr>
      <w:bookmarkStart w:id="31" w:name="_Toc232237206"/>
      <w:r>
        <w:t>10. Where the details and code live</w:t>
      </w:r>
      <w:r/>
      <w:bookmarkEnd w:id="31"/>
    </w:p>
    <w:p w14:paraId="506DD0C0" w14:textId="77777777" w:rsidR="008B77C1" w:rsidRDefault="00000000">
      <w:pPr>
        <w:spacing w:after="120"/>
      </w:pPr>
      <w:r>
        <w:rPr>
          <w:rFonts w:eastAsia="Arial"/>
        </w:rPr>
        <w:t>This guide is the friendly overview. Two companion documents go deeper:</w:t>
      </w:r>
    </w:p>
    <w:p w14:paraId="1FEE282C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TECHNICAL_DOC.md</w:t>
      </w:r>
      <w:r>
        <w:rPr>
          <w:rFonts w:eastAsia="Arial"/>
        </w:rPr>
        <w:t xml:space="preserve"> — the full reference, including every setting and the complete source code in an appendix.</w:t>
      </w:r>
    </w:p>
    <w:p w14:paraId="0E87F255" w14:textId="77777777" w:rsidR="008B77C1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PROJECT_LOG.md</w:t>
      </w:r>
      <w:r>
        <w:rPr>
          <w:rFonts w:eastAsia="Arial"/>
        </w:rPr>
        <w:t xml:space="preserve"> — the chronological build journal: every decision, why, and how it was tested.</w:t>
      </w:r>
    </w:p>
    <w:p w14:paraId="10687243" w14:textId="77777777" w:rsidR="008B77C1" w:rsidRDefault="00000000">
      <w:pPr>
        <w:spacing w:after="120"/>
      </w:pPr>
      <w:r>
        <w:rPr>
          <w:rFonts w:eastAsia="Arial"/>
        </w:rPr>
        <w:t>Key files: screener.py (find), monitor.py (manage), place_stops.py (protect), daily_report.py + notify.py (deliver), update_iv_history.py (weekly volatility refresh), config.json (all settings), and the GitHub Actions workflow (cloud automation). Layout: all Python lives in code/, generated outputs in reports/, and config.json / telegram_config.json in the project root.</w:t>
      </w:r>
    </w:p>
    <w:p w14:paraId="11F41D7B" w14:textId="77777777" w:rsidR="008B77C1" w:rsidRDefault="008B77C1">
      <w:pPr>
        <w:spacing w:after="120"/>
      </w:pPr>
    </w:p>
    <w:p w14:paraId="5D1BA071" w14:textId="77777777" w:rsidR="008B77C1" w:rsidRDefault="00000000">
      <w:pPr>
        <w:spacing w:after="120"/>
      </w:pPr>
      <w:r>
        <w:rPr>
          <w:rFonts w:eastAsia="Arial"/>
          <w:i/>
          <w:iCs/>
          <w:color w:val="888888"/>
          <w:sz w:val="18"/>
          <w:szCs w:val="18"/>
        </w:rPr>
        <w:t>Reminder: this system is personal tooling to organize decisions and cap risk. It is not investment advice, and you remain in control of every order it might place.</w:t>
      </w:r>
    </w:p>
    <w:p w14:paraId="46D08987" w14:textId="77777777" w:rsidR="008B77C1" w:rsidRDefault="00000000">
      <w:pPr>
        <w:pStyle w:val="Heading1"/>
      </w:pPr>
      <w:bookmarkStart w:id="26" w:name="_Toc232237201"/>
      <w:r>
        <w:t>11. Glossary</w:t>
      </w:r>
      <w:bookmarkEnd w:id="26"/>
    </w:p>
    <w:p w14:paraId="4938E0DA" w14:textId="77777777" w:rsidR="008B77C1" w:rsidRDefault="00000000">
      <w:pPr>
        <w:pStyle w:val="Heading2"/>
      </w:pPr>
      <w:bookmarkStart w:id="27" w:name="_Toc232237202"/>
      <w:r>
        <w:t>11.1 Output columns (what each header means)</w:t>
      </w:r>
      <w:bookmarkEnd w:id="27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056"/>
      </w:tblGrid>
      <w:tr w:rsidR="008B77C1" w14:paraId="0E812FE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1F3864"/>
          </w:tcPr>
          <w:p w14:paraId="2616D8BF" w14:textId="77777777" w:rsidR="008B77C1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7056" w:type="dxa"/>
            <w:shd w:val="clear" w:color="auto" w:fill="1F3864"/>
          </w:tcPr>
          <w:p w14:paraId="5585F126" w14:textId="77777777" w:rsidR="008B77C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8B77C1" w14:paraId="045BBDA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D165B87" w14:textId="77777777" w:rsidR="008B77C1" w:rsidRDefault="00000000">
            <w:r>
              <w:rPr>
                <w:rFonts w:ascii="Consolas" w:hAnsi="Consolas"/>
                <w:sz w:val="19"/>
              </w:rPr>
              <w:t>ticker</w:t>
            </w:r>
          </w:p>
        </w:tc>
        <w:tc>
          <w:tcPr>
            <w:tcW w:w="7056" w:type="dxa"/>
          </w:tcPr>
          <w:p w14:paraId="2DC1F188" w14:textId="77777777" w:rsidR="008B77C1" w:rsidRDefault="00000000">
            <w:r>
              <w:rPr>
                <w:sz w:val="19"/>
              </w:rPr>
              <w:t>Stock or ETF symbol</w:t>
            </w:r>
          </w:p>
        </w:tc>
      </w:tr>
      <w:tr w:rsidR="008B77C1" w14:paraId="4F4E303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E889CCB" w14:textId="77777777" w:rsidR="008B77C1" w:rsidRDefault="00000000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7056" w:type="dxa"/>
          </w:tcPr>
          <w:p w14:paraId="69F3F6C1" w14:textId="77777777" w:rsidR="008B77C1" w:rsidRDefault="00000000">
            <w:r>
              <w:rPr>
                <w:sz w:val="19"/>
              </w:rPr>
              <w:t>Option type (P = put)</w:t>
            </w:r>
          </w:p>
        </w:tc>
      </w:tr>
      <w:tr w:rsidR="008B77C1" w14:paraId="1DC9F09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59D841B" w14:textId="77777777" w:rsidR="008B77C1" w:rsidRDefault="00000000">
            <w:r>
              <w:rPr>
                <w:rFonts w:ascii="Consolas" w:hAnsi="Consolas"/>
                <w:sz w:val="19"/>
              </w:rPr>
              <w:t>stock_price</w:t>
            </w:r>
          </w:p>
        </w:tc>
        <w:tc>
          <w:tcPr>
            <w:tcW w:w="7056" w:type="dxa"/>
          </w:tcPr>
          <w:p w14:paraId="06E1C186" w14:textId="77777777" w:rsidR="008B77C1" w:rsidRDefault="00000000">
            <w:r>
              <w:rPr>
                <w:sz w:val="19"/>
              </w:rPr>
              <w:t>Current price of the underlying</w:t>
            </w:r>
          </w:p>
        </w:tc>
      </w:tr>
      <w:tr w:rsidR="008B77C1" w14:paraId="5EB9E4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720CD6A" w14:textId="77777777" w:rsidR="008B77C1" w:rsidRDefault="00000000">
            <w:r>
              <w:rPr>
                <w:rFonts w:ascii="Consolas" w:hAnsi="Consolas"/>
                <w:sz w:val="19"/>
              </w:rPr>
              <w:t>otm_%</w:t>
            </w:r>
          </w:p>
        </w:tc>
        <w:tc>
          <w:tcPr>
            <w:tcW w:w="7056" w:type="dxa"/>
          </w:tcPr>
          <w:p w14:paraId="70754A8D" w14:textId="77777777" w:rsidR="008B77C1" w:rsidRDefault="00000000">
            <w:r>
              <w:rPr>
                <w:sz w:val="19"/>
              </w:rPr>
              <w:t>How far the stock is above your strike — the downside cushion before assignment</w:t>
            </w:r>
          </w:p>
        </w:tc>
      </w:tr>
      <w:tr w:rsidR="008B77C1" w14:paraId="0A302AA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7C33E3" w14:textId="77777777" w:rsidR="008B77C1" w:rsidRDefault="00000000">
            <w:r>
              <w:rPr>
                <w:rFonts w:ascii="Consolas" w:hAnsi="Consolas"/>
                <w:sz w:val="19"/>
              </w:rPr>
              <w:t>expiry</w:t>
            </w:r>
          </w:p>
        </w:tc>
        <w:tc>
          <w:tcPr>
            <w:tcW w:w="7056" w:type="dxa"/>
          </w:tcPr>
          <w:p w14:paraId="63DF5797" w14:textId="77777777" w:rsidR="008B77C1" w:rsidRDefault="00000000">
            <w:r>
              <w:rPr>
                <w:sz w:val="19"/>
              </w:rPr>
              <w:t>Option expiration date</w:t>
            </w:r>
          </w:p>
        </w:tc>
      </w:tr>
      <w:tr w:rsidR="008B77C1" w14:paraId="6F3E70E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E1FB1F" w14:textId="77777777" w:rsidR="008B77C1" w:rsidRDefault="00000000">
            <w:r>
              <w:rPr>
                <w:rFonts w:ascii="Consolas" w:hAnsi="Consolas"/>
                <w:sz w:val="19"/>
              </w:rPr>
              <w:t>dte</w:t>
            </w:r>
          </w:p>
        </w:tc>
        <w:tc>
          <w:tcPr>
            <w:tcW w:w="7056" w:type="dxa"/>
          </w:tcPr>
          <w:p w14:paraId="1C6BD105" w14:textId="77777777" w:rsidR="008B77C1" w:rsidRDefault="00000000">
            <w:r>
              <w:rPr>
                <w:sz w:val="19"/>
              </w:rPr>
              <w:t>Days to expiry</w:t>
            </w:r>
          </w:p>
        </w:tc>
      </w:tr>
      <w:tr w:rsidR="008B77C1" w14:paraId="7B9E42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97F1235" w14:textId="77777777" w:rsidR="008B77C1" w:rsidRDefault="00000000">
            <w:r>
              <w:rPr>
                <w:rFonts w:ascii="Consolas" w:hAnsi="Consolas"/>
                <w:sz w:val="19"/>
              </w:rPr>
              <w:t>strike</w:t>
            </w:r>
          </w:p>
        </w:tc>
        <w:tc>
          <w:tcPr>
            <w:tcW w:w="7056" w:type="dxa"/>
          </w:tcPr>
          <w:p w14:paraId="2AEA5A7D" w14:textId="77777777" w:rsidR="008B77C1" w:rsidRDefault="00000000">
            <w:r>
              <w:rPr>
                <w:sz w:val="19"/>
              </w:rPr>
              <w:t>The put strike you would sell</w:t>
            </w:r>
          </w:p>
        </w:tc>
      </w:tr>
      <w:tr w:rsidR="008B77C1" w14:paraId="3E1FE1B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159DCD9" w14:textId="77777777" w:rsidR="008B77C1" w:rsidRDefault="00000000">
            <w:r>
              <w:rPr>
                <w:rFonts w:ascii="Consolas" w:hAnsi="Consolas"/>
                <w:sz w:val="19"/>
              </w:rPr>
              <w:t>mid</w:t>
            </w:r>
          </w:p>
        </w:tc>
        <w:tc>
          <w:tcPr>
            <w:tcW w:w="7056" w:type="dxa"/>
          </w:tcPr>
          <w:p w14:paraId="6F7A33BE" w14:textId="77777777" w:rsidR="008B77C1" w:rsidRDefault="00000000">
            <w:r>
              <w:rPr>
                <w:sz w:val="19"/>
              </w:rPr>
              <w:t>Option mid-price — the premium per share you'd collect</w:t>
            </w:r>
          </w:p>
        </w:tc>
      </w:tr>
      <w:tr w:rsidR="008B77C1" w14:paraId="0CD0BD5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823A2EA" w14:textId="77777777" w:rsidR="008B77C1" w:rsidRDefault="00000000">
            <w:r>
              <w:rPr>
                <w:rFonts w:ascii="Consolas" w:hAnsi="Consolas"/>
                <w:sz w:val="19"/>
              </w:rPr>
              <w:t>lots</w:t>
            </w:r>
          </w:p>
        </w:tc>
        <w:tc>
          <w:tcPr>
            <w:tcW w:w="7056" w:type="dxa"/>
          </w:tcPr>
          <w:p w14:paraId="3A2DDEFF" w14:textId="77777777" w:rsidR="008B77C1" w:rsidRDefault="00000000">
            <w:r>
              <w:rPr>
                <w:sz w:val="19"/>
              </w:rPr>
              <w:t>Recommended number of contracts under the sizing rule</w:t>
            </w:r>
          </w:p>
        </w:tc>
      </w:tr>
      <w:tr w:rsidR="008B77C1" w14:paraId="72CAEE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EFDAC18" w14:textId="77777777" w:rsidR="008B77C1" w:rsidRDefault="00000000">
            <w:r>
              <w:rPr>
                <w:rFonts w:ascii="Consolas" w:hAnsi="Consolas"/>
                <w:sz w:val="19"/>
              </w:rPr>
              <w:t>open_int</w:t>
            </w:r>
          </w:p>
        </w:tc>
        <w:tc>
          <w:tcPr>
            <w:tcW w:w="7056" w:type="dxa"/>
          </w:tcPr>
          <w:p w14:paraId="24BFF29B" w14:textId="77777777" w:rsidR="008B77C1" w:rsidRDefault="00000000">
            <w:r>
              <w:rPr>
                <w:sz w:val="19"/>
              </w:rPr>
              <w:t>Open interest: outstanding contracts at that strike — a liquidity gauge (higher = easier fills)</w:t>
            </w:r>
          </w:p>
        </w:tc>
      </w:tr>
      <w:tr w:rsidR="008B77C1" w14:paraId="4151E8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E31C43F" w14:textId="77777777" w:rsidR="008B77C1" w:rsidRDefault="00000000">
            <w:r>
              <w:rPr>
                <w:rFonts w:ascii="Consolas" w:hAnsi="Consolas"/>
                <w:sz w:val="19"/>
              </w:rPr>
              <w:t>delta</w:t>
            </w:r>
          </w:p>
        </w:tc>
        <w:tc>
          <w:tcPr>
            <w:tcW w:w="7056" w:type="dxa"/>
          </w:tcPr>
          <w:p w14:paraId="0642876C" w14:textId="77777777" w:rsidR="008B77C1" w:rsidRDefault="00000000">
            <w:r>
              <w:rPr>
                <w:sz w:val="19"/>
              </w:rPr>
              <w:t>Roughly the chance the option finishes in-the-money (negative for puts)</w:t>
            </w:r>
          </w:p>
        </w:tc>
      </w:tr>
      <w:tr w:rsidR="008B77C1" w14:paraId="260881A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E4A3A19" w14:textId="77777777" w:rsidR="008B77C1" w:rsidRDefault="00000000">
            <w:r>
              <w:rPr>
                <w:rFonts w:ascii="Consolas" w:hAnsi="Consolas"/>
                <w:sz w:val="19"/>
              </w:rPr>
              <w:lastRenderedPageBreak/>
              <w:t>iv_pct</w:t>
            </w:r>
          </w:p>
        </w:tc>
        <w:tc>
          <w:tcPr>
            <w:tcW w:w="7056" w:type="dxa"/>
          </w:tcPr>
          <w:p w14:paraId="00A3C6A6" w14:textId="77777777" w:rsidR="008B77C1" w:rsidRDefault="00000000">
            <w:r>
              <w:rPr>
                <w:sz w:val="19"/>
              </w:rPr>
              <w:t>Implied volatility, annualized (%)</w:t>
            </w:r>
          </w:p>
        </w:tc>
      </w:tr>
      <w:tr w:rsidR="008B77C1" w14:paraId="0CB4A04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2F61E797" w14:textId="77777777" w:rsidR="008B77C1" w:rsidRDefault="00000000">
            <w:r>
              <w:rPr>
                <w:rFonts w:ascii="Consolas" w:hAnsi="Consolas"/>
                <w:sz w:val="19"/>
              </w:rPr>
              <w:t>hv_pct</w:t>
            </w:r>
          </w:p>
        </w:tc>
        <w:tc>
          <w:tcPr>
            <w:tcW w:w="7056" w:type="dxa"/>
          </w:tcPr>
          <w:p w14:paraId="59FE52A0" w14:textId="77777777" w:rsidR="008B77C1" w:rsidRDefault="00000000">
            <w:r>
              <w:rPr>
                <w:sz w:val="19"/>
              </w:rPr>
              <w:t>Historical (realized) volatility, annualized (%)</w:t>
            </w:r>
          </w:p>
        </w:tc>
      </w:tr>
      <w:tr w:rsidR="008B77C1" w14:paraId="6526A2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8748A6D" w14:textId="77777777" w:rsidR="008B77C1" w:rsidRDefault="00000000">
            <w:r>
              <w:rPr>
                <w:rFonts w:ascii="Consolas" w:hAnsi="Consolas"/>
                <w:sz w:val="19"/>
              </w:rPr>
              <w:t>iv_hv</w:t>
            </w:r>
          </w:p>
        </w:tc>
        <w:tc>
          <w:tcPr>
            <w:tcW w:w="7056" w:type="dxa"/>
          </w:tcPr>
          <w:p w14:paraId="79EF1C89" w14:textId="77777777" w:rsidR="008B77C1" w:rsidRDefault="00000000">
            <w:r>
              <w:rPr>
                <w:sz w:val="19"/>
              </w:rPr>
              <w:t>IV / HV — the richness ratio; above 1 favors sellers</w:t>
            </w:r>
          </w:p>
        </w:tc>
      </w:tr>
      <w:tr w:rsidR="008B77C1" w14:paraId="14E7E8A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63B2702" w14:textId="77777777" w:rsidR="008B77C1" w:rsidRDefault="00000000">
            <w:r>
              <w:rPr>
                <w:rFonts w:ascii="Consolas" w:hAnsi="Consolas"/>
                <w:sz w:val="19"/>
              </w:rPr>
              <w:t>bb_z</w:t>
            </w:r>
          </w:p>
        </w:tc>
        <w:tc>
          <w:tcPr>
            <w:tcW w:w="7056" w:type="dxa"/>
          </w:tcPr>
          <w:p w14:paraId="765423A2" w14:textId="77777777" w:rsidR="008B77C1" w:rsidRDefault="00000000">
            <w:r>
              <w:rPr>
                <w:sz w:val="19"/>
              </w:rPr>
              <w:t>Std-deviations below the 20-day mean; very negative = deeply oversold (earns a bonus)</w:t>
            </w:r>
          </w:p>
        </w:tc>
      </w:tr>
      <w:tr w:rsidR="008B77C1" w14:paraId="49BEF1C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D415D2" w14:textId="77777777" w:rsidR="008B77C1" w:rsidRDefault="00000000">
            <w:r>
              <w:rPr>
                <w:rFonts w:ascii="Consolas" w:hAnsi="Consolas"/>
                <w:sz w:val="19"/>
              </w:rPr>
              <w:t>iv_rank</w:t>
            </w:r>
          </w:p>
        </w:tc>
        <w:tc>
          <w:tcPr>
            <w:tcW w:w="7056" w:type="dxa"/>
          </w:tcPr>
          <w:p w14:paraId="2655EF02" w14:textId="77777777" w:rsidR="008B77C1" w:rsidRDefault="00000000">
            <w:r>
              <w:rPr>
                <w:sz w:val="19"/>
              </w:rPr>
              <w:t>Where today's IV sits in its own past year, 0-100</w:t>
            </w:r>
          </w:p>
        </w:tc>
      </w:tr>
      <w:tr w:rsidR="008B77C1" w14:paraId="2163CE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D4E0ECC" w14:textId="77777777" w:rsidR="008B77C1" w:rsidRDefault="00000000">
            <w:r>
              <w:rPr>
                <w:rFonts w:ascii="Consolas" w:hAnsi="Consolas"/>
                <w:sz w:val="19"/>
              </w:rPr>
              <w:t>iv_src</w:t>
            </w:r>
          </w:p>
        </w:tc>
        <w:tc>
          <w:tcPr>
            <w:tcW w:w="7056" w:type="dxa"/>
          </w:tcPr>
          <w:p w14:paraId="769A8817" w14:textId="77777777" w:rsidR="008B77C1" w:rsidRDefault="00000000">
            <w:r>
              <w:rPr>
                <w:sz w:val="19"/>
              </w:rPr>
              <w:t>Source of the IV-rank figure (IBKR history, or an IV/HV proxy)</w:t>
            </w:r>
          </w:p>
        </w:tc>
      </w:tr>
      <w:tr w:rsidR="008B77C1" w14:paraId="3E2627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0CEFE6B4" w14:textId="77777777" w:rsidR="008B77C1" w:rsidRDefault="00000000">
            <w:r>
              <w:rPr>
                <w:rFonts w:ascii="Consolas" w:hAnsi="Consolas"/>
                <w:sz w:val="19"/>
              </w:rPr>
              <w:t>ann_ret_pct</w:t>
            </w:r>
          </w:p>
        </w:tc>
        <w:tc>
          <w:tcPr>
            <w:tcW w:w="7056" w:type="dxa"/>
          </w:tcPr>
          <w:p w14:paraId="6A724DF9" w14:textId="77777777" w:rsidR="008B77C1" w:rsidRDefault="00000000">
            <w:r>
              <w:rPr>
                <w:sz w:val="19"/>
              </w:rPr>
              <w:t>Annualized return on the cash set aside as collateral</w:t>
            </w:r>
          </w:p>
        </w:tc>
      </w:tr>
      <w:tr w:rsidR="008B77C1" w14:paraId="323C37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8C0254C" w14:textId="77777777" w:rsidR="008B77C1" w:rsidRDefault="00000000">
            <w:r>
              <w:rPr>
                <w:rFonts w:ascii="Consolas" w:hAnsi="Consolas"/>
                <w:sz w:val="19"/>
              </w:rPr>
              <w:t>div_corr</w:t>
            </w:r>
          </w:p>
        </w:tc>
        <w:tc>
          <w:tcPr>
            <w:tcW w:w="7056" w:type="dxa"/>
          </w:tcPr>
          <w:p w14:paraId="5E63B5A4" w14:textId="77777777" w:rsidR="008B77C1" w:rsidRDefault="00000000">
            <w:r>
              <w:rPr>
                <w:sz w:val="19"/>
              </w:rPr>
              <w:t>Average correlation of this name to your current holdings</w:t>
            </w:r>
          </w:p>
        </w:tc>
      </w:tr>
      <w:tr w:rsidR="008B77C1" w14:paraId="1716C3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4B1821AC" w14:textId="77777777" w:rsidR="008B77C1" w:rsidRDefault="00000000">
            <w:r>
              <w:rPr>
                <w:rFonts w:ascii="Consolas" w:hAnsi="Consolas"/>
                <w:sz w:val="19"/>
              </w:rPr>
              <w:t>spread_pct</w:t>
            </w:r>
          </w:p>
        </w:tc>
        <w:tc>
          <w:tcPr>
            <w:tcW w:w="7056" w:type="dxa"/>
          </w:tcPr>
          <w:p w14:paraId="77D08F4F" w14:textId="77777777" w:rsidR="008B77C1" w:rsidRDefault="00000000">
            <w:r>
              <w:rPr>
                <w:sz w:val="19"/>
              </w:rPr>
              <w:t>Bid/ask spread as a % of mid — tightness/liquidity of the quote</w:t>
            </w:r>
          </w:p>
        </w:tc>
      </w:tr>
      <w:tr w:rsidR="008B77C1" w14:paraId="139A3C5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5F440090" w14:textId="77777777" w:rsidR="008B77C1" w:rsidRDefault="00000000">
            <w:r>
              <w:rPr>
                <w:rFonts w:ascii="Consolas" w:hAnsi="Consolas"/>
                <w:sz w:val="19"/>
              </w:rPr>
              <w:t>volume</w:t>
            </w:r>
          </w:p>
        </w:tc>
        <w:tc>
          <w:tcPr>
            <w:tcW w:w="7056" w:type="dxa"/>
          </w:tcPr>
          <w:p w14:paraId="4ED6702D" w14:textId="77777777" w:rsidR="008B77C1" w:rsidRDefault="00000000">
            <w:r>
              <w:rPr>
                <w:sz w:val="19"/>
              </w:rPr>
              <w:t>Today's traded contract count at that strike</w:t>
            </w:r>
          </w:p>
        </w:tc>
      </w:tr>
      <w:tr w:rsidR="008B77C1" w14:paraId="770CA4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F09FF8C" w14:textId="77777777" w:rsidR="008B77C1" w:rsidRDefault="00000000">
            <w:r>
              <w:rPr>
                <w:rFonts w:ascii="Consolas" w:hAnsi="Consolas"/>
                <w:sz w:val="19"/>
              </w:rPr>
              <w:t>score_option / score_technical / score_diversify</w:t>
            </w:r>
          </w:p>
        </w:tc>
        <w:tc>
          <w:tcPr>
            <w:tcW w:w="7056" w:type="dxa"/>
          </w:tcPr>
          <w:p w14:paraId="5D9D4FD6" w14:textId="77777777" w:rsidR="008B77C1" w:rsidRDefault="00000000">
            <w:r>
              <w:rPr>
                <w:sz w:val="19"/>
              </w:rPr>
              <w:t>The three bucket scores, 0-100</w:t>
            </w:r>
          </w:p>
        </w:tc>
      </w:tr>
      <w:tr w:rsidR="008B77C1" w14:paraId="3AAF5C66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3B0FA196" w14:textId="77777777" w:rsidR="008B77C1" w:rsidRDefault="00000000">
            <w:r>
              <w:rPr>
                <w:rFonts w:ascii="Consolas" w:hAnsi="Consolas"/>
                <w:sz w:val="19"/>
              </w:rPr>
              <w:t>score</w:t>
            </w:r>
          </w:p>
        </w:tc>
        <w:tc>
          <w:tcPr>
            <w:tcW w:w="7056" w:type="dxa"/>
          </w:tcPr>
          <w:p w14:paraId="61B6BE4C" w14:textId="77777777" w:rsidR="008B77C1" w:rsidRDefault="00000000">
            <w:r>
              <w:rPr>
                <w:sz w:val="19"/>
              </w:rPr>
              <w:t>The final weighted composite — the ranking number</w:t>
            </w:r>
          </w:p>
        </w:tc>
      </w:tr>
      <w:tr w:rsidR="008B77C1" w14:paraId="2E58B8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74789961" w14:textId="77777777" w:rsidR="008B77C1" w:rsidRDefault="00000000">
            <w:r>
              <w:rPr>
                <w:rFonts w:ascii="Consolas" w:hAnsi="Consolas"/>
                <w:sz w:val="19"/>
              </w:rPr>
              <w:t>money</w:t>
            </w:r>
          </w:p>
        </w:tc>
        <w:tc>
          <w:tcPr>
            <w:tcW w:w="7056" w:type="dxa"/>
          </w:tcPr>
          <w:p w14:paraId="51A126C2" w14:textId="77777777" w:rsidR="008B77C1" w:rsidRDefault="00000000">
            <w:r>
              <w:rPr>
                <w:sz w:val="19"/>
              </w:rPr>
              <w:t>(monitor) ITM / ATM / OTM — in, at, or out of the money</w:t>
            </w:r>
          </w:p>
        </w:tc>
      </w:tr>
      <w:tr w:rsidR="008B77C1" w14:paraId="1D13A2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CAB8A34" w14:textId="77777777" w:rsidR="008B77C1" w:rsidRDefault="00000000">
            <w:r>
              <w:rPr>
                <w:rFonts w:ascii="Consolas" w:hAnsi="Consolas"/>
                <w:sz w:val="19"/>
              </w:rPr>
              <w:t>exposure</w:t>
            </w:r>
          </w:p>
        </w:tc>
        <w:tc>
          <w:tcPr>
            <w:tcW w:w="7056" w:type="dxa"/>
          </w:tcPr>
          <w:p w14:paraId="7BE1B618" w14:textId="77777777" w:rsidR="008B77C1" w:rsidRDefault="00000000">
            <w:r>
              <w:rPr>
                <w:sz w:val="19"/>
              </w:rPr>
              <w:t>(monitor) Dollar loss if the position hit its stop (strike x 15% x 100 x lots)</w:t>
            </w:r>
          </w:p>
        </w:tc>
      </w:tr>
      <w:tr w:rsidR="008B77C1" w14:paraId="1802067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1546D0F9" w14:textId="77777777" w:rsidR="008B77C1" w:rsidRDefault="00000000">
            <w:r>
              <w:rPr>
                <w:rFonts w:ascii="Consolas" w:hAnsi="Consolas"/>
                <w:sz w:val="19"/>
              </w:rPr>
              <w:t>sleeve</w:t>
            </w:r>
          </w:p>
        </w:tc>
        <w:tc>
          <w:tcPr>
            <w:tcW w:w="7056" w:type="dxa"/>
          </w:tcPr>
          <w:p w14:paraId="58CBA83D" w14:textId="77777777" w:rsidR="008B77C1" w:rsidRDefault="00000000">
            <w:r>
              <w:rPr>
                <w:sz w:val="19"/>
              </w:rPr>
              <w:t>Asset-class / sector grouping used for diversification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earnings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Next earnings date (shown as M/D); blank for ETFs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basis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shares (covered call) or long call (roll-up / spread)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resist_cushion_%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strike vs near-term resistance; positive = above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9"/>
              </w:rPr>
              <w:t>high_3m / strike_vs_3mhigh_%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Call-writes: the ~3-month high and the strike’s distance to it</w:t>
            </w:r>
          </w:p>
        </w:tc>
      </w:tr>
    </w:tbl>
    <w:p w14:paraId="20BE3EE6" w14:textId="77777777" w:rsidR="008B77C1" w:rsidRDefault="00000000">
      <w:pPr>
        <w:pStyle w:val="Heading2"/>
      </w:pPr>
      <w:bookmarkStart w:id="28" w:name="_Toc232237203"/>
      <w:r>
        <w:t>11.2 Command reference (running the scripts)</w:t>
      </w:r>
      <w:bookmarkEnd w:id="28"/>
    </w:p>
    <w:p w14:paraId="3D7FBE38" w14:textId="77777777" w:rsidR="008B77C1" w:rsidRDefault="00000000">
      <w:r>
        <w:t>Run everything from the project folder C:\ibkr_screener. On the PC always use the venv interpreter (venv\Scripts\python.exe) so the IBKR library is available, and run screener.py before daily_report.py. Scripts marked "needs IB Gateway" require the broker app open and logged in.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4896"/>
      </w:tblGrid>
      <w:tr w:rsidR="008B77C1" w14:paraId="5A09147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shd w:val="clear" w:color="auto" w:fill="1F3864"/>
          </w:tcPr>
          <w:p w14:paraId="68B13AD1" w14:textId="77777777" w:rsidR="008B77C1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896" w:type="dxa"/>
            <w:shd w:val="clear" w:color="auto" w:fill="1F3864"/>
          </w:tcPr>
          <w:p w14:paraId="722A40E9" w14:textId="77777777" w:rsidR="008B77C1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8B77C1" w14:paraId="648DED36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29621F2D" w14:textId="77777777" w:rsidR="008B77C1" w:rsidRDefault="00000000">
            <w:r>
              <w:rPr>
                <w:rFonts w:ascii="Consolas" w:hAnsi="Consolas"/>
                <w:sz w:val="19"/>
              </w:rPr>
              <w:t>cd C:\ibkr_screener</w:t>
            </w:r>
          </w:p>
        </w:tc>
        <w:tc>
          <w:tcPr>
            <w:tcW w:w="4896" w:type="dxa"/>
          </w:tcPr>
          <w:p w14:paraId="3452B8F2" w14:textId="77777777" w:rsidR="008B77C1" w:rsidRDefault="00000000">
            <w:r>
              <w:rPr>
                <w:sz w:val="19"/>
              </w:rPr>
              <w:t>Open a terminal in the project folder first</w:t>
            </w:r>
          </w:p>
        </w:tc>
      </w:tr>
      <w:tr w:rsidR="008B77C1" w14:paraId="57091941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3D20D88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code\screener.py</w:t>
            </w:r>
          </w:p>
        </w:tc>
        <w:tc>
          <w:tcPr>
            <w:tcW w:w="4896" w:type="dxa"/>
          </w:tcPr>
          <w:p w14:paraId="1C5DD6E0" w14:textId="77777777" w:rsidR="008B77C1" w:rsidRDefault="00000000">
            <w:r>
              <w:rPr>
                <w:sz w:val="19"/>
              </w:rPr>
              <w:t>Find &amp; rank candidates -&gt; screener_output.csv</w:t>
            </w:r>
          </w:p>
        </w:tc>
      </w:tr>
      <w:tr w:rsidR="008B77C1" w14:paraId="7F64467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131AB034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code\daily_report.py</w:t>
            </w:r>
          </w:p>
        </w:tc>
        <w:tc>
          <w:tcPr>
            <w:tcW w:w="4896" w:type="dxa"/>
          </w:tcPr>
          <w:p w14:paraId="01E6695A" w14:textId="77777777" w:rsidR="008B77C1" w:rsidRDefault="00000000">
            <w:r>
              <w:rPr>
                <w:sz w:val="19"/>
              </w:rPr>
              <w:t>Build &amp; send the Telegram digest (run after screener)</w:t>
            </w:r>
          </w:p>
        </w:tc>
      </w:tr>
      <w:tr w:rsidR="008B77C1" w14:paraId="75F935E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44F0E402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code\monitor.py</w:t>
            </w:r>
          </w:p>
        </w:tc>
        <w:tc>
          <w:tcPr>
            <w:tcW w:w="4896" w:type="dxa"/>
          </w:tcPr>
          <w:p w14:paraId="6867ECED" w14:textId="77777777" w:rsidR="008B77C1" w:rsidRDefault="00000000">
            <w:r>
              <w:rPr>
                <w:sz w:val="19"/>
              </w:rPr>
              <w:t>Open positions, P&amp;L, exposure, rolls  (needs IB Gateway)</w:t>
            </w:r>
          </w:p>
        </w:tc>
      </w:tr>
      <w:tr w:rsidR="008B77C1" w14:paraId="2F51F8DE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4950D9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code\place_stops.py</w:t>
            </w:r>
          </w:p>
        </w:tc>
        <w:tc>
          <w:tcPr>
            <w:tcW w:w="4896" w:type="dxa"/>
          </w:tcPr>
          <w:p w14:paraId="1538639B" w14:textId="77777777" w:rsidR="008B77C1" w:rsidRDefault="00000000">
            <w:r>
              <w:rPr>
                <w:sz w:val="19"/>
              </w:rPr>
              <w:t>Review stops; set MODE='live' + type YES to place  (needs IB Gateway)</w:t>
            </w:r>
          </w:p>
        </w:tc>
      </w:tr>
      <w:tr w:rsidR="008B77C1" w14:paraId="2F12B1F2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6C52207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code\update_iv_history.py</w:t>
            </w:r>
          </w:p>
        </w:tc>
        <w:tc>
          <w:tcPr>
            <w:tcW w:w="4896" w:type="dxa"/>
          </w:tcPr>
          <w:p w14:paraId="03B76E64" w14:textId="77777777" w:rsidR="008B77C1" w:rsidRDefault="00000000">
            <w:r>
              <w:rPr>
                <w:sz w:val="19"/>
              </w:rPr>
              <w:t>Weekly IV/HV refresh -&gt; data\iv_history.csv  (needs IB Gateway)</w:t>
            </w:r>
          </w:p>
        </w:tc>
      </w:tr>
      <w:tr w:rsidR="008B77C1" w14:paraId="3A28298C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7B414C8E" w14:textId="77777777" w:rsidR="008B77C1" w:rsidRDefault="00000000">
            <w:r>
              <w:rPr>
                <w:rFonts w:ascii="Consolas" w:hAnsi="Consolas"/>
                <w:sz w:val="19"/>
              </w:rPr>
              <w:t>venv\Scripts\python.exe code\notify.py</w:t>
            </w:r>
          </w:p>
        </w:tc>
        <w:tc>
          <w:tcPr>
            <w:tcW w:w="4896" w:type="dxa"/>
          </w:tcPr>
          <w:p w14:paraId="1322D3E8" w14:textId="77777777" w:rsidR="008B77C1" w:rsidRDefault="00000000">
            <w:r>
              <w:rPr>
                <w:sz w:val="19"/>
              </w:rPr>
              <w:t>Send a Telegram test message</w:t>
            </w:r>
          </w:p>
        </w:tc>
      </w:tr>
      <w:tr w:rsidR="008B77C1" w14:paraId="1DD08297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</w:tcPr>
          <w:p w14:paraId="31CEB787" w14:textId="77777777" w:rsidR="008B77C1" w:rsidRDefault="00000000">
            <w:r>
              <w:rPr>
                <w:rFonts w:ascii="Consolas" w:hAnsi="Consolas"/>
                <w:sz w:val="19"/>
              </w:rPr>
              <w:t>run_daily.bat   /   run_weekly.bat</w:t>
            </w:r>
          </w:p>
        </w:tc>
        <w:tc>
          <w:tcPr>
            <w:tcW w:w="4896" w:type="dxa"/>
          </w:tcPr>
          <w:p w14:paraId="62637D73" w14:textId="77777777" w:rsidR="008B77C1" w:rsidRDefault="00000000">
            <w:r>
              <w:rPr>
                <w:sz w:val="19"/>
              </w:rPr>
              <w:t>Run the whole daily / weekly flow at once</w:t>
            </w:r>
          </w:p>
        </w:tc>
      </w:tr>
    </w:tbl>
    <w:p w14:paraId="632E9E37" w14:textId="77777777" w:rsidR="008B77C1" w:rsidRDefault="00000000">
      <w:pPr>
        <w:pStyle w:val="Heading2"/>
      </w:pPr>
      <w:bookmarkStart w:id="29" w:name="_Toc232237204"/>
      <w:r>
        <w:t>11.3 Terms</w:t>
      </w:r>
      <w:bookmarkEnd w:id="29"/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8B77C1" w14:paraId="2C89D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88923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Term</w:t>
            </w:r>
          </w:p>
        </w:tc>
        <w:tc>
          <w:tcPr>
            <w:tcW w:w="706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1BF6F" w14:textId="77777777" w:rsidR="008B77C1" w:rsidRDefault="00000000"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Plain meaning</w:t>
            </w:r>
          </w:p>
        </w:tc>
      </w:tr>
      <w:tr w:rsidR="008B77C1" w14:paraId="4A5C1F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0F5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Put option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18DDD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contract to sell (or, for the seller, potentially buy) a stock at a set price by a set date</w:t>
            </w:r>
          </w:p>
        </w:tc>
      </w:tr>
      <w:tr w:rsidR="008B77C1" w14:paraId="3CC8A0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94913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Strike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4D0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agreed price in the option contract</w:t>
            </w:r>
          </w:p>
        </w:tc>
      </w:tr>
      <w:tr w:rsidR="008B77C1" w14:paraId="6F132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410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Premium / credit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BBE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cash you receive for selling the option</w:t>
            </w:r>
          </w:p>
        </w:tc>
      </w:tr>
      <w:tr w:rsidR="008B77C1" w14:paraId="785AF7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65155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Cash-secured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B05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 set aside enough cash to buy the shares if assigned</w:t>
            </w:r>
          </w:p>
        </w:tc>
      </w:tr>
      <w:tr w:rsidR="008B77C1" w14:paraId="749BCE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4E5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Assignment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D3F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Being required to buy the shares because the put finished in-the-money</w:t>
            </w:r>
          </w:p>
        </w:tc>
      </w:tr>
      <w:tr w:rsidR="008B77C1" w14:paraId="2247E4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F419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RSI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539D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Relative Strength Index — a 0–100 momentum gauge (low = oversold, high = overbought)</w:t>
            </w:r>
          </w:p>
        </w:tc>
      </w:tr>
      <w:tr w:rsidR="008B77C1" w14:paraId="42EDB9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92A48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Bollinger Bands / %B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D33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A 20-day average ± 2σ band; %B is where price sits inside it (0 = lower band, 1 = upper)</w:t>
            </w:r>
          </w:p>
        </w:tc>
      </w:tr>
      <w:tr w:rsidR="008B77C1" w14:paraId="666D8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9289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The wheel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4EA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Sell puts → if assigned, own shares → sell calls → repeat</w:t>
            </w:r>
          </w:p>
        </w:tc>
      </w:tr>
      <w:tr w:rsidR="008B77C1" w14:paraId="1CE13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18C9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DTE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476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Days to expiry</w:t>
            </w:r>
          </w:p>
        </w:tc>
      </w:tr>
      <w:tr w:rsidR="008B77C1" w14:paraId="2D3168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428B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lastRenderedPageBreak/>
              <w:t>Roll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C8EDC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Close the current option and open a later one, usually for a net credit</w:t>
            </w:r>
          </w:p>
        </w:tc>
      </w:tr>
      <w:tr w:rsidR="008B77C1" w14:paraId="2C664D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19392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GTC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3056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“Good till cancelled” — an order that rests at the broker until filled or pulled</w:t>
            </w:r>
          </w:p>
        </w:tc>
      </w:tr>
      <w:tr w:rsidR="008B77C1" w14:paraId="2AC14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6188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Commit / push (Git)</w:t>
            </w:r>
          </w:p>
        </w:tc>
        <w:tc>
          <w:tcPr>
            <w:tcW w:w="7060" w:type="dxa"/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70400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“Commit” saves a snapshot of your files locally; “push” uploads it to GitHub so the cloud uses it</w:t>
            </w:r>
          </w:p>
        </w:tc>
      </w:tr>
      <w:tr w:rsidR="008B77C1" w14:paraId="305AA5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00F31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NetLiquidation (NLV)</w:t>
            </w:r>
          </w:p>
        </w:tc>
        <w:tc>
          <w:tcPr>
            <w:tcW w:w="7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3B02F" w14:textId="77777777" w:rsidR="008B77C1" w:rsidRDefault="00000000">
            <w:r>
              <w:rPr>
                <w:rFonts w:eastAsia="Arial"/>
                <w:color w:val="000000"/>
                <w:sz w:val="19"/>
                <w:szCs w:val="19"/>
              </w:rPr>
              <w:t>Your account's total value, used for sizing</w:t>
            </w:r>
          </w:p>
        </w:tc>
      </w:tr>
    </w:tbl>
    <w:p w14:paraId="208598CE" w14:textId="77777777" w:rsidR="008B77C1" w:rsidRDefault="00000000">
      <w:pPr>
        <w:pStyle w:val="Heading2"/>
      </w:pPr>
      <w:bookmarkStart w:id="30" w:name="_Toc232237205"/>
      <w:r>
        <w:t>11.4 Sleeve abbreviations</w:t>
      </w:r>
      <w:bookmarkEnd w:id="30"/>
    </w:p>
    <w:p w14:paraId="4043D208" w14:textId="77777777" w:rsidR="008B77C1" w:rsidRDefault="00000000">
      <w:r>
        <w:t xml:space="preserve">In the daily Telegram digest, the </w:t>
      </w:r>
      <w:r>
        <w:rPr>
          <w:b/>
        </w:rPr>
        <w:t>Best per sleeve</w:t>
      </w:r>
      <w:r>
        <w:t xml:space="preserve"> line lists one top candidate per diversification sleeve so you can build a book spread across asset classes. To keep each entry on a single phone line, the sleeve name is shortened to a 5-6 letter code. Each line reads: SLEEVE  TICKER  strikeP  dte  Δdelta  yield%  score. Use the tables below to decode the sleeve codes.</w:t>
      </w:r>
    </w:p>
    <w:p w14:paraId="04DD436B" w14:textId="77777777" w:rsidR="008B77C1" w:rsidRDefault="00000000">
      <w:pPr>
        <w:pStyle w:val="Heading3"/>
      </w:pPr>
      <w:r>
        <w:t>ETF / asset-class sleeves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7AC95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770106D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6132F40C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363FE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35EC6F" w14:textId="77777777" w:rsidR="008B77C1" w:rsidRDefault="00000000">
            <w:r>
              <w:rPr>
                <w:sz w:val="20"/>
              </w:rPr>
              <w:t>Equity Index</w:t>
            </w:r>
          </w:p>
        </w:tc>
        <w:tc>
          <w:tcPr>
            <w:tcW w:w="4680" w:type="dxa"/>
          </w:tcPr>
          <w:p w14:paraId="67BC1A0A" w14:textId="77777777" w:rsidR="008B77C1" w:rsidRDefault="00000000">
            <w:r>
              <w:rPr>
                <w:rFonts w:ascii="Consolas" w:hAnsi="Consolas"/>
                <w:b/>
                <w:sz w:val="20"/>
              </w:rPr>
              <w:t>EQIDX</w:t>
            </w:r>
          </w:p>
        </w:tc>
      </w:tr>
      <w:tr w:rsidR="008B77C1" w14:paraId="2D44DC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D75FCE" w14:textId="77777777" w:rsidR="008B77C1" w:rsidRDefault="00000000">
            <w:r>
              <w:rPr>
                <w:sz w:val="20"/>
              </w:rPr>
              <w:t>Intl Equity</w:t>
            </w:r>
          </w:p>
        </w:tc>
        <w:tc>
          <w:tcPr>
            <w:tcW w:w="4680" w:type="dxa"/>
          </w:tcPr>
          <w:p w14:paraId="7D8332E8" w14:textId="77777777" w:rsidR="008B77C1" w:rsidRDefault="00000000">
            <w:r>
              <w:rPr>
                <w:rFonts w:ascii="Consolas" w:hAnsi="Consolas"/>
                <w:b/>
                <w:sz w:val="20"/>
              </w:rPr>
              <w:t>INTLEQ</w:t>
            </w:r>
          </w:p>
        </w:tc>
      </w:tr>
      <w:tr w:rsidR="008B77C1" w14:paraId="505E9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5D1BB93" w14:textId="77777777" w:rsidR="008B77C1" w:rsidRDefault="00000000">
            <w:r>
              <w:rPr>
                <w:sz w:val="20"/>
              </w:rPr>
              <w:t>Bonds</w:t>
            </w:r>
          </w:p>
        </w:tc>
        <w:tc>
          <w:tcPr>
            <w:tcW w:w="4680" w:type="dxa"/>
          </w:tcPr>
          <w:p w14:paraId="1A15C621" w14:textId="77777777" w:rsidR="008B77C1" w:rsidRDefault="00000000">
            <w:r>
              <w:rPr>
                <w:rFonts w:ascii="Consolas" w:hAnsi="Consolas"/>
                <w:b/>
                <w:sz w:val="20"/>
              </w:rPr>
              <w:t>BONDS</w:t>
            </w:r>
          </w:p>
        </w:tc>
      </w:tr>
      <w:tr w:rsidR="008B77C1" w14:paraId="2ADAB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D2FC50" w14:textId="77777777" w:rsidR="008B77C1" w:rsidRDefault="00000000">
            <w:r>
              <w:rPr>
                <w:sz w:val="20"/>
              </w:rPr>
              <w:t>Commodity</w:t>
            </w:r>
          </w:p>
        </w:tc>
        <w:tc>
          <w:tcPr>
            <w:tcW w:w="4680" w:type="dxa"/>
          </w:tcPr>
          <w:p w14:paraId="31267170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COMMOD</w:t>
            </w:r>
          </w:p>
        </w:tc>
      </w:tr>
      <w:tr w:rsidR="008B77C1" w14:paraId="30B933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1FE09" w14:textId="77777777" w:rsidR="008B77C1" w:rsidRDefault="00000000">
            <w:r>
              <w:rPr>
                <w:sz w:val="20"/>
              </w:rPr>
              <w:t>REIT</w:t>
            </w:r>
          </w:p>
        </w:tc>
        <w:tc>
          <w:tcPr>
            <w:tcW w:w="4680" w:type="dxa"/>
          </w:tcPr>
          <w:p w14:paraId="216B6973" w14:textId="77777777" w:rsidR="008B77C1" w:rsidRDefault="00000000">
            <w:r>
              <w:rPr>
                <w:rFonts w:ascii="Consolas" w:hAnsi="Consolas"/>
                <w:b/>
                <w:sz w:val="20"/>
              </w:rPr>
              <w:t>REIT</w:t>
            </w:r>
          </w:p>
        </w:tc>
      </w:tr>
      <w:tr w:rsidR="008B77C1" w14:paraId="0EFC9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07DCB6" w14:textId="77777777" w:rsidR="008B77C1" w:rsidRDefault="00000000">
            <w:r>
              <w:rPr>
                <w:sz w:val="20"/>
              </w:rPr>
              <w:t>Energy</w:t>
            </w:r>
          </w:p>
        </w:tc>
        <w:tc>
          <w:tcPr>
            <w:tcW w:w="4680" w:type="dxa"/>
          </w:tcPr>
          <w:p w14:paraId="64AAFEC4" w14:textId="77777777" w:rsidR="008B77C1" w:rsidRDefault="00000000">
            <w:r>
              <w:rPr>
                <w:rFonts w:ascii="Consolas" w:hAnsi="Consolas"/>
                <w:b/>
                <w:sz w:val="20"/>
              </w:rPr>
              <w:t>ENERGY</w:t>
            </w:r>
          </w:p>
        </w:tc>
      </w:tr>
      <w:tr w:rsidR="008B77C1" w14:paraId="04549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C57047C" w14:textId="77777777" w:rsidR="008B77C1" w:rsidRDefault="00000000">
            <w:r>
              <w:rPr>
                <w:sz w:val="20"/>
              </w:rPr>
              <w:t>Financials</w:t>
            </w:r>
          </w:p>
        </w:tc>
        <w:tc>
          <w:tcPr>
            <w:tcW w:w="4680" w:type="dxa"/>
          </w:tcPr>
          <w:p w14:paraId="0153BBB4" w14:textId="77777777" w:rsidR="008B77C1" w:rsidRDefault="00000000">
            <w:r>
              <w:rPr>
                <w:rFonts w:ascii="Consolas" w:hAnsi="Consolas"/>
                <w:b/>
                <w:sz w:val="20"/>
              </w:rPr>
              <w:t>FINANC</w:t>
            </w:r>
          </w:p>
        </w:tc>
      </w:tr>
      <w:tr w:rsidR="008B77C1" w14:paraId="031AE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B5F34A" w14:textId="77777777" w:rsidR="008B77C1" w:rsidRDefault="00000000">
            <w:r>
              <w:rPr>
                <w:sz w:val="20"/>
              </w:rPr>
              <w:t>generic ETF</w:t>
            </w:r>
          </w:p>
        </w:tc>
        <w:tc>
          <w:tcPr>
            <w:tcW w:w="4680" w:type="dxa"/>
          </w:tcPr>
          <w:p w14:paraId="4E43337C" w14:textId="77777777" w:rsidR="008B77C1" w:rsidRDefault="00000000">
            <w:r>
              <w:rPr>
                <w:rFonts w:ascii="Consolas" w:hAnsi="Consolas"/>
                <w:b/>
                <w:sz w:val="20"/>
              </w:rPr>
              <w:t>ETF</w:t>
            </w:r>
          </w:p>
        </w:tc>
      </w:tr>
    </w:tbl>
    <w:p w14:paraId="3B5802A6" w14:textId="77777777" w:rsidR="008B77C1" w:rsidRDefault="00000000">
      <w:pPr>
        <w:pStyle w:val="Heading3"/>
      </w:pPr>
      <w:r>
        <w:t>Equity sector sleeves (from yfinance)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B77C1" w14:paraId="2DAC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</w:tcPr>
          <w:p w14:paraId="3A6A62D7" w14:textId="77777777" w:rsidR="008B77C1" w:rsidRDefault="00000000"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680" w:type="dxa"/>
            <w:shd w:val="clear" w:color="auto" w:fill="1F3864"/>
          </w:tcPr>
          <w:p w14:paraId="1E5E95FE" w14:textId="77777777" w:rsidR="008B77C1" w:rsidRDefault="00000000">
            <w:r>
              <w:rPr>
                <w:b/>
                <w:color w:val="FFFFFF"/>
                <w:sz w:val="20"/>
              </w:rPr>
              <w:t>Abbreviation</w:t>
            </w:r>
          </w:p>
        </w:tc>
      </w:tr>
      <w:tr w:rsidR="008B77C1" w14:paraId="13F68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01205EA" w14:textId="77777777" w:rsidR="008B77C1" w:rsidRDefault="00000000">
            <w:r>
              <w:rPr>
                <w:sz w:val="20"/>
              </w:rPr>
              <w:t>Technology</w:t>
            </w:r>
          </w:p>
        </w:tc>
        <w:tc>
          <w:tcPr>
            <w:tcW w:w="4680" w:type="dxa"/>
          </w:tcPr>
          <w:p w14:paraId="2E79DBEB" w14:textId="77777777" w:rsidR="008B77C1" w:rsidRDefault="00000000">
            <w:r>
              <w:rPr>
                <w:rFonts w:ascii="Consolas" w:hAnsi="Consolas"/>
                <w:b/>
                <w:sz w:val="20"/>
              </w:rPr>
              <w:t>TECH</w:t>
            </w:r>
          </w:p>
        </w:tc>
      </w:tr>
      <w:tr w:rsidR="008B77C1" w14:paraId="60D30B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4B84874" w14:textId="77777777" w:rsidR="008B77C1" w:rsidRDefault="00000000">
            <w:r>
              <w:rPr>
                <w:sz w:val="20"/>
              </w:rPr>
              <w:t>Financial Services</w:t>
            </w:r>
          </w:p>
        </w:tc>
        <w:tc>
          <w:tcPr>
            <w:tcW w:w="4680" w:type="dxa"/>
          </w:tcPr>
          <w:p w14:paraId="5CC0859F" w14:textId="77777777" w:rsidR="008B77C1" w:rsidRDefault="00000000">
            <w:r>
              <w:rPr>
                <w:rFonts w:ascii="Consolas" w:hAnsi="Consolas"/>
                <w:b/>
                <w:sz w:val="20"/>
              </w:rPr>
              <w:t>FINSVC</w:t>
            </w:r>
          </w:p>
        </w:tc>
      </w:tr>
      <w:tr w:rsidR="008B77C1" w14:paraId="6699A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7814DC" w14:textId="77777777" w:rsidR="008B77C1" w:rsidRDefault="00000000">
            <w:r>
              <w:rPr>
                <w:sz w:val="20"/>
              </w:rPr>
              <w:t>Healthcare</w:t>
            </w:r>
          </w:p>
        </w:tc>
        <w:tc>
          <w:tcPr>
            <w:tcW w:w="4680" w:type="dxa"/>
          </w:tcPr>
          <w:p w14:paraId="68C4F28B" w14:textId="77777777" w:rsidR="008B77C1" w:rsidRDefault="00000000">
            <w:r>
              <w:rPr>
                <w:rFonts w:ascii="Consolas" w:hAnsi="Consolas"/>
                <w:b/>
                <w:sz w:val="20"/>
              </w:rPr>
              <w:t>HEALTH</w:t>
            </w:r>
          </w:p>
        </w:tc>
      </w:tr>
      <w:tr w:rsidR="008B77C1" w14:paraId="2B912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DA315E" w14:textId="77777777" w:rsidR="008B77C1" w:rsidRDefault="00000000">
            <w:r>
              <w:rPr>
                <w:sz w:val="20"/>
              </w:rPr>
              <w:t>Consumer Cyclical</w:t>
            </w:r>
          </w:p>
        </w:tc>
        <w:tc>
          <w:tcPr>
            <w:tcW w:w="4680" w:type="dxa"/>
          </w:tcPr>
          <w:p w14:paraId="60A4C11B" w14:textId="77777777" w:rsidR="008B77C1" w:rsidRDefault="00000000">
            <w:r>
              <w:rPr>
                <w:rFonts w:ascii="Consolas" w:hAnsi="Consolas"/>
                <w:b/>
                <w:sz w:val="20"/>
              </w:rPr>
              <w:t>CONCYC</w:t>
            </w:r>
          </w:p>
        </w:tc>
      </w:tr>
      <w:tr w:rsidR="008B77C1" w14:paraId="118AA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9977880" w14:textId="77777777" w:rsidR="008B77C1" w:rsidRDefault="00000000">
            <w:r>
              <w:rPr>
                <w:sz w:val="20"/>
              </w:rPr>
              <w:t>Consumer Defensive</w:t>
            </w:r>
          </w:p>
        </w:tc>
        <w:tc>
          <w:tcPr>
            <w:tcW w:w="4680" w:type="dxa"/>
          </w:tcPr>
          <w:p w14:paraId="42F6CFB2" w14:textId="77777777" w:rsidR="008B77C1" w:rsidRDefault="00000000">
            <w:r>
              <w:rPr>
                <w:rFonts w:ascii="Consolas" w:hAnsi="Consolas"/>
                <w:b/>
                <w:sz w:val="20"/>
              </w:rPr>
              <w:t>CONDEF</w:t>
            </w:r>
          </w:p>
        </w:tc>
      </w:tr>
      <w:tr w:rsidR="008B77C1" w14:paraId="44F03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99F6F5" w14:textId="77777777" w:rsidR="008B77C1" w:rsidRDefault="00000000">
            <w:r>
              <w:rPr>
                <w:sz w:val="20"/>
              </w:rPr>
              <w:t>Communication Services</w:t>
            </w:r>
          </w:p>
        </w:tc>
        <w:tc>
          <w:tcPr>
            <w:tcW w:w="4680" w:type="dxa"/>
          </w:tcPr>
          <w:p w14:paraId="20A3BF57" w14:textId="77777777" w:rsidR="008B77C1" w:rsidRDefault="00000000">
            <w:r>
              <w:rPr>
                <w:rFonts w:ascii="Consolas" w:hAnsi="Consolas"/>
                <w:b/>
                <w:sz w:val="20"/>
              </w:rPr>
              <w:t>COMMS</w:t>
            </w:r>
          </w:p>
        </w:tc>
      </w:tr>
      <w:tr w:rsidR="008B77C1" w14:paraId="57EDD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EA64DC9" w14:textId="77777777" w:rsidR="008B77C1" w:rsidRDefault="00000000">
            <w:r>
              <w:rPr>
                <w:sz w:val="20"/>
              </w:rPr>
              <w:t>Industrials</w:t>
            </w:r>
          </w:p>
        </w:tc>
        <w:tc>
          <w:tcPr>
            <w:tcW w:w="4680" w:type="dxa"/>
          </w:tcPr>
          <w:p w14:paraId="5D030543" w14:textId="77777777" w:rsidR="008B77C1" w:rsidRDefault="00000000">
            <w:r>
              <w:rPr>
                <w:rFonts w:ascii="Consolas" w:hAnsi="Consolas"/>
                <w:b/>
                <w:sz w:val="20"/>
              </w:rPr>
              <w:t>INDUS</w:t>
            </w:r>
          </w:p>
        </w:tc>
      </w:tr>
      <w:tr w:rsidR="008B77C1" w14:paraId="3D452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A15004A" w14:textId="77777777" w:rsidR="008B77C1" w:rsidRDefault="00000000">
            <w:r>
              <w:rPr>
                <w:sz w:val="20"/>
              </w:rPr>
              <w:t>Utilities</w:t>
            </w:r>
          </w:p>
        </w:tc>
        <w:tc>
          <w:tcPr>
            <w:tcW w:w="4680" w:type="dxa"/>
          </w:tcPr>
          <w:p w14:paraId="72B8F969" w14:textId="77777777" w:rsidR="008B77C1" w:rsidRDefault="00000000">
            <w:r>
              <w:rPr>
                <w:rFonts w:ascii="Consolas" w:hAnsi="Consolas"/>
                <w:b/>
                <w:sz w:val="20"/>
              </w:rPr>
              <w:t>UTILS</w:t>
            </w:r>
          </w:p>
        </w:tc>
      </w:tr>
      <w:tr w:rsidR="008B77C1" w14:paraId="5B39A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B11E99" w14:textId="77777777" w:rsidR="008B77C1" w:rsidRDefault="00000000">
            <w:r>
              <w:rPr>
                <w:sz w:val="20"/>
              </w:rPr>
              <w:t>Real Estate</w:t>
            </w:r>
          </w:p>
        </w:tc>
        <w:tc>
          <w:tcPr>
            <w:tcW w:w="4680" w:type="dxa"/>
          </w:tcPr>
          <w:p w14:paraId="22EF8E7A" w14:textId="77777777" w:rsidR="008B77C1" w:rsidRDefault="00000000">
            <w:r>
              <w:rPr>
                <w:rFonts w:ascii="Consolas" w:hAnsi="Consolas"/>
                <w:b/>
                <w:sz w:val="20"/>
              </w:rPr>
              <w:t>RLEST</w:t>
            </w:r>
          </w:p>
        </w:tc>
      </w:tr>
      <w:tr w:rsidR="008B77C1" w14:paraId="66CBE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F079DD4" w14:textId="77777777" w:rsidR="008B77C1" w:rsidRDefault="00000000">
            <w:r>
              <w:rPr>
                <w:sz w:val="20"/>
              </w:rPr>
              <w:t>Basic Materials</w:t>
            </w:r>
          </w:p>
        </w:tc>
        <w:tc>
          <w:tcPr>
            <w:tcW w:w="4680" w:type="dxa"/>
          </w:tcPr>
          <w:p w14:paraId="723E9AF7" w14:textId="77777777" w:rsidR="008B77C1" w:rsidRDefault="00000000">
            <w:r>
              <w:rPr>
                <w:rFonts w:ascii="Consolas" w:hAnsi="Consolas"/>
                <w:b/>
                <w:sz w:val="20"/>
              </w:rPr>
              <w:t>MATER</w:t>
            </w:r>
          </w:p>
        </w:tc>
      </w:tr>
      <w:tr w:rsidR="008B77C1" w14:paraId="74609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08E1C8" w14:textId="77777777" w:rsidR="008B77C1" w:rsidRDefault="00000000">
            <w:r>
              <w:rPr>
                <w:sz w:val="20"/>
              </w:rPr>
              <w:t>generic Equity</w:t>
            </w:r>
          </w:p>
        </w:tc>
        <w:tc>
          <w:tcPr>
            <w:tcW w:w="4680" w:type="dxa"/>
          </w:tcPr>
          <w:p w14:paraId="6ACA77BE" w14:textId="77777777" w:rsidR="008B77C1" w:rsidRDefault="00000000">
            <w:r>
              <w:rPr>
                <w:rFonts w:ascii="Consolas" w:hAnsi="Consolas"/>
                <w:b/>
                <w:sz w:val="20"/>
              </w:rPr>
              <w:t>EQUITY</w:t>
            </w:r>
          </w:p>
        </w:tc>
      </w:tr>
    </w:tbl>
    <w:sectPr w:rsidR="008B77C1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B3AF" w14:textId="77777777" w:rsidR="00284410" w:rsidRDefault="00284410">
      <w:r>
        <w:separator/>
      </w:r>
    </w:p>
  </w:endnote>
  <w:endnote w:type="continuationSeparator" w:id="0">
    <w:p w14:paraId="1FEBB732" w14:textId="77777777" w:rsidR="00284410" w:rsidRDefault="0028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B1C6" w14:textId="77777777" w:rsidR="008B77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Options Wheel &amp; Put-Selling System  · 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0034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E78" w14:textId="77777777" w:rsidR="00284410" w:rsidRDefault="00284410">
      <w:r>
        <w:separator/>
      </w:r>
    </w:p>
  </w:footnote>
  <w:footnote w:type="continuationSeparator" w:id="0">
    <w:p w14:paraId="1C986462" w14:textId="77777777" w:rsidR="00284410" w:rsidRDefault="00284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A74"/>
    <w:multiLevelType w:val="hybridMultilevel"/>
    <w:tmpl w:val="815C2ADE"/>
    <w:lvl w:ilvl="0" w:tplc="EFAE8A7A">
      <w:start w:val="1"/>
      <w:numFmt w:val="decimal"/>
      <w:lvlText w:val="%1."/>
      <w:lvlJc w:val="left"/>
      <w:pPr>
        <w:ind w:left="540" w:hanging="280"/>
      </w:pPr>
    </w:lvl>
    <w:lvl w:ilvl="1" w:tplc="00062BD2">
      <w:numFmt w:val="decimal"/>
      <w:lvlText w:val=""/>
      <w:lvlJc w:val="left"/>
    </w:lvl>
    <w:lvl w:ilvl="2" w:tplc="8794DC1E">
      <w:numFmt w:val="decimal"/>
      <w:lvlText w:val=""/>
      <w:lvlJc w:val="left"/>
    </w:lvl>
    <w:lvl w:ilvl="3" w:tplc="00982058">
      <w:numFmt w:val="decimal"/>
      <w:lvlText w:val=""/>
      <w:lvlJc w:val="left"/>
    </w:lvl>
    <w:lvl w:ilvl="4" w:tplc="399C8A66">
      <w:numFmt w:val="decimal"/>
      <w:lvlText w:val=""/>
      <w:lvlJc w:val="left"/>
    </w:lvl>
    <w:lvl w:ilvl="5" w:tplc="13C6EE6A">
      <w:numFmt w:val="decimal"/>
      <w:lvlText w:val=""/>
      <w:lvlJc w:val="left"/>
    </w:lvl>
    <w:lvl w:ilvl="6" w:tplc="D7124E12">
      <w:numFmt w:val="decimal"/>
      <w:lvlText w:val=""/>
      <w:lvlJc w:val="left"/>
    </w:lvl>
    <w:lvl w:ilvl="7" w:tplc="58204518">
      <w:numFmt w:val="decimal"/>
      <w:lvlText w:val=""/>
      <w:lvlJc w:val="left"/>
    </w:lvl>
    <w:lvl w:ilvl="8" w:tplc="171CDB9C">
      <w:numFmt w:val="decimal"/>
      <w:lvlText w:val=""/>
      <w:lvlJc w:val="left"/>
    </w:lvl>
  </w:abstractNum>
  <w:abstractNum w:abstractNumId="1" w15:restartNumberingAfterBreak="0">
    <w:nsid w:val="16364F84"/>
    <w:multiLevelType w:val="hybridMultilevel"/>
    <w:tmpl w:val="89EE00DA"/>
    <w:lvl w:ilvl="0" w:tplc="12AA7CC0">
      <w:start w:val="1"/>
      <w:numFmt w:val="decimal"/>
      <w:lvlText w:val="%1."/>
      <w:lvlJc w:val="left"/>
      <w:pPr>
        <w:ind w:left="540" w:hanging="280"/>
      </w:pPr>
    </w:lvl>
    <w:lvl w:ilvl="1" w:tplc="6B18ED5C">
      <w:numFmt w:val="decimal"/>
      <w:lvlText w:val=""/>
      <w:lvlJc w:val="left"/>
    </w:lvl>
    <w:lvl w:ilvl="2" w:tplc="99386E92">
      <w:numFmt w:val="decimal"/>
      <w:lvlText w:val=""/>
      <w:lvlJc w:val="left"/>
    </w:lvl>
    <w:lvl w:ilvl="3" w:tplc="3CE0CCC4">
      <w:numFmt w:val="decimal"/>
      <w:lvlText w:val=""/>
      <w:lvlJc w:val="left"/>
    </w:lvl>
    <w:lvl w:ilvl="4" w:tplc="1A3A81BE">
      <w:numFmt w:val="decimal"/>
      <w:lvlText w:val=""/>
      <w:lvlJc w:val="left"/>
    </w:lvl>
    <w:lvl w:ilvl="5" w:tplc="E8CC6B12">
      <w:numFmt w:val="decimal"/>
      <w:lvlText w:val=""/>
      <w:lvlJc w:val="left"/>
    </w:lvl>
    <w:lvl w:ilvl="6" w:tplc="22BCF50A">
      <w:numFmt w:val="decimal"/>
      <w:lvlText w:val=""/>
      <w:lvlJc w:val="left"/>
    </w:lvl>
    <w:lvl w:ilvl="7" w:tplc="15583870">
      <w:numFmt w:val="decimal"/>
      <w:lvlText w:val=""/>
      <w:lvlJc w:val="left"/>
    </w:lvl>
    <w:lvl w:ilvl="8" w:tplc="79423734">
      <w:numFmt w:val="decimal"/>
      <w:lvlText w:val=""/>
      <w:lvlJc w:val="left"/>
    </w:lvl>
  </w:abstractNum>
  <w:abstractNum w:abstractNumId="2" w15:restartNumberingAfterBreak="0">
    <w:nsid w:val="3D0A5D22"/>
    <w:multiLevelType w:val="hybridMultilevel"/>
    <w:tmpl w:val="70C4AA14"/>
    <w:lvl w:ilvl="0" w:tplc="2FCAD9A8">
      <w:start w:val="1"/>
      <w:numFmt w:val="bullet"/>
      <w:lvlText w:val="●"/>
      <w:lvlJc w:val="left"/>
      <w:pPr>
        <w:ind w:left="720" w:hanging="360"/>
      </w:pPr>
    </w:lvl>
    <w:lvl w:ilvl="1" w:tplc="B75E2520">
      <w:start w:val="1"/>
      <w:numFmt w:val="bullet"/>
      <w:lvlText w:val="○"/>
      <w:lvlJc w:val="left"/>
      <w:pPr>
        <w:ind w:left="1440" w:hanging="360"/>
      </w:pPr>
    </w:lvl>
    <w:lvl w:ilvl="2" w:tplc="9E362C88">
      <w:start w:val="1"/>
      <w:numFmt w:val="bullet"/>
      <w:lvlText w:val="■"/>
      <w:lvlJc w:val="left"/>
      <w:pPr>
        <w:ind w:left="2160" w:hanging="360"/>
      </w:pPr>
    </w:lvl>
    <w:lvl w:ilvl="3" w:tplc="EA3458FC">
      <w:start w:val="1"/>
      <w:numFmt w:val="bullet"/>
      <w:lvlText w:val="●"/>
      <w:lvlJc w:val="left"/>
      <w:pPr>
        <w:ind w:left="2880" w:hanging="360"/>
      </w:pPr>
    </w:lvl>
    <w:lvl w:ilvl="4" w:tplc="4C6E7786">
      <w:start w:val="1"/>
      <w:numFmt w:val="bullet"/>
      <w:lvlText w:val="○"/>
      <w:lvlJc w:val="left"/>
      <w:pPr>
        <w:ind w:left="3600" w:hanging="360"/>
      </w:pPr>
    </w:lvl>
    <w:lvl w:ilvl="5" w:tplc="DB48D8B2">
      <w:start w:val="1"/>
      <w:numFmt w:val="bullet"/>
      <w:lvlText w:val="■"/>
      <w:lvlJc w:val="left"/>
      <w:pPr>
        <w:ind w:left="4320" w:hanging="360"/>
      </w:pPr>
    </w:lvl>
    <w:lvl w:ilvl="6" w:tplc="A1305B44">
      <w:start w:val="1"/>
      <w:numFmt w:val="bullet"/>
      <w:lvlText w:val="●"/>
      <w:lvlJc w:val="left"/>
      <w:pPr>
        <w:ind w:left="5040" w:hanging="360"/>
      </w:pPr>
    </w:lvl>
    <w:lvl w:ilvl="7" w:tplc="B4C09914">
      <w:start w:val="1"/>
      <w:numFmt w:val="bullet"/>
      <w:lvlText w:val="●"/>
      <w:lvlJc w:val="left"/>
      <w:pPr>
        <w:ind w:left="5760" w:hanging="360"/>
      </w:pPr>
    </w:lvl>
    <w:lvl w:ilvl="8" w:tplc="1F3A79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B14F48"/>
    <w:multiLevelType w:val="hybridMultilevel"/>
    <w:tmpl w:val="6FFA54D4"/>
    <w:lvl w:ilvl="0" w:tplc="D5CA6642">
      <w:start w:val="1"/>
      <w:numFmt w:val="bullet"/>
      <w:lvlText w:val="•"/>
      <w:lvlJc w:val="left"/>
      <w:pPr>
        <w:ind w:left="540" w:hanging="280"/>
      </w:pPr>
    </w:lvl>
    <w:lvl w:ilvl="1" w:tplc="83DE4162">
      <w:numFmt w:val="decimal"/>
      <w:lvlText w:val=""/>
      <w:lvlJc w:val="left"/>
    </w:lvl>
    <w:lvl w:ilvl="2" w:tplc="9B6E3D86">
      <w:numFmt w:val="decimal"/>
      <w:lvlText w:val=""/>
      <w:lvlJc w:val="left"/>
    </w:lvl>
    <w:lvl w:ilvl="3" w:tplc="AB985634">
      <w:numFmt w:val="decimal"/>
      <w:lvlText w:val=""/>
      <w:lvlJc w:val="left"/>
    </w:lvl>
    <w:lvl w:ilvl="4" w:tplc="7C60EE70">
      <w:numFmt w:val="decimal"/>
      <w:lvlText w:val=""/>
      <w:lvlJc w:val="left"/>
    </w:lvl>
    <w:lvl w:ilvl="5" w:tplc="ECD8D70E">
      <w:numFmt w:val="decimal"/>
      <w:lvlText w:val=""/>
      <w:lvlJc w:val="left"/>
    </w:lvl>
    <w:lvl w:ilvl="6" w:tplc="EDF69536">
      <w:numFmt w:val="decimal"/>
      <w:lvlText w:val=""/>
      <w:lvlJc w:val="left"/>
    </w:lvl>
    <w:lvl w:ilvl="7" w:tplc="D9A427E4">
      <w:numFmt w:val="decimal"/>
      <w:lvlText w:val=""/>
      <w:lvlJc w:val="left"/>
    </w:lvl>
    <w:lvl w:ilvl="8" w:tplc="DCCE61DA">
      <w:numFmt w:val="decimal"/>
      <w:lvlText w:val=""/>
      <w:lvlJc w:val="left"/>
    </w:lvl>
  </w:abstractNum>
  <w:num w:numId="1" w16cid:durableId="1989628626">
    <w:abstractNumId w:val="2"/>
    <w:lvlOverride w:ilvl="0">
      <w:startOverride w:val="1"/>
    </w:lvlOverride>
  </w:num>
  <w:num w:numId="2" w16cid:durableId="956260491">
    <w:abstractNumId w:val="1"/>
    <w:lvlOverride w:ilvl="0">
      <w:startOverride w:val="1"/>
    </w:lvlOverride>
  </w:num>
  <w:num w:numId="3" w16cid:durableId="1855998843">
    <w:abstractNumId w:val="3"/>
    <w:lvlOverride w:ilvl="0">
      <w:startOverride w:val="1"/>
    </w:lvlOverride>
  </w:num>
  <w:num w:numId="4" w16cid:durableId="3154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zumi Yusuke">
    <w15:presenceInfo w15:providerId="Windows Live" w15:userId="783e50ad8ff897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C1"/>
    <w:rsid w:val="00284410"/>
    <w:rsid w:val="00435F21"/>
    <w:rsid w:val="008B77C1"/>
    <w:rsid w:val="00973B0F"/>
    <w:rsid w:val="00AD0886"/>
    <w:rsid w:val="00CE3907"/>
    <w:rsid w:val="00D960DF"/>
    <w:rsid w:val="00E00342"/>
    <w:rsid w:val="00E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A2024C"/>
  <w15:docId w15:val="{C2122012-9B39-435E-A859-CE28482CA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4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rFonts w:eastAsia="Arial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0342"/>
  </w:style>
  <w:style w:type="paragraph" w:styleId="TOC2">
    <w:name w:val="toc 2"/>
    <w:basedOn w:val="Normal"/>
    <w:next w:val="Normal"/>
    <w:autoRedefine/>
    <w:uiPriority w:val="39"/>
    <w:unhideWhenUsed/>
    <w:rsid w:val="00E00342"/>
    <w:pPr>
      <w:ind w:leftChars="100"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E003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3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3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3741</Words>
  <Characters>21327</Characters>
  <Application>Microsoft Office Word</Application>
  <DocSecurity>0</DocSecurity>
  <Lines>177</Lines>
  <Paragraphs>50</Paragraphs>
  <ScaleCrop>false</ScaleCrop>
  <Company/>
  <LinksUpToDate>false</LinksUpToDate>
  <CharactersWithSpaces>25018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Izumi Yusuke</cp:lastModifiedBy>
  <cp:revision>5</cp:revision>
  <dcterms:created xsi:type="dcterms:W3CDTF">2026-06-10T15:37:00Z</dcterms:created>
  <dcterms:modified xsi:type="dcterms:W3CDTF">2026-06-13T17:37:00Z</dcterms:modified>
</cp:coreProperties>
</file>