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Options Wheel &amp; Put-Selling System</w:t>
      </w:r>
    </w:p>
    <w:p>
      <w:pPr>
        <w:spacing w:before="160"/>
        <w:jc w:val="center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A Plain-English Technical Guide</w:t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How the system finds, scores, sizes, monitors, and protects trades</w:t>
      </w:r>
    </w:p>
    <w:p>
      <w:pPr>
        <w:spacing w:before="2400"/>
        <w:jc w:val="center"/>
      </w:pPr>
      <w:r>
        <w:rPr>
          <w:rFonts w:ascii="Arial" w:cs="Arial" w:eastAsia="Arial" w:hAnsi="Arial"/>
          <w:sz w:val="22"/>
          <w:szCs w:val="22"/>
        </w:rPr>
        <w:t xml:space="preserve">Version 1.2  ·  June 2026</w:t>
      </w:r>
    </w:p>
    <w:p>
      <w:pPr>
        <w:spacing w:before="8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Personal trading tooling — not investment advice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What this system does</w:t>
      </w:r>
    </w:p>
    <w:p>
      <w:pPr>
        <w:spacing w:after="120"/>
      </w:pPr>
      <w:r>
        <w:rPr>
          <w:rFonts w:ascii="Arial" w:cs="Arial" w:eastAsia="Arial" w:hAnsi="Arial"/>
        </w:rPr>
        <w:t xml:space="preserve">This is a personal tool for running an income strategy called the “wheel”: selling put options on solid companies (and a few funds) to collect premium, then managing those positions carefully. The system does three jobs end to end: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Find — </w:t>
      </w:r>
      <w:r>
        <w:rPr>
          <w:rFonts w:ascii="Arial" w:cs="Arial" w:eastAsia="Arial" w:hAnsi="Arial"/>
        </w:rPr>
        <w:t xml:space="preserve">a screener scans ~110 stocks and ETFs, throws out anything unsafe or hard to trade, and ranks what is left by a blend of “edge,” chart timing, and how well it diversifies your existing positions.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Manage — </w:t>
      </w:r>
      <w:r>
        <w:rPr>
          <w:rFonts w:ascii="Arial" w:cs="Arial" w:eastAsia="Arial" w:hAnsi="Arial"/>
        </w:rPr>
        <w:t xml:space="preserve">a monitor watches your open positions and flags each one to close, roll, or hold, and shows how much you have at risk.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Protect — </w:t>
      </w:r>
      <w:r>
        <w:rPr>
          <w:rFonts w:ascii="Arial" w:cs="Arial" w:eastAsia="Arial" w:hAnsi="Arial"/>
        </w:rPr>
        <w:t xml:space="preserve">a stop tool proposes (and, on your command, places) automatic exit orders.</w:t>
      </w:r>
    </w:p>
    <w:p>
      <w:pPr>
        <w:spacing w:after="120"/>
      </w:pPr>
      <w:r>
        <w:rPr>
          <w:rFonts w:ascii="Arial" w:cs="Arial" w:eastAsia="Arial" w:hAnsi="Arial"/>
        </w:rPr>
        <w:t xml:space="preserve">Every morning it can text you a summary on Telegram. The “find” part can even run by itself in the cloud, so you get the report whether or not your computer is on.</w:t>
      </w:r>
    </w:p>
    <w:tbl>
      <w:tblPr>
        <w:tblW w:type="dxa" w:w="9360"/>
        <w:tblBorders>
          <w:top w:val="single" w:color="2E75B6" w:sz="1"/>
          <w:left w:val="single" w:color="2E75B6" w:sz="12"/>
          <w:bottom w:val="single" w:color="2E75B6" w:sz="1"/>
          <w:right w:val="single" w:color="2E75B6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1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</w:rPr>
              <w:t xml:space="preserve">In plain English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Think of it as a tireless assistant that each morning hands you a short-list of good trades to consider, a health-check of what you already hold, and a safety net for positions that move against you.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2. The strategy, in plain terms</w:t>
      </w:r>
    </w:p>
    <w:p>
      <w:pPr>
        <w:spacing w:after="120"/>
      </w:pPr>
      <w:r>
        <w:rPr>
          <w:rFonts w:ascii="Arial" w:cs="Arial" w:eastAsia="Arial" w:hAnsi="Arial"/>
        </w:rPr>
        <w:t xml:space="preserve">Selling a </w:t>
      </w:r>
      <w:r>
        <w:rPr>
          <w:rFonts w:ascii="Arial" w:cs="Arial" w:eastAsia="Arial" w:hAnsi="Arial"/>
          <w:b/>
          <w:bCs/>
        </w:rPr>
        <w:t xml:space="preserve">cash-secured put</w:t>
      </w:r>
      <w:r>
        <w:rPr>
          <w:rFonts w:ascii="Arial" w:cs="Arial" w:eastAsia="Arial" w:hAnsi="Arial"/>
        </w:rPr>
        <w:t xml:space="preserve"> means you agree to buy 100 shares of a stock at a set price (the </w:t>
      </w:r>
      <w:r>
        <w:rPr>
          <w:rFonts w:ascii="Arial" w:cs="Arial" w:eastAsia="Arial" w:hAnsi="Arial"/>
          <w:i/>
          <w:iCs/>
        </w:rPr>
        <w:t xml:space="preserve">strike</w:t>
      </w:r>
      <w:r>
        <w:rPr>
          <w:rFonts w:ascii="Arial" w:cs="Arial" w:eastAsia="Arial" w:hAnsi="Arial"/>
        </w:rPr>
        <w:t xml:space="preserve">) any time before a set date, and you are paid a </w:t>
      </w:r>
      <w:r>
        <w:rPr>
          <w:rFonts w:ascii="Arial" w:cs="Arial" w:eastAsia="Arial" w:hAnsi="Arial"/>
          <w:i/>
          <w:iCs/>
        </w:rPr>
        <w:t xml:space="preserve">credit</w:t>
      </w:r>
      <w:r>
        <w:rPr>
          <w:rFonts w:ascii="Arial" w:cs="Arial" w:eastAsia="Arial" w:hAnsi="Arial"/>
        </w:rPr>
        <w:t xml:space="preserve"> up front for making that promise. Two things can happen: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The stock stays above the strike — the option expires worthless and you simply keep the credit. This is the common case.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The stock falls below the strike — you buy the shares at the strike (“assignment”), at a discount to where the stock was, and you still kept the credit. You can then sell call options against those shares. Repeating this cycle is the “wheel.”</w:t>
      </w:r>
    </w:p>
    <w:p>
      <w:pPr>
        <w:spacing w:after="120"/>
      </w:pPr>
      <w:r>
        <w:rPr>
          <w:rFonts w:ascii="Arial" w:cs="Arial" w:eastAsia="Arial" w:hAnsi="Arial"/>
        </w:rPr>
        <w:t xml:space="preserve">Because assignment means you end up owning the stock, the key screening question is not </w:t>
      </w:r>
      <w:r>
        <w:rPr>
          <w:rFonts w:ascii="Arial" w:cs="Arial" w:eastAsia="Arial" w:hAnsi="Arial"/>
          <w:i/>
          <w:iCs/>
        </w:rPr>
        <w:t xml:space="preserve">“will this go up?”</w:t>
      </w:r>
      <w:r>
        <w:rPr>
          <w:rFonts w:ascii="Arial" w:cs="Arial" w:eastAsia="Arial" w:hAnsi="Arial"/>
        </w:rPr>
        <w:t xml:space="preserve"> but </w:t>
      </w:r>
      <w:r>
        <w:rPr>
          <w:rFonts w:ascii="Arial" w:cs="Arial" w:eastAsia="Arial" w:hAnsi="Arial"/>
          <w:b/>
          <w:bCs/>
        </w:rPr>
        <w:t xml:space="preserve">“would I be happy to own this company if I had to, and am I being paid well to wait?”</w:t>
      </w:r>
    </w:p>
    <w:p>
      <w:pPr>
        <w:pStyle w:val="Heading1"/>
      </w:pPr>
      <w:r>
        <w:rPr>
          <w:rFonts w:ascii="Arial" w:cs="Arial" w:eastAsia="Arial" w:hAnsi="Arial"/>
        </w:rPr>
        <w:t xml:space="preserve">3. Two kinds of volatility (the engine of option pricing)</w:t>
      </w:r>
    </w:p>
    <w:p>
      <w:pPr>
        <w:spacing w:after="120"/>
      </w:pPr>
      <w:r>
        <w:rPr>
          <w:rFonts w:ascii="Arial" w:cs="Arial" w:eastAsia="Arial" w:hAnsi="Arial"/>
        </w:rPr>
        <w:t xml:space="preserve">Options are priced off volatility — how much a stock is expected to move. The system uses two different measures, and telling them apart matters: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2100"/>
        <w:gridCol w:w="3000"/>
        <w:gridCol w:w="1260"/>
        <w:gridCol w:w="3000"/>
      </w:tblGrid>
      <w:tr>
        <w:trPr>
          <w:tblHeader/>
        </w:trPr>
        <w:tc>
          <w:tcPr>
            <w:tcW w:type="dxa" w:w="21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Term</w:t>
            </w:r>
          </w:p>
        </w:tc>
        <w:tc>
          <w:tcPr>
            <w:tcW w:type="dxa" w:w="30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What it measures</w:t>
            </w:r>
          </w:p>
        </w:tc>
        <w:tc>
          <w:tcPr>
            <w:tcW w:type="dxa" w:w="12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Looks</w:t>
            </w:r>
          </w:p>
        </w:tc>
        <w:tc>
          <w:tcPr>
            <w:tcW w:type="dxa" w:w="30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Where it comes from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Historical Volatility (HV)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How much the stock has actually moved recently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Backward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The stock's own past price changes</w:t>
            </w:r>
          </w:p>
        </w:tc>
      </w:tr>
      <w:tr>
        <w:tc>
          <w:tcPr>
            <w:tcW w:type="dxa" w:w="21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Implied Volatility (IV)</w:t>
            </w:r>
          </w:p>
        </w:tc>
        <w:tc>
          <w:tcPr>
            <w:tcW w:type="dxa" w:w="30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How much the market expects it to move from here</w:t>
            </w:r>
          </w:p>
        </w:tc>
        <w:tc>
          <w:tcPr>
            <w:tcW w:type="dxa" w:w="12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Forward</w:t>
            </w:r>
          </w:p>
        </w:tc>
        <w:tc>
          <w:tcPr>
            <w:tcW w:type="dxa" w:w="30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Today's option prices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rFonts w:ascii="Arial" w:cs="Arial" w:eastAsia="Arial" w:hAnsi="Arial"/>
        </w:rPr>
        <w:t xml:space="preserve">They are </w:t>
      </w:r>
      <w:r>
        <w:rPr>
          <w:rFonts w:ascii="Arial" w:cs="Arial" w:eastAsia="Arial" w:hAnsi="Arial"/>
          <w:b/>
          <w:bCs/>
        </w:rPr>
        <w:t xml:space="preserve">not</w:t>
      </w:r>
      <w:r>
        <w:rPr>
          <w:rFonts w:ascii="Arial" w:cs="Arial" w:eastAsia="Arial" w:hAnsi="Arial"/>
        </w:rPr>
        <w:t xml:space="preserve"> the same number measured twice — HV is read off the stock, IV off the options. The gap between them is where a put seller's edge lives:</w:t>
      </w:r>
    </w:p>
    <w:tbl>
      <w:tblPr>
        <w:tblW w:type="dxa" w:w="9360"/>
        <w:tblBorders>
          <w:top w:val="single" w:color="2E75B6" w:sz="1"/>
          <w:left w:val="single" w:color="2E75B6" w:sz="12"/>
          <w:bottom w:val="single" w:color="2E75B6" w:sz="1"/>
          <w:right w:val="single" w:color="2E75B6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1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</w:rPr>
              <w:t xml:space="preserve">The edge: IV vs HV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When </w:t>
            </w:r>
            <w:r>
              <w:rPr>
                <w:rFonts w:ascii="Arial" w:cs="Arial" w:eastAsia="Arial" w:hAnsi="Arial"/>
                <w:b/>
                <w:bCs/>
              </w:rPr>
              <w:t xml:space="preserve">IV is higher than HV</w:t>
            </w:r>
            <w:r>
              <w:rPr>
                <w:rFonts w:ascii="Arial" w:cs="Arial" w:eastAsia="Arial" w:hAnsi="Arial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</w:rPr>
              <w:t xml:space="preserve">IV/HV &gt; 1</w:t>
            </w:r>
            <w:r>
              <w:rPr>
                <w:rFonts w:ascii="Arial" w:cs="Arial" w:eastAsia="Arial" w:hAnsi="Arial"/>
              </w:rPr>
              <w:t xml:space="preserve">), options are priced for more movement than the stock is actually delivering — you are paid more than the realized risk. That premium is the seller's structural advantage.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After a real drop, HV rises too, so the ratio shrinks back toward 1 — correct, not a bug.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4. Two ways to read volatility: IV Rank vs IV/HV</w:t>
      </w:r>
    </w:p>
    <w:p>
      <w:pPr>
        <w:spacing w:after="120"/>
      </w:pPr>
      <w:r>
        <w:rPr>
          <w:rFonts w:ascii="Arial" w:cs="Arial" w:eastAsia="Arial" w:hAnsi="Arial"/>
        </w:rPr>
        <w:t xml:space="preserve">These two often get confused. They answer different questions: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1700"/>
        <w:gridCol w:w="4360"/>
        <w:gridCol w:w="3300"/>
      </w:tblGrid>
      <w:tr>
        <w:trPr>
          <w:tblHeader/>
        </w:trPr>
        <w:tc>
          <w:tcPr>
            <w:tcW w:type="dxa" w:w="17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Measure</w:t>
            </w:r>
          </w:p>
        </w:tc>
        <w:tc>
          <w:tcPr>
            <w:tcW w:type="dxa" w:w="43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Question it answers</w:t>
            </w:r>
          </w:p>
        </w:tc>
        <w:tc>
          <w:tcPr>
            <w:tcW w:type="dxa" w:w="33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Formula (plain)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IV / HV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 options rich compared with how the stock is actually moving right now?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Today's IV divided by today's HV</w:t>
            </w:r>
          </w:p>
        </w:tc>
      </w:tr>
      <w:tr>
        <w:tc>
          <w:tcPr>
            <w:tcW w:type="dxa" w:w="17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IV Rank</w:t>
            </w:r>
          </w:p>
        </w:tc>
        <w:tc>
          <w:tcPr>
            <w:tcW w:type="dxa" w:w="43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Is volatility high for this stock compared with its own past year?</w:t>
            </w:r>
          </w:p>
        </w:tc>
        <w:tc>
          <w:tcPr>
            <w:tcW w:type="dxa" w:w="3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Where today's IV sits between its 52-week low and high (0–100)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rFonts w:ascii="Arial" w:cs="Arial" w:eastAsia="Arial" w:hAnsi="Arial"/>
        </w:rPr>
        <w:t xml:space="preserve">They can disagree: a stock can have rich IV/HV yet a middling IV Rank (today's level isn't high versus its own past spikes). The system uses both because each tells you something the other doesn't.</w:t>
      </w:r>
    </w:p>
    <w:p>
      <w:pPr>
        <w:pStyle w:val="Heading1"/>
      </w:pPr>
      <w:r>
        <w:rPr>
          <w:rFonts w:ascii="Arial" w:cs="Arial" w:eastAsia="Arial" w:hAnsi="Arial"/>
        </w:rPr>
        <w:t xml:space="preserve">5. How a trade is chosen: first gates, then a score</w:t>
      </w:r>
    </w:p>
    <w:p>
      <w:pPr>
        <w:spacing w:after="120"/>
      </w:pPr>
      <w:r>
        <w:rPr>
          <w:rFonts w:ascii="Arial" w:cs="Arial" w:eastAsia="Arial" w:hAnsi="Arial"/>
        </w:rPr>
        <w:t xml:space="preserve">A single ranked list cannot both exclude the un-tradable and rank the rest sensibly. So the system works in two stages: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Gates</w:t>
      </w:r>
      <w:r>
        <w:rPr>
          <w:rFonts w:ascii="Arial" w:cs="Arial" w:eastAsia="Arial" w:hAnsi="Arial"/>
        </w:rPr>
        <w:t xml:space="preserve"> are hard pass/fail filters for safety and tradability. Fail one and the candidate is dropped — no score can rescue it.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Scores</w:t>
      </w:r>
      <w:r>
        <w:rPr>
          <w:rFonts w:ascii="Arial" w:cs="Arial" w:eastAsia="Arial" w:hAnsi="Arial"/>
        </w:rPr>
        <w:t xml:space="preserve"> then rank only the survivors.</w:t>
      </w:r>
    </w:p>
    <w:p>
      <w:pPr>
        <w:pStyle w:val="Heading2"/>
      </w:pPr>
      <w:r>
        <w:rPr>
          <w:rFonts w:ascii="Arial" w:cs="Arial" w:eastAsia="Arial" w:hAnsi="Arial"/>
        </w:rPr>
        <w:t xml:space="preserve">5.1 The gates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2100"/>
        <w:gridCol w:w="3200"/>
        <w:gridCol w:w="4060"/>
      </w:tblGrid>
      <w:tr>
        <w:trPr>
          <w:tblHeader/>
        </w:trPr>
        <w:tc>
          <w:tcPr>
            <w:tcW w:type="dxa" w:w="21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Gate</w:t>
            </w:r>
          </w:p>
        </w:tc>
        <w:tc>
          <w:tcPr>
            <w:tcW w:type="dxa" w:w="32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Rule</w:t>
            </w:r>
          </w:p>
        </w:tc>
        <w:tc>
          <w:tcPr>
            <w:tcW w:type="dxa" w:w="40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Why it exists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Days to expiry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15–60 days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The “sweet spot” for time-decay; avoids last-week gamma risk</w:t>
            </w:r>
          </w:p>
        </w:tc>
      </w:tr>
      <w:tr>
        <w:tc>
          <w:tcPr>
            <w:tcW w:type="dxa" w:w="21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Delta</w:t>
            </w:r>
          </w:p>
        </w:tc>
        <w:tc>
          <w:tcPr>
            <w:tcW w:type="dxa" w:w="32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0.15–0.30 (absolute)</w:t>
            </w:r>
          </w:p>
        </w:tc>
        <w:tc>
          <w:tcPr>
            <w:tcW w:type="dxa" w:w="4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Roughly a 70–85% chance the option expires worthless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Liquidity — spread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Bid-ask ≤ 10% of price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Wide spreads quietly eat the edge on entry and exit</w:t>
            </w:r>
          </w:p>
        </w:tc>
      </w:tr>
      <w:tr>
        <w:tc>
          <w:tcPr>
            <w:tcW w:type="dxa" w:w="21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Liquidity — open interest</w:t>
            </w:r>
          </w:p>
        </w:tc>
        <w:tc>
          <w:tcPr>
            <w:tcW w:type="dxa" w:w="32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≥ 100 contracts</w:t>
            </w:r>
          </w:p>
        </w:tc>
        <w:tc>
          <w:tcPr>
            <w:tcW w:type="dxa" w:w="4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Enough activity to get in and out (relaxed weekends when data is blank)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Earnings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Skip expiries that cross the next earnings date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Avoids the binary gap risk around earnings</w:t>
            </w:r>
          </w:p>
        </w:tc>
      </w:tr>
      <w:tr>
        <w:tc>
          <w:tcPr>
            <w:tcW w:type="dxa" w:w="21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Trend (regime)</w:t>
            </w:r>
          </w:p>
        </w:tc>
        <w:tc>
          <w:tcPr>
            <w:tcW w:type="dxa" w:w="32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Skip only true falling knives (new lows + falling 200-MA)</w:t>
            </w:r>
          </w:p>
        </w:tc>
        <w:tc>
          <w:tcPr>
            <w:tcW w:type="dxa" w:w="4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Don't sell puts into an active breakdown — see note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Solvency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Drop clearly distressed balance sheets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If assigned, you don't want to own a company in trouble</w:t>
            </w:r>
          </w:p>
        </w:tc>
      </w:tr>
      <w:tr>
        <w:tc>
          <w:tcPr>
            <w:tcW w:type="dxa" w:w="21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Quality</w:t>
            </w:r>
          </w:p>
        </w:tc>
        <w:tc>
          <w:tcPr>
            <w:tcW w:type="dxa" w:w="32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FCF &gt; 0, growth ≥ 0, ROE ≥ 8%, forward P/E ≤ 60</w:t>
            </w:r>
          </w:p>
        </w:tc>
        <w:tc>
          <w:tcPr>
            <w:tcW w:type="dxa" w:w="4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Only sell puts on companies you'd be content to own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2E75B6" w:sz="1"/>
          <w:left w:val="single" w:color="2E75B6" w:sz="12"/>
          <w:bottom w:val="single" w:color="2E75B6" w:sz="1"/>
          <w:right w:val="single" w:color="2E75B6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1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</w:rPr>
              <w:t xml:space="preserve">Why the trend gate only catches “falling knives”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 blunt “must be above its 200-day average” rule would reject good companies just drifting sideways below it — fine for selling puts, since you only need price to stay above your strike. So the trend gate blocks a name only when it is genuinely still breaking down: the 200-day average is sloping downward AND price is still making a new ~6-month low. A stock that fell hard and is now basing above its earlier low passes through to be judged by the score.</w:t>
            </w:r>
          </w:p>
        </w:tc>
      </w:tr>
    </w:tbl>
    <w:tbl>
      <w:tblPr>
        <w:tblW w:type="dxa" w:w="9360"/>
        <w:tblBorders>
          <w:top w:val="single" w:color="2E75B6" w:sz="1"/>
          <w:left w:val="single" w:color="2E75B6" w:sz="12"/>
          <w:bottom w:val="single" w:color="2E75B6" w:sz="1"/>
          <w:right w:val="single" w:color="2E75B6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1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</w:rPr>
              <w:t xml:space="preserve">Deeply oversold is an opportunity, not a danger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 plunge far below the normal range (a “3-sigma” move) is usually capitulation — rich premium and a stock stretched for a bounce, often a GOOD place to sell a put. So instead of excluding it, the system flags it: bb_z measures how many standard deviations below the 20-day average price sits, and deeply oversold names get a small technical-score bonus, surfacing those support/bounce entries.</w:t>
            </w:r>
          </w:p>
        </w:tc>
      </w:tr>
    </w:tbl>
    <w:tbl>
      <w:tblPr>
        <w:tblW w:type="dxa" w:w="9360"/>
        <w:tblBorders>
          <w:top w:val="single" w:color="2E75B6" w:sz="1"/>
          <w:left w:val="single" w:color="2E75B6" w:sz="12"/>
          <w:bottom w:val="single" w:color="2E75B6" w:sz="1"/>
          <w:right w:val="single" w:color="2E75B6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1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</w:rPr>
              <w:t xml:space="preserve">Why fundamentals are a gate, not part of the score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Quality used to be a scored factor, but a strong name's advantage kept being cancelled by a weaker name offering richer premium — premium could “buy past” quality. So quality became a pass/fail bar; survivors compete on option edge, timing, and diversification.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6. How the score is calculated and weighted</w:t>
      </w:r>
    </w:p>
    <w:p>
      <w:pPr>
        <w:spacing w:after="120"/>
      </w:pPr>
      <w:r>
        <w:rPr>
          <w:rFonts w:ascii="Arial" w:cs="Arial" w:eastAsia="Arial" w:hAnsi="Arial"/>
        </w:rPr>
        <w:t xml:space="preserve">Every surviving candidate gets a single 0–100 composite score: a weighted blend of three “buckets,” each itself an average of several factors.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1700"/>
        <w:gridCol w:w="900"/>
        <w:gridCol w:w="3360"/>
        <w:gridCol w:w="3400"/>
      </w:tblGrid>
      <w:tr>
        <w:trPr>
          <w:tblHeader/>
        </w:trPr>
        <w:tc>
          <w:tcPr>
            <w:tcW w:type="dxa" w:w="17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Bucket</w:t>
            </w:r>
          </w:p>
        </w:tc>
        <w:tc>
          <w:tcPr>
            <w:tcW w:type="dxa" w:w="9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Weight</w:t>
            </w:r>
          </w:p>
        </w:tc>
        <w:tc>
          <w:tcPr>
            <w:tcW w:type="dxa" w:w="33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What goes in</w:t>
            </w:r>
          </w:p>
        </w:tc>
        <w:tc>
          <w:tcPr>
            <w:tcW w:type="dxa" w:w="34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How each factor becomes a number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Option edge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40%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IV Rank, IV/HV, annualized return, theta (decay)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Percentile-ranked against the other candidates (higher = better)</w:t>
            </w:r>
          </w:p>
        </w:tc>
      </w:tr>
      <w:tr>
        <w:tc>
          <w:tcPr>
            <w:tcW w:type="dxa" w:w="17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Technical</w:t>
            </w:r>
          </w:p>
        </w:tc>
        <w:tc>
          <w:tcPr>
            <w:tcW w:type="dxa" w:w="9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40%</w:t>
            </w:r>
          </w:p>
        </w:tc>
        <w:tc>
          <w:tcPr>
            <w:tcW w:type="dxa" w:w="33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RSI, Bollinger %B, support cushion, oversold bonus</w:t>
            </w:r>
          </w:p>
        </w:tc>
        <w:tc>
          <w:tcPr>
            <w:tcW w:type="dxa" w:w="34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RSI &amp; %B scored 0–100 directly; support percentile-ranked; deeply oversold adds a bonus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Diversification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20%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Correlation to what you already hold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Scored 0–100 on an absolute scale (Section 7)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rFonts w:ascii="Arial" w:cs="Arial" w:eastAsia="Arial" w:hAnsi="Arial"/>
        </w:rPr>
        <w:t xml:space="preserve">Weights live in config.json. The composite </w:t>
      </w:r>
      <w:r>
        <w:rPr>
          <w:rFonts w:ascii="Arial" w:cs="Arial" w:eastAsia="Arial" w:hAnsi="Arial"/>
          <w:i/>
          <w:iCs/>
        </w:rPr>
        <w:t xml:space="preserve">re-normalizes</w:t>
      </w:r>
      <w:r>
        <w:rPr>
          <w:rFonts w:ascii="Arial" w:cs="Arial" w:eastAsia="Arial" w:hAnsi="Arial"/>
        </w:rPr>
        <w:t xml:space="preserve"> over whichever buckets have data, so a missing factor never drops a candidate to zero. “Percentile-ranked” means: among the day's candidates, the best value for a factor scores 100, the worst a low number, the rest by rank — so option-edge factors grade each name </w:t>
      </w:r>
      <w:r>
        <w:rPr>
          <w:rFonts w:ascii="Arial" w:cs="Arial" w:eastAsia="Arial" w:hAnsi="Arial"/>
          <w:i/>
          <w:iCs/>
        </w:rPr>
        <w:t xml:space="preserve">relative to the field</w:t>
      </w:r>
      <w:r>
        <w:rPr>
          <w:rFonts w:ascii="Arial" w:cs="Arial" w:eastAsia="Arial" w:hAnsi="Arial"/>
        </w:rPr>
        <w:t xml:space="preserve">, while RSI, %B and diversification use fixed 0–100 scales.</w:t>
      </w:r>
    </w:p>
    <w:p>
      <w:pPr>
        <w:pStyle w:val="Heading2"/>
      </w:pPr>
      <w:r>
        <w:rPr>
          <w:rFonts w:ascii="Arial" w:cs="Arial" w:eastAsia="Arial" w:hAnsi="Arial"/>
        </w:rPr>
        <w:t xml:space="preserve">6.1 The technical factors, explained</w:t>
      </w:r>
    </w:p>
    <w:p>
      <w:pPr>
        <w:pStyle w:val="Heading3"/>
      </w:pPr>
      <w:r>
        <w:rPr>
          <w:rFonts w:ascii="Arial" w:cs="Arial" w:eastAsia="Arial" w:hAnsi="Arial"/>
        </w:rPr>
        <w:t xml:space="preserve">RSI — the “mild pullback” gauge</w:t>
      </w:r>
    </w:p>
    <w:p>
      <w:pPr>
        <w:spacing w:after="120"/>
      </w:pPr>
      <w:r>
        <w:rPr>
          <w:rFonts w:ascii="Arial" w:cs="Arial" w:eastAsia="Arial" w:hAnsi="Arial"/>
        </w:rPr>
        <w:t xml:space="preserve">RSI (Relative Strength Index) is a 0–100 momentum meter: below ~30 is “oversold,” above ~70 “overbought,” 50 neutral. We don't want the highest RSI (a euphoric, overbought name has thin premium and room to reverse) nor the lowest. We want a </w:t>
      </w:r>
      <w:r>
        <w:rPr>
          <w:rFonts w:ascii="Arial" w:cs="Arial" w:eastAsia="Arial" w:hAnsi="Arial"/>
          <w:b/>
          <w:bCs/>
        </w:rPr>
        <w:t xml:space="preserve">slight pullback</w:t>
      </w:r>
      <w:r>
        <w:rPr>
          <w:rFonts w:ascii="Arial" w:cs="Arial" w:eastAsia="Arial" w:hAnsi="Arial"/>
        </w:rPr>
        <w:t xml:space="preserve">: enough fear to fatten the premium, not a collapse.</w:t>
      </w:r>
    </w:p>
    <w:p>
      <w:pPr>
        <w:spacing w:after="120"/>
      </w:pPr>
      <w:r>
        <w:rPr>
          <w:rFonts w:ascii="Arial" w:cs="Arial" w:eastAsia="Arial" w:hAnsi="Arial"/>
        </w:rPr>
        <w:t xml:space="preserve">So the score is a tent that </w:t>
      </w:r>
      <w:r>
        <w:rPr>
          <w:rFonts w:ascii="Arial" w:cs="Arial" w:eastAsia="Arial" w:hAnsi="Arial"/>
          <w:b/>
          <w:bCs/>
        </w:rPr>
        <w:t xml:space="preserve">peaks at RSI 40</w:t>
      </w:r>
      <w:r>
        <w:rPr>
          <w:rFonts w:ascii="Arial" w:cs="Arial" w:eastAsia="Arial" w:hAnsi="Arial"/>
        </w:rPr>
        <w:t xml:space="preserve"> and falls off symmetrically on both sides: </w:t>
      </w:r>
      <w:r>
        <w:rPr>
          <w:rFonts w:ascii="Arial" w:cs="Arial" w:eastAsia="Arial" w:hAnsi="Arial"/>
          <w:i/>
          <w:iCs/>
        </w:rPr>
        <w:t xml:space="preserve">score = 100 − |RSI − 40| × 2</w:t>
      </w:r>
      <w:r>
        <w:rPr>
          <w:rFonts w:ascii="Arial" w:cs="Arial" w:eastAsia="Arial" w:hAnsi="Arial"/>
        </w:rPr>
        <w:t xml:space="preserve">, then halved (×0.5) if RSI is below 25 or above 75 (too extreme). Because it's symmetric, RSI 30 and RSI 50 score the </w:t>
      </w:r>
      <w:r>
        <w:rPr>
          <w:rFonts w:ascii="Arial" w:cs="Arial" w:eastAsia="Arial" w:hAnsi="Arial"/>
          <w:i/>
          <w:iCs/>
        </w:rPr>
        <w:t xml:space="preserve">same</w:t>
      </w:r>
      <w:r>
        <w:rPr>
          <w:rFonts w:ascii="Arial" w:cs="Arial" w:eastAsia="Arial" w:hAnsi="Arial"/>
        </w:rPr>
        <w:t xml:space="preserve"> — each is 10 points from the 40 sweet spot.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1400"/>
        <w:gridCol w:w="1400"/>
        <w:gridCol w:w="656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RSI</w:t>
            </w:r>
          </w:p>
        </w:tc>
        <w:tc>
          <w:tcPr>
            <w:tcW w:type="dxa" w:w="14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Score</w:t>
            </w:r>
          </w:p>
        </w:tc>
        <w:tc>
          <w:tcPr>
            <w:tcW w:type="dxa" w:w="65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Read</w:t>
            </w:r>
          </w:p>
        </w:tc>
      </w:tr>
      <w:tr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tcW w:type="dxa" w:w="6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Very oversold — score halved (×0.5)</w:t>
            </w:r>
          </w:p>
        </w:tc>
      </w:tr>
      <w:tr>
        <w:tc>
          <w:tcPr>
            <w:tcW w:type="dxa" w:w="14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tcW w:type="dxa" w:w="14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70</w:t>
            </w:r>
          </w:p>
        </w:tc>
        <w:tc>
          <w:tcPr>
            <w:tcW w:type="dxa" w:w="65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Edge of oversold</w:t>
            </w:r>
          </w:p>
        </w:tc>
      </w:tr>
      <w:tr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80</w:t>
            </w:r>
          </w:p>
        </w:tc>
        <w:tc>
          <w:tcPr>
            <w:tcW w:type="dxa" w:w="6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Mild pullback (good)</w:t>
            </w:r>
          </w:p>
        </w:tc>
      </w:tr>
      <w:tr>
        <w:tc>
          <w:tcPr>
            <w:tcW w:type="dxa" w:w="14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tcW w:type="dxa" w:w="14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65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Sweet spot — peak</w:t>
            </w:r>
          </w:p>
        </w:tc>
      </w:tr>
      <w:tr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80</w:t>
            </w:r>
          </w:p>
        </w:tc>
        <w:tc>
          <w:tcPr>
            <w:tcW w:type="dxa" w:w="6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Mildly strong (same as 30)</w:t>
            </w:r>
          </w:p>
        </w:tc>
      </w:tr>
      <w:tr>
        <w:tc>
          <w:tcPr>
            <w:tcW w:type="dxa" w:w="14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60</w:t>
            </w:r>
          </w:p>
        </w:tc>
        <w:tc>
          <w:tcPr>
            <w:tcW w:type="dxa" w:w="14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60</w:t>
            </w:r>
          </w:p>
        </w:tc>
        <w:tc>
          <w:tcPr>
            <w:tcW w:type="dxa" w:w="65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Getting extended</w:t>
            </w:r>
          </w:p>
        </w:tc>
      </w:tr>
      <w:tr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70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tcW w:type="dxa" w:w="6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Near overbought</w:t>
            </w:r>
          </w:p>
        </w:tc>
      </w:tr>
      <w:tr>
        <w:tc>
          <w:tcPr>
            <w:tcW w:type="dxa" w:w="14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80</w:t>
            </w:r>
          </w:p>
        </w:tc>
        <w:tc>
          <w:tcPr>
            <w:tcW w:type="dxa" w:w="14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65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Overbought — score halved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</w:rPr>
        <w:t xml:space="preserve">Bollinger %B — where price sits in its recent range</w:t>
      </w:r>
    </w:p>
    <w:p>
      <w:pPr>
        <w:spacing w:after="120"/>
      </w:pPr>
      <w:r>
        <w:rPr>
          <w:rFonts w:ascii="Arial" w:cs="Arial" w:eastAsia="Arial" w:hAnsi="Arial"/>
        </w:rPr>
        <w:t xml:space="preserve">Bollinger Bands wrap a 20-day average with a band 2 standard deviations above and below — a statistical “normal range.” </w:t>
      </w:r>
      <w:r>
        <w:rPr>
          <w:rFonts w:ascii="Arial" w:cs="Arial" w:eastAsia="Arial" w:hAnsi="Arial"/>
          <w:b/>
          <w:bCs/>
        </w:rPr>
        <w:t xml:space="preserve">%B</w:t>
      </w:r>
      <w:r>
        <w:rPr>
          <w:rFonts w:ascii="Arial" w:cs="Arial" w:eastAsia="Arial" w:hAnsi="Arial"/>
        </w:rPr>
        <w:t xml:space="preserve"> says where today's price sits inside it: </w:t>
      </w:r>
      <w:r>
        <w:rPr>
          <w:rFonts w:ascii="Arial" w:cs="Arial" w:eastAsia="Arial" w:hAnsi="Arial"/>
          <w:i/>
          <w:iCs/>
        </w:rPr>
        <w:t xml:space="preserve">%B = (price − lower band) ÷ (upper band − lower band)</w:t>
      </w:r>
      <w:r>
        <w:rPr>
          <w:rFonts w:ascii="Arial" w:cs="Arial" w:eastAsia="Arial" w:hAnsi="Arial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</w:rPr>
        <w:t xml:space="preserve">%B = 0 means price is </w:t>
      </w:r>
      <w:r>
        <w:rPr>
          <w:rFonts w:ascii="Arial" w:cs="Arial" w:eastAsia="Arial" w:hAnsi="Arial"/>
          <w:i/>
          <w:iCs/>
        </w:rPr>
        <w:t xml:space="preserve">at the lower band</w:t>
      </w:r>
      <w:r>
        <w:rPr>
          <w:rFonts w:ascii="Arial" w:cs="Arial" w:eastAsia="Arial" w:hAnsi="Arial"/>
        </w:rPr>
        <w:t xml:space="preserve">, 0.5 the middle (the 20-day average), 1.0 the upper band; below 0 is </w:t>
      </w:r>
      <w:r>
        <w:rPr>
          <w:rFonts w:ascii="Arial" w:cs="Arial" w:eastAsia="Arial" w:hAnsi="Arial"/>
          <w:i/>
          <w:iCs/>
        </w:rPr>
        <w:t xml:space="preserve">below</w:t>
      </w:r>
      <w:r>
        <w:rPr>
          <w:rFonts w:ascii="Arial" w:cs="Arial" w:eastAsia="Arial" w:hAnsi="Arial"/>
        </w:rPr>
        <w:t xml:space="preserve"> the lower band, above 1 above the upper. Score = </w:t>
      </w:r>
      <w:r>
        <w:rPr>
          <w:rFonts w:ascii="Arial" w:cs="Arial" w:eastAsia="Arial" w:hAnsi="Arial"/>
          <w:i/>
          <w:iCs/>
        </w:rPr>
        <w:t xml:space="preserve">(1 − %B) × 100</w:t>
      </w:r>
      <w:r>
        <w:rPr>
          <w:rFonts w:ascii="Arial" w:cs="Arial" w:eastAsia="Arial" w:hAnsi="Arial"/>
        </w:rPr>
        <w:t xml:space="preserve"> (clipped 0–100), rewarding prices low in the band — a pulled-back, better entry zone.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4000"/>
        <w:gridCol w:w="1900"/>
        <w:gridCol w:w="3460"/>
      </w:tblGrid>
      <w:tr>
        <w:trPr>
          <w:tblHeader/>
        </w:trPr>
        <w:tc>
          <w:tcPr>
            <w:tcW w:type="dxa" w:w="40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Price location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%B</w:t>
            </w:r>
          </w:p>
        </w:tc>
        <w:tc>
          <w:tcPr>
            <w:tcW w:type="dxa" w:w="34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Score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Below the lower band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&lt; 0</w:t>
            </w:r>
          </w:p>
        </w:tc>
        <w:tc>
          <w:tcPr>
            <w:tcW w:type="dxa" w:w="3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100 (clipped)</w:t>
            </w:r>
          </w:p>
        </w:tc>
      </w:tr>
      <w:tr>
        <w:tc>
          <w:tcPr>
            <w:tcW w:type="dxa" w:w="40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At the lower band</w:t>
            </w:r>
          </w:p>
        </w:tc>
        <w:tc>
          <w:tcPr>
            <w:tcW w:type="dxa" w:w="19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0.0</w:t>
            </w:r>
          </w:p>
        </w:tc>
        <w:tc>
          <w:tcPr>
            <w:tcW w:type="dxa" w:w="34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Lower quarter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0.25</w:t>
            </w:r>
          </w:p>
        </w:tc>
        <w:tc>
          <w:tcPr>
            <w:tcW w:type="dxa" w:w="3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75</w:t>
            </w:r>
          </w:p>
        </w:tc>
      </w:tr>
      <w:tr>
        <w:tc>
          <w:tcPr>
            <w:tcW w:type="dxa" w:w="40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Middle (20-day avg)</w:t>
            </w:r>
          </w:p>
        </w:tc>
        <w:tc>
          <w:tcPr>
            <w:tcW w:type="dxa" w:w="19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0.50</w:t>
            </w:r>
          </w:p>
        </w:tc>
        <w:tc>
          <w:tcPr>
            <w:tcW w:type="dxa" w:w="34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50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Upper quarter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0.75</w:t>
            </w:r>
          </w:p>
        </w:tc>
        <w:tc>
          <w:tcPr>
            <w:tcW w:type="dxa" w:w="3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40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At the upper band</w:t>
            </w:r>
          </w:p>
        </w:tc>
        <w:tc>
          <w:tcPr>
            <w:tcW w:type="dxa" w:w="19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34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Above the upper band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1</w:t>
            </w:r>
          </w:p>
        </w:tc>
        <w:tc>
          <w:tcPr>
            <w:tcW w:type="dxa" w:w="3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 (clipped)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</w:rPr>
        <w:t xml:space="preserve">Support cushion — is your strike below recent support?</w:t>
      </w:r>
    </w:p>
    <w:p>
      <w:pPr>
        <w:spacing w:after="120"/>
      </w:pPr>
      <w:r>
        <w:rPr>
          <w:rFonts w:ascii="Arial" w:cs="Arial" w:eastAsia="Arial" w:hAnsi="Arial"/>
        </w:rPr>
        <w:t xml:space="preserve">“swing_low_20” is the lowest price over the last 20 trading days — recent support. Cushion = </w:t>
      </w:r>
      <w:r>
        <w:rPr>
          <w:rFonts w:ascii="Arial" w:cs="Arial" w:eastAsia="Arial" w:hAnsi="Arial"/>
          <w:i/>
          <w:iCs/>
        </w:rPr>
        <w:t xml:space="preserve">(swing_low_20 − strike) ÷ price</w:t>
      </w:r>
      <w:r>
        <w:rPr>
          <w:rFonts w:ascii="Arial" w:cs="Arial" w:eastAsia="Arial" w:hAnsi="Arial"/>
        </w:rPr>
        <w:t xml:space="preserve">: how far your strike sits </w:t>
      </w:r>
      <w:r>
        <w:rPr>
          <w:rFonts w:ascii="Arial" w:cs="Arial" w:eastAsia="Arial" w:hAnsi="Arial"/>
          <w:b/>
          <w:bCs/>
        </w:rPr>
        <w:t xml:space="preserve">beneath</w:t>
      </w:r>
      <w:r>
        <w:rPr>
          <w:rFonts w:ascii="Arial" w:cs="Arial" w:eastAsia="Arial" w:hAnsi="Arial"/>
        </w:rPr>
        <w:t xml:space="preserve"> that low, as a fraction of price. Positive = strike below support (safer — the stock must break to new lows to threaten you); negative = strike above the recent low. It is percentile-ranked across the day's candidates, so more cushion scores higher.</w:t>
      </w:r>
    </w:p>
    <w:p>
      <w:pPr>
        <w:pStyle w:val="Heading2"/>
      </w:pPr>
      <w:r>
        <w:rPr>
          <w:rFonts w:ascii="Arial" w:cs="Arial" w:eastAsia="Arial" w:hAnsi="Arial"/>
        </w:rPr>
        <w:t xml:space="preserve">6.2 A worked example, step by step</w:t>
      </w:r>
    </w:p>
    <w:p>
      <w:pPr>
        <w:spacing w:after="120"/>
      </w:pPr>
      <w:r>
        <w:rPr>
          <w:rFonts w:ascii="Arial" w:cs="Arial" w:eastAsia="Arial" w:hAnsi="Arial"/>
        </w:rPr>
        <w:t xml:space="preserve">To show the full behaviour, take four candidates that clear the gates but sit in very different technical situations: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1300"/>
        <w:gridCol w:w="4060"/>
        <w:gridCol w:w="1200"/>
        <w:gridCol w:w="1400"/>
        <w:gridCol w:w="1400"/>
      </w:tblGrid>
      <w:tr>
        <w:trPr>
          <w:tblHeader/>
        </w:trPr>
        <w:tc>
          <w:tcPr>
            <w:tcW w:type="dxa" w:w="13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Ticker</w:t>
            </w:r>
          </w:p>
        </w:tc>
        <w:tc>
          <w:tcPr>
            <w:tcW w:type="dxa" w:w="40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Scenario</w:t>
            </w:r>
          </w:p>
        </w:tc>
        <w:tc>
          <w:tcPr>
            <w:tcW w:type="dxa" w:w="12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RSI</w:t>
            </w:r>
          </w:p>
        </w:tc>
        <w:tc>
          <w:tcPr>
            <w:tcW w:type="dxa" w:w="14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%B</w:t>
            </w:r>
          </w:p>
        </w:tc>
        <w:tc>
          <w:tcPr>
            <w:tcW w:type="dxa" w:w="14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bb_z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PYPL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Deep oversold / capitulation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22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−0.10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−2.8</w:t>
            </w:r>
          </w:p>
        </w:tc>
      </w:tr>
      <w:tr>
        <w:tc>
          <w:tcPr>
            <w:tcW w:type="dxa" w:w="1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META</w:t>
            </w:r>
          </w:p>
        </w:tc>
        <w:tc>
          <w:tcPr>
            <w:tcW w:type="dxa" w:w="4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Mild pullback (sweet spot)</w:t>
            </w:r>
          </w:p>
        </w:tc>
        <w:tc>
          <w:tcPr>
            <w:tcW w:type="dxa" w:w="12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42</w:t>
            </w:r>
          </w:p>
        </w:tc>
        <w:tc>
          <w:tcPr>
            <w:tcW w:type="dxa" w:w="14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0.28</w:t>
            </w:r>
          </w:p>
        </w:tc>
        <w:tc>
          <w:tcPr>
            <w:tcW w:type="dxa" w:w="14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−0.6</w:t>
            </w:r>
          </w:p>
        </w:tc>
      </w:tr>
      <w:tr>
        <w:tc>
          <w:tcPr>
            <w:tcW w:type="dxa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NVDA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Overbought / extended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72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0.92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+1.7</w:t>
            </w:r>
          </w:p>
        </w:tc>
      </w:tr>
      <w:tr>
        <w:tc>
          <w:tcPr>
            <w:tcW w:type="dxa" w:w="1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GLD</w:t>
            </w:r>
          </w:p>
        </w:tc>
        <w:tc>
          <w:tcPr>
            <w:tcW w:type="dxa" w:w="4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Neutral, low premium</w:t>
            </w:r>
          </w:p>
        </w:tc>
        <w:tc>
          <w:tcPr>
            <w:tcW w:type="dxa" w:w="12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14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0.50</w:t>
            </w:r>
          </w:p>
        </w:tc>
        <w:tc>
          <w:tcPr>
            <w:tcW w:type="dxa" w:w="14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+0.1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</w:rPr>
        <w:t xml:space="preserve">Step 1 — Option-edge bucket</w:t>
      </w:r>
    </w:p>
    <w:p>
      <w:pPr>
        <w:spacing w:after="120"/>
      </w:pPr>
      <w:r>
        <w:rPr>
          <w:rFonts w:ascii="Arial" w:cs="Arial" w:eastAsia="Arial" w:hAnsi="Arial"/>
        </w:rPr>
        <w:t xml:space="preserve">Each option factor is percentile-ranked across the four (ranks 25 / 50 / 75 / 100), then averaged. Cells show raw value → rank-points.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1260"/>
        <w:gridCol w:w="1700"/>
        <w:gridCol w:w="1700"/>
        <w:gridCol w:w="1800"/>
        <w:gridCol w:w="1300"/>
        <w:gridCol w:w="1600"/>
      </w:tblGrid>
      <w:tr>
        <w:trPr>
          <w:tblHeader/>
        </w:trPr>
        <w:tc>
          <w:tcPr>
            <w:tcW w:type="dxa" w:w="12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Ticker</w:t>
            </w:r>
          </w:p>
        </w:tc>
        <w:tc>
          <w:tcPr>
            <w:tcW w:type="dxa" w:w="17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IV Rank</w:t>
            </w:r>
          </w:p>
        </w:tc>
        <w:tc>
          <w:tcPr>
            <w:tcW w:type="dxa" w:w="17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IV/HV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Ann. return</w:t>
            </w:r>
          </w:p>
        </w:tc>
        <w:tc>
          <w:tcPr>
            <w:tcW w:type="dxa" w:w="13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Theta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Option avg</w:t>
            </w:r>
          </w:p>
        </w:tc>
      </w:tr>
      <w:tr>
        <w:tc>
          <w:tcPr>
            <w:tcW w:type="dxa" w:w="12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PYPL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68 → 100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1.45 → 100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31.0% → 100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0.28 → 50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87.5</w:t>
            </w:r>
          </w:p>
        </w:tc>
      </w:tr>
      <w:tr>
        <w:tc>
          <w:tcPr>
            <w:tcW w:type="dxa" w:w="12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META</w:t>
            </w:r>
          </w:p>
        </w:tc>
        <w:tc>
          <w:tcPr>
            <w:tcW w:type="dxa" w:w="17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→ 50</w:t>
            </w:r>
          </w:p>
        </w:tc>
        <w:tc>
          <w:tcPr>
            <w:tcW w:type="dxa" w:w="17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1.10 → 50</w:t>
            </w:r>
          </w:p>
        </w:tc>
        <w:tc>
          <w:tcPr>
            <w:tcW w:type="dxa" w:w="18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24.6% → 50</w:t>
            </w:r>
          </w:p>
        </w:tc>
        <w:tc>
          <w:tcPr>
            <w:tcW w:type="dxa" w:w="1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0.46 → 100</w:t>
            </w:r>
          </w:p>
        </w:tc>
        <w:tc>
          <w:tcPr>
            <w:tcW w:type="dxa" w:w="16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62.5</w:t>
            </w:r>
          </w:p>
        </w:tc>
      </w:tr>
      <w:tr>
        <w:tc>
          <w:tcPr>
            <w:tcW w:type="dxa" w:w="12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NVDA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55 → 75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1.20 → 75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28.0% → 75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0.30 → 75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75.0</w:t>
            </w:r>
          </w:p>
        </w:tc>
      </w:tr>
      <w:tr>
        <w:tc>
          <w:tcPr>
            <w:tcW w:type="dxa" w:w="12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GLD</w:t>
            </w:r>
          </w:p>
        </w:tc>
        <w:tc>
          <w:tcPr>
            <w:tcW w:type="dxa" w:w="17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34 → 25</w:t>
            </w:r>
          </w:p>
        </w:tc>
        <w:tc>
          <w:tcPr>
            <w:tcW w:type="dxa" w:w="17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1.05 → 25</w:t>
            </w:r>
          </w:p>
        </w:tc>
        <w:tc>
          <w:tcPr>
            <w:tcW w:type="dxa" w:w="18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18.0% → 25</w:t>
            </w:r>
          </w:p>
        </w:tc>
        <w:tc>
          <w:tcPr>
            <w:tcW w:type="dxa" w:w="1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0.20 → 25</w:t>
            </w:r>
          </w:p>
        </w:tc>
        <w:tc>
          <w:tcPr>
            <w:tcW w:type="dxa" w:w="16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25.0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PYPL has the richest option edge; GLD the thinnest (low premium across the board).</w:t>
      </w:r>
    </w:p>
    <w:p>
      <w:pPr>
        <w:pStyle w:val="Heading3"/>
      </w:pPr>
      <w:r>
        <w:rPr>
          <w:rFonts w:ascii="Arial" w:cs="Arial" w:eastAsia="Arial" w:hAnsi="Arial"/>
        </w:rPr>
        <w:t xml:space="preserve">Step 2 — Technical bucket</w:t>
      </w:r>
    </w:p>
    <w:p>
      <w:pPr>
        <w:spacing w:after="120"/>
      </w:pPr>
      <w:r>
        <w:rPr>
          <w:rFonts w:ascii="Arial" w:cs="Arial" w:eastAsia="Arial" w:hAnsi="Arial"/>
        </w:rPr>
        <w:t xml:space="preserve">RSI and %B use the fixed scales from 6.1; support is percentile-ranked; then a deeply-oversold name (bb_z ≤ −2.5) gets a +8 bonus.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1100"/>
        <w:gridCol w:w="1500"/>
        <w:gridCol w:w="1500"/>
        <w:gridCol w:w="1560"/>
        <w:gridCol w:w="900"/>
        <w:gridCol w:w="1300"/>
        <w:gridCol w:w="1500"/>
      </w:tblGrid>
      <w:tr>
        <w:trPr>
          <w:tblHeader/>
        </w:trPr>
        <w:tc>
          <w:tcPr>
            <w:tcW w:type="dxa" w:w="11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Ticker</w:t>
            </w:r>
          </w:p>
        </w:tc>
        <w:tc>
          <w:tcPr>
            <w:tcW w:type="dxa" w:w="15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RSI → score</w:t>
            </w:r>
          </w:p>
        </w:tc>
        <w:tc>
          <w:tcPr>
            <w:tcW w:type="dxa" w:w="15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%B → score</w:t>
            </w:r>
          </w:p>
        </w:tc>
        <w:tc>
          <w:tcPr>
            <w:tcW w:type="dxa" w:w="15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Support → pts</w:t>
            </w:r>
          </w:p>
        </w:tc>
        <w:tc>
          <w:tcPr>
            <w:tcW w:type="dxa" w:w="9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Avg</w:t>
            </w:r>
          </w:p>
        </w:tc>
        <w:tc>
          <w:tcPr>
            <w:tcW w:type="dxa" w:w="13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Oversold</w:t>
            </w:r>
          </w:p>
        </w:tc>
        <w:tc>
          <w:tcPr>
            <w:tcW w:type="dxa" w:w="15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Technical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PYPL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22 → 32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−0.10 → 100</w:t>
            </w:r>
          </w:p>
        </w:tc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0.045 → 100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77.3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+8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85.3</w:t>
            </w:r>
          </w:p>
        </w:tc>
      </w:tr>
      <w:tr>
        <w:tc>
          <w:tcPr>
            <w:tcW w:type="dxa" w:w="11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META</w:t>
            </w:r>
          </w:p>
        </w:tc>
        <w:tc>
          <w:tcPr>
            <w:tcW w:type="dxa" w:w="15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42 → 96</w:t>
            </w:r>
          </w:p>
        </w:tc>
        <w:tc>
          <w:tcPr>
            <w:tcW w:type="dxa" w:w="15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0.28 → 72</w:t>
            </w:r>
          </w:p>
        </w:tc>
        <w:tc>
          <w:tcPr>
            <w:tcW w:type="dxa" w:w="15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0.030 → 75</w:t>
            </w:r>
          </w:p>
        </w:tc>
        <w:tc>
          <w:tcPr>
            <w:tcW w:type="dxa" w:w="9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81.0</w:t>
            </w:r>
          </w:p>
        </w:tc>
        <w:tc>
          <w:tcPr>
            <w:tcW w:type="dxa" w:w="1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81.0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NVDA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72 → 36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0.92 → 8</w:t>
            </w:r>
          </w:p>
        </w:tc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−0.010 → 25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23.0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23.0</w:t>
            </w:r>
          </w:p>
        </w:tc>
      </w:tr>
      <w:tr>
        <w:tc>
          <w:tcPr>
            <w:tcW w:type="dxa" w:w="11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GLD</w:t>
            </w:r>
          </w:p>
        </w:tc>
        <w:tc>
          <w:tcPr>
            <w:tcW w:type="dxa" w:w="15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50 → 80</w:t>
            </w:r>
          </w:p>
        </w:tc>
        <w:tc>
          <w:tcPr>
            <w:tcW w:type="dxa" w:w="15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0.50 → 50</w:t>
            </w:r>
          </w:p>
        </w:tc>
        <w:tc>
          <w:tcPr>
            <w:tcW w:type="dxa" w:w="15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0.020 → 50</w:t>
            </w:r>
          </w:p>
        </w:tc>
        <w:tc>
          <w:tcPr>
            <w:tcW w:type="dxa" w:w="9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60.0</w:t>
            </w:r>
          </w:p>
        </w:tc>
        <w:tc>
          <w:tcPr>
            <w:tcW w:type="dxa" w:w="1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60.0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Two things to notice. </w:t>
      </w:r>
      <w:r>
        <w:rPr>
          <w:rFonts w:ascii="Arial" w:cs="Arial" w:eastAsia="Arial" w:hAnsi="Arial"/>
          <w:b/>
          <w:bCs/>
        </w:rPr>
        <w:t xml:space="preserve">PYPL</w:t>
      </w:r>
      <w:r>
        <w:rPr>
          <w:rFonts w:ascii="Arial" w:cs="Arial" w:eastAsia="Arial" w:hAnsi="Arial"/>
        </w:rPr>
        <w:t xml:space="preserve">'s RSI of 22 is </w:t>
      </w:r>
      <w:r>
        <w:rPr>
          <w:rFonts w:ascii="Arial" w:cs="Arial" w:eastAsia="Arial" w:hAnsi="Arial"/>
          <w:i/>
          <w:iCs/>
        </w:rPr>
        <w:t xml:space="preserve">penalized</w:t>
      </w:r>
      <w:r>
        <w:rPr>
          <w:rFonts w:ascii="Arial" w:cs="Arial" w:eastAsia="Arial" w:hAnsi="Arial"/>
        </w:rPr>
        <w:t xml:space="preserve"> (32) for being too extreme — but its price is below the lower band (%B score 100), its strike sits under support (100), and the oversold bonus (+8) tips it to 85.3. </w:t>
      </w:r>
      <w:r>
        <w:rPr>
          <w:rFonts w:ascii="Arial" w:cs="Arial" w:eastAsia="Arial" w:hAnsi="Arial"/>
          <w:b/>
          <w:bCs/>
        </w:rPr>
        <w:t xml:space="preserve">NVDA</w:t>
      </w:r>
      <w:r>
        <w:rPr>
          <w:rFonts w:ascii="Arial" w:cs="Arial" w:eastAsia="Arial" w:hAnsi="Arial"/>
        </w:rPr>
        <w:t xml:space="preserve">, overbought and near the upper band with its strike above the recent low, scores just 23 — the system correctly down-ranks an extended, euphoric entry.</w:t>
      </w:r>
    </w:p>
    <w:p>
      <w:pPr>
        <w:pStyle w:val="Heading3"/>
      </w:pPr>
      <w:r>
        <w:rPr>
          <w:rFonts w:ascii="Arial" w:cs="Arial" w:eastAsia="Arial" w:hAnsi="Arial"/>
        </w:rPr>
        <w:t xml:space="preserve">Step 3 — Diversification bucket</w:t>
      </w:r>
    </w:p>
    <w:p>
      <w:pPr>
        <w:spacing w:after="120"/>
      </w:pPr>
      <w:r>
        <w:rPr>
          <w:rFonts w:ascii="Arial" w:cs="Arial" w:eastAsia="Arial" w:hAnsi="Arial"/>
        </w:rPr>
        <w:t xml:space="preserve">Average correlation to the current book, mapped with </w:t>
      </w:r>
      <w:r>
        <w:rPr>
          <w:rFonts w:ascii="Arial" w:cs="Arial" w:eastAsia="Arial" w:hAnsi="Arial"/>
          <w:i/>
          <w:iCs/>
        </w:rPr>
        <w:t xml:space="preserve">(1 − corr) ÷ 2 × 100</w:t>
      </w:r>
      <w:r>
        <w:rPr>
          <w:rFonts w:ascii="Arial" w:cs="Arial" w:eastAsia="Arial" w:hAnsi="Arial"/>
        </w:rPr>
        <w:t xml:space="preserve">: PYPL +0.10 → 45.0, META +0.07 → 46.5, NVDA +0.11 → 44.5, GLD +0.11 → 44.5. (All mid-40s — Section 7 explains why nothing scores higher in the current regime.)</w:t>
      </w:r>
    </w:p>
    <w:p>
      <w:pPr>
        <w:pStyle w:val="Heading3"/>
      </w:pPr>
      <w:r>
        <w:rPr>
          <w:rFonts w:ascii="Arial" w:cs="Arial" w:eastAsia="Arial" w:hAnsi="Arial"/>
        </w:rPr>
        <w:t xml:space="preserve">Step 4 — Weighted composite (40 / 40 / 20)</w:t>
      </w:r>
    </w:p>
    <w:p>
      <w:pPr>
        <w:spacing w:after="120"/>
      </w:pPr>
      <w:r>
        <w:rPr>
          <w:rFonts w:ascii="Arial" w:cs="Arial" w:eastAsia="Arial" w:hAnsi="Arial"/>
        </w:rPr>
        <w:t xml:space="preserve">Composite = 0.40 × option + 0.40 × technical + 0.20 × diversify. For PYPL: 0.40×87.5 + 0.40×85.3 + 0.20×45.0 = 35.0 + 34.1 + 9.0 = </w:t>
      </w:r>
      <w:r>
        <w:rPr>
          <w:rFonts w:ascii="Arial" w:cs="Arial" w:eastAsia="Arial" w:hAnsi="Arial"/>
          <w:b/>
          <w:bCs/>
        </w:rPr>
        <w:t xml:space="preserve">78.1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1760"/>
        <w:gridCol w:w="1700"/>
        <w:gridCol w:w="1800"/>
        <w:gridCol w:w="1700"/>
        <w:gridCol w:w="1300"/>
        <w:gridCol w:w="1100"/>
      </w:tblGrid>
      <w:tr>
        <w:trPr>
          <w:tblHeader/>
        </w:trPr>
        <w:tc>
          <w:tcPr>
            <w:tcW w:type="dxa" w:w="17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Ticker</w:t>
            </w:r>
          </w:p>
        </w:tc>
        <w:tc>
          <w:tcPr>
            <w:tcW w:type="dxa" w:w="17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Option ×0.40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Technical ×0.40</w:t>
            </w:r>
          </w:p>
        </w:tc>
        <w:tc>
          <w:tcPr>
            <w:tcW w:type="dxa" w:w="17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Diversify ×0.20</w:t>
            </w:r>
          </w:p>
        </w:tc>
        <w:tc>
          <w:tcPr>
            <w:tcW w:type="dxa" w:w="13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Composite</w:t>
            </w:r>
          </w:p>
        </w:tc>
        <w:tc>
          <w:tcPr>
            <w:tcW w:type="dxa" w:w="11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Rank</w:t>
            </w:r>
          </w:p>
        </w:tc>
      </w:tr>
      <w:tr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PYPL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35.0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34.1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9.0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78.1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17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META</w:t>
            </w:r>
          </w:p>
        </w:tc>
        <w:tc>
          <w:tcPr>
            <w:tcW w:type="dxa" w:w="17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25.0</w:t>
            </w:r>
          </w:p>
        </w:tc>
        <w:tc>
          <w:tcPr>
            <w:tcW w:type="dxa" w:w="18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32.4</w:t>
            </w:r>
          </w:p>
        </w:tc>
        <w:tc>
          <w:tcPr>
            <w:tcW w:type="dxa" w:w="17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9.3</w:t>
            </w:r>
          </w:p>
        </w:tc>
        <w:tc>
          <w:tcPr>
            <w:tcW w:type="dxa" w:w="1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66.7</w:t>
            </w:r>
          </w:p>
        </w:tc>
        <w:tc>
          <w:tcPr>
            <w:tcW w:type="dxa" w:w="11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NVDA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30.0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9.2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8.9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48.1</w:t>
            </w:r>
          </w:p>
        </w:tc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17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GLD</w:t>
            </w:r>
          </w:p>
        </w:tc>
        <w:tc>
          <w:tcPr>
            <w:tcW w:type="dxa" w:w="17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10.0</w:t>
            </w:r>
          </w:p>
        </w:tc>
        <w:tc>
          <w:tcPr>
            <w:tcW w:type="dxa" w:w="18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24.0</w:t>
            </w:r>
          </w:p>
        </w:tc>
        <w:tc>
          <w:tcPr>
            <w:tcW w:type="dxa" w:w="17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8.9</w:t>
            </w:r>
          </w:p>
        </w:tc>
        <w:tc>
          <w:tcPr>
            <w:tcW w:type="dxa" w:w="1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42.9</w:t>
            </w:r>
          </w:p>
        </w:tc>
        <w:tc>
          <w:tcPr>
            <w:tcW w:type="dxa" w:w="11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2E75B6" w:sz="1"/>
          <w:left w:val="single" w:color="2E75B6" w:sz="12"/>
          <w:bottom w:val="single" w:color="2E75B6" w:sz="1"/>
          <w:right w:val="single" w:color="2E75B6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1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</w:rPr>
              <w:t xml:space="preserve">What this example teaches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PYPL wins</w:t>
            </w:r>
            <w:r>
              <w:rPr>
                <w:rFonts w:ascii="Arial" w:cs="Arial" w:eastAsia="Arial" w:hAnsi="Arial"/>
              </w:rPr>
              <w:t xml:space="preserve"> — a capitulation name with rich premium, price below its lower band, strike under support. Its RSI alone hurt it, but %B, support and the oversold bonus surface it: exactly the high-premium support entry you wanted shown rather than hidden.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META is the textbook setup</w:t>
            </w:r>
            <w:r>
              <w:rPr>
                <w:rFonts w:ascii="Arial" w:cs="Arial" w:eastAsia="Arial" w:hAnsi="Arial"/>
              </w:rPr>
              <w:t xml:space="preserve"> — a mild pullback (RSI 42 → near-perfect technical) but only middling option edge, so it lands #2.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NVDA sinks despite a decent option edge</w:t>
            </w:r>
            <w:r>
              <w:rPr>
                <w:rFonts w:ascii="Arial" w:cs="Arial" w:eastAsia="Arial" w:hAnsi="Arial"/>
              </w:rPr>
              <w:t xml:space="preserve"> — overbought and extended, its technical bucket (23) drags it down. GLD lands last: solid technicals can't offset gold's thin premium, which is why low-premium diversifiers are surfaced in the per-sleeve view instead.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7. The diversification score, with live examples</w:t>
      </w:r>
    </w:p>
    <w:p>
      <w:pPr>
        <w:spacing w:after="120"/>
      </w:pPr>
      <w:r>
        <w:rPr>
          <w:rFonts w:ascii="Arial" w:cs="Arial" w:eastAsia="Arial" w:hAnsi="Arial"/>
        </w:rPr>
        <w:t xml:space="preserve">Selling many puts that all move together concentrates risk — if the market drops, every position hurts at once. The diversification score rewards candidates whose returns move differently from what you already own, smoothing the portfolio and improving risk-adjusted return.</w:t>
      </w:r>
    </w:p>
    <w:p>
      <w:pPr>
        <w:pStyle w:val="Heading2"/>
      </w:pPr>
      <w:r>
        <w:rPr>
          <w:rFonts w:ascii="Arial" w:cs="Arial" w:eastAsia="Arial" w:hAnsi="Arial"/>
        </w:rPr>
        <w:t xml:space="preserve">7.1 How it is measured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Read the last ~6 months of daily returns for the candidate and for each stock/ETF you currently hold.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Compute the correlation between the candidate and each holding (–1 to +1: +1 = moves identically, 0 = unrelated, –1 = opposite).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Average those correlations, then map the average to a 0–100 score.</w:t>
      </w:r>
    </w:p>
    <w:p>
      <w:pPr>
        <w:spacing w:after="120"/>
      </w:pPr>
      <w:r>
        <w:rPr>
          <w:rFonts w:ascii="Arial" w:cs="Arial" w:eastAsia="Arial" w:hAnsi="Arial"/>
        </w:rPr>
        <w:t xml:space="preserve">The mapping is </w:t>
      </w:r>
      <w:r>
        <w:rPr>
          <w:rFonts w:ascii="Arial" w:cs="Arial" w:eastAsia="Arial" w:hAnsi="Arial"/>
          <w:b/>
          <w:bCs/>
        </w:rPr>
        <w:t xml:space="preserve">score = (1 − average correlation) ÷ 2 × 100</w:t>
      </w:r>
      <w:r>
        <w:rPr>
          <w:rFonts w:ascii="Arial" w:cs="Arial" w:eastAsia="Arial" w:hAnsi="Arial"/>
        </w:rPr>
        <w:t xml:space="preserve">: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2600"/>
        <w:gridCol w:w="1300"/>
        <w:gridCol w:w="546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Average correlation</w:t>
            </w:r>
          </w:p>
        </w:tc>
        <w:tc>
          <w:tcPr>
            <w:tcW w:type="dxa" w:w="13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Score</w:t>
            </w:r>
          </w:p>
        </w:tc>
        <w:tc>
          <w:tcPr>
            <w:tcW w:type="dxa" w:w="54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–1.0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5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Moves perfectly opposite to your book (ideal diversifier)</w:t>
            </w:r>
          </w:p>
        </w:tc>
      </w:tr>
      <w:tr>
        <w:tc>
          <w:tcPr>
            <w:tcW w:type="dxa" w:w="26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–0.5</w:t>
            </w:r>
          </w:p>
        </w:tc>
        <w:tc>
          <w:tcPr>
            <w:tcW w:type="dxa" w:w="1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75</w:t>
            </w:r>
          </w:p>
        </w:tc>
        <w:tc>
          <w:tcPr>
            <w:tcW w:type="dxa" w:w="54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Strong diversifier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0.0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5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Unrelated</w:t>
            </w:r>
          </w:p>
        </w:tc>
      </w:tr>
      <w:tr>
        <w:tc>
          <w:tcPr>
            <w:tcW w:type="dxa" w:w="26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+0.2</w:t>
            </w:r>
          </w:p>
        </w:tc>
        <w:tc>
          <w:tcPr>
            <w:tcW w:type="dxa" w:w="1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tcW w:type="dxa" w:w="54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Mildly correlated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+0.5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tcW w:type="dxa" w:w="5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Moves largely with your book</w:t>
            </w:r>
          </w:p>
        </w:tc>
      </w:tr>
      <w:tr>
        <w:tc>
          <w:tcPr>
            <w:tcW w:type="dxa" w:w="26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+1.0</w:t>
            </w:r>
          </w:p>
        </w:tc>
        <w:tc>
          <w:tcPr>
            <w:tcW w:type="dxa" w:w="1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4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Redundant with what you hold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rFonts w:ascii="Arial" w:cs="Arial" w:eastAsia="Arial" w:hAnsi="Arial"/>
        </w:rPr>
        <w:t xml:space="preserve">Crucially this is an </w:t>
      </w:r>
      <w:r>
        <w:rPr>
          <w:rFonts w:ascii="Arial" w:cs="Arial" w:eastAsia="Arial" w:hAnsi="Arial"/>
          <w:b/>
          <w:bCs/>
        </w:rPr>
        <w:t xml:space="preserve">absolute</w:t>
      </w:r>
      <w:r>
        <w:rPr>
          <w:rFonts w:ascii="Arial" w:cs="Arial" w:eastAsia="Arial" w:hAnsi="Arial"/>
        </w:rPr>
        <w:t xml:space="preserve"> scale, not a percentile. If nothing on offer is genuinely uncorrelated, nothing scores high — the system won't pretend the “least bad” option is a good diversifier.</w:t>
      </w:r>
    </w:p>
    <w:p>
      <w:pPr>
        <w:pStyle w:val="Heading2"/>
      </w:pPr>
      <w:r>
        <w:rPr>
          <w:rFonts w:ascii="Arial" w:cs="Arial" w:eastAsia="Arial" w:hAnsi="Arial"/>
        </w:rPr>
        <w:t xml:space="preserve">7.2 A live example</w:t>
      </w:r>
    </w:p>
    <w:p>
      <w:pPr>
        <w:spacing w:after="120"/>
      </w:pPr>
      <w:r>
        <w:rPr>
          <w:rFonts w:ascii="Arial" w:cs="Arial" w:eastAsia="Arial" w:hAnsi="Arial"/>
        </w:rPr>
        <w:t xml:space="preserve">Suppose your current book is nine positions: CMCSA, HOOD, MSFT, O, OMC, OTEX, PEP, QQQ, and WMT. Here is how four candidates score against it: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1700"/>
        <w:gridCol w:w="2700"/>
        <w:gridCol w:w="1860"/>
        <w:gridCol w:w="3100"/>
      </w:tblGrid>
      <w:tr>
        <w:trPr>
          <w:tblHeader/>
        </w:trPr>
        <w:tc>
          <w:tcPr>
            <w:tcW w:type="dxa" w:w="17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Candidate</w:t>
            </w:r>
          </w:p>
        </w:tc>
        <w:tc>
          <w:tcPr>
            <w:tcW w:type="dxa" w:w="27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Avg correlation to your book</w:t>
            </w:r>
          </w:p>
        </w:tc>
        <w:tc>
          <w:tcPr>
            <w:tcW w:type="dxa" w:w="18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Diversification score</w:t>
            </w:r>
          </w:p>
        </w:tc>
        <w:tc>
          <w:tcPr>
            <w:tcW w:type="dxa" w:w="31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Read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META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+0.07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46.5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Barely correlated — surprisingly diversifying because your book isn't purely tech</w:t>
            </w:r>
          </w:p>
        </w:tc>
      </w:tr>
      <w:tr>
        <w:tc>
          <w:tcPr>
            <w:tcW w:type="dxa" w:w="17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NVDA</w:t>
            </w:r>
          </w:p>
        </w:tc>
        <w:tc>
          <w:tcPr>
            <w:tcW w:type="dxa" w:w="27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+0.11</w:t>
            </w:r>
          </w:p>
        </w:tc>
        <w:tc>
          <w:tcPr>
            <w:tcW w:type="dxa" w:w="18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44.5</w:t>
            </w:r>
          </w:p>
        </w:tc>
        <w:tc>
          <w:tcPr>
            <w:tcW w:type="dxa" w:w="31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Mildly correlated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GLD (gold)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+0.11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44.5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Low correlation, but not negative right now</w:t>
            </w:r>
          </w:p>
        </w:tc>
      </w:tr>
      <w:tr>
        <w:tc>
          <w:tcPr>
            <w:tcW w:type="dxa" w:w="17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TLT (bonds)</w:t>
            </w:r>
          </w:p>
        </w:tc>
        <w:tc>
          <w:tcPr>
            <w:tcW w:type="dxa" w:w="27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+0.15</w:t>
            </w:r>
          </w:p>
        </w:tc>
        <w:tc>
          <w:tcPr>
            <w:tcW w:type="dxa" w:w="18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42.5</w:t>
            </w:r>
          </w:p>
        </w:tc>
        <w:tc>
          <w:tcPr>
            <w:tcW w:type="dxa" w:w="31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Even bonds are mildly positive in the current regime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2E75B6" w:sz="1"/>
          <w:left w:val="single" w:color="2E75B6" w:sz="12"/>
          <w:bottom w:val="single" w:color="2E75B6" w:sz="1"/>
          <w:right w:val="single" w:color="2E75B6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1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</w:rPr>
              <w:t xml:space="preserve">The honest reality of “diversification”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Every score clusters in the 40s. Over the last six months </w:t>
            </w:r>
            <w:r>
              <w:rPr>
                <w:rFonts w:ascii="Arial" w:cs="Arial" w:eastAsia="Arial" w:hAnsi="Arial"/>
                <w:b/>
                <w:bCs/>
              </w:rPr>
              <w:t xml:space="preserve">nothing</w:t>
            </w:r>
            <w:r>
              <w:rPr>
                <w:rFonts w:ascii="Arial" w:cs="Arial" w:eastAsia="Arial" w:hAnsi="Arial"/>
              </w:rPr>
              <w:t xml:space="preserve"> — not even gold or long-term bonds — was negatively correlated to the book. In stress, most things fall together.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So the diversification </w:t>
            </w:r>
            <w:r>
              <w:rPr>
                <w:rFonts w:ascii="Arial" w:cs="Arial" w:eastAsia="Arial" w:hAnsi="Arial"/>
                <w:i/>
                <w:iCs/>
              </w:rPr>
              <w:t xml:space="preserve">score</w:t>
            </w:r>
            <w:r>
              <w:rPr>
                <w:rFonts w:ascii="Arial" w:cs="Arial" w:eastAsia="Arial" w:hAnsi="Arial"/>
              </w:rPr>
              <w:t xml:space="preserve"> is only a gentle nudge today. The heavy lifting is done by the </w:t>
            </w:r>
            <w:r>
              <w:rPr>
                <w:rFonts w:ascii="Arial" w:cs="Arial" w:eastAsia="Arial" w:hAnsi="Arial"/>
                <w:b/>
                <w:bCs/>
              </w:rPr>
              <w:t xml:space="preserve">“best per sleeve”</w:t>
            </w:r>
            <w:r>
              <w:rPr>
                <w:rFonts w:ascii="Arial" w:cs="Arial" w:eastAsia="Arial" w:hAnsi="Arial"/>
              </w:rPr>
              <w:t xml:space="preserve"> view, which guarantees you see the best bond, gold, REIT and index trade on their own merits — real diversification comes from holding </w:t>
            </w:r>
            <w:r>
              <w:rPr>
                <w:rFonts w:ascii="Arial" w:cs="Arial" w:eastAsia="Arial" w:hAnsi="Arial"/>
                <w:i/>
                <w:iCs/>
              </w:rPr>
              <w:t xml:space="preserve">different asset classes</w:t>
            </w:r>
            <w:r>
              <w:rPr>
                <w:rFonts w:ascii="Arial" w:cs="Arial" w:eastAsia="Arial" w:hAnsi="Arial"/>
              </w:rPr>
              <w:t xml:space="preserve">, which individual stocks can't provide.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8. Position sizing and exposure</w:t>
      </w:r>
    </w:p>
    <w:p>
      <w:pPr>
        <w:spacing w:after="120"/>
      </w:pPr>
      <w:r>
        <w:rPr>
          <w:rFonts w:ascii="Arial" w:cs="Arial" w:eastAsia="Arial" w:hAnsi="Arial"/>
        </w:rPr>
        <w:t xml:space="preserve">The system recommends how many contracts (“lots”) to sell so a bad outcome stays within a set fraction of your account. It assumes you'd exit once the stock is </w:t>
      </w:r>
      <w:r>
        <w:rPr>
          <w:rFonts w:ascii="Arial" w:cs="Arial" w:eastAsia="Arial" w:hAnsi="Arial"/>
          <w:i/>
          <w:iCs/>
        </w:rPr>
        <w:t xml:space="preserve">15% below the strike</w:t>
      </w:r>
      <w:r>
        <w:rPr>
          <w:rFonts w:ascii="Arial" w:cs="Arial" w:eastAsia="Arial" w:hAnsi="Arial"/>
        </w:rPr>
        <w:t xml:space="preserve">:</w:t>
      </w:r>
    </w:p>
    <w:tbl>
      <w:tblPr>
        <w:tblW w:type="dxa" w:w="9360"/>
        <w:tblBorders>
          <w:top w:val="single" w:color="2E75B6" w:sz="1"/>
          <w:left w:val="single" w:color="2E75B6" w:sz="12"/>
          <w:bottom w:val="single" w:color="2E75B6" w:sz="1"/>
          <w:right w:val="single" w:color="2E75B6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1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</w:rPr>
              <w:t xml:space="preserve">The sizing formula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Risk per contract = strike × 100 × 15%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Lots = (account value × 3%) ÷ risk per contract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Example: a $190 strike on a $700,000 account → risk/contract = 190 × 100 × 0.15 = $2,850; budget = $21,000; lots = 7.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Account value is read automatically from your broker (“Net Liquidation”). The monitor also shows </w:t>
      </w:r>
      <w:r>
        <w:rPr>
          <w:rFonts w:ascii="Arial" w:cs="Arial" w:eastAsia="Arial" w:hAnsi="Arial"/>
          <w:b/>
          <w:bCs/>
        </w:rPr>
        <w:t xml:space="preserve">exposure</w:t>
      </w:r>
      <w:r>
        <w:rPr>
          <w:rFonts w:ascii="Arial" w:cs="Arial" w:eastAsia="Arial" w:hAnsi="Arial"/>
        </w:rPr>
        <w:t xml:space="preserve"> per position — the dollar loss if it reached your stop (</w:t>
      </w:r>
      <w:r>
        <w:rPr>
          <w:rFonts w:ascii="Arial" w:cs="Arial" w:eastAsia="Arial" w:hAnsi="Arial"/>
          <w:i/>
          <w:iCs/>
        </w:rPr>
        <w:t xml:space="preserve">strike × 15% × 100 × contracts</w:t>
      </w:r>
      <w:r>
        <w:rPr>
          <w:rFonts w:ascii="Arial" w:cs="Arial" w:eastAsia="Arial" w:hAnsi="Arial"/>
        </w:rPr>
        <w:t xml:space="preserve">) — totalled as a % of your account.</w:t>
      </w:r>
    </w:p>
    <w:p>
      <w:pPr>
        <w:pStyle w:val="Heading1"/>
      </w:pPr>
      <w:r>
        <w:rPr>
          <w:rFonts w:ascii="Arial" w:cs="Arial" w:eastAsia="Arial" w:hAnsi="Arial"/>
        </w:rPr>
        <w:t xml:space="preserve">9. Managing open positions</w:t>
      </w:r>
    </w:p>
    <w:p>
      <w:pPr>
        <w:pStyle w:val="Heading2"/>
      </w:pPr>
      <w:r>
        <w:rPr>
          <w:rFonts w:ascii="Arial" w:cs="Arial" w:eastAsia="Arial" w:hAnsi="Arial"/>
        </w:rPr>
        <w:t xml:space="preserve">9.1 The monitor</w:t>
      </w:r>
    </w:p>
    <w:p>
      <w:pPr>
        <w:spacing w:after="120"/>
      </w:pPr>
      <w:r>
        <w:rPr>
          <w:rFonts w:ascii="Arial" w:cs="Arial" w:eastAsia="Arial" w:hAnsi="Arial"/>
        </w:rPr>
        <w:t xml:space="preserve">Each open position is labelled with an action: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E7145"/>
        </w:rPr>
        <w:t xml:space="preserve">CLOSE</w:t>
      </w:r>
      <w:r>
        <w:rPr>
          <w:rFonts w:ascii="Arial" w:cs="Arial" w:eastAsia="Arial" w:hAnsi="Arial"/>
        </w:rPr>
        <w:t xml:space="preserve"> — a short put at ~70% of its premium, or within 21 days of expiry.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2E75B6"/>
        </w:rPr>
        <w:t xml:space="preserve">ROLL?</w:t>
      </w:r>
      <w:r>
        <w:rPr>
          <w:rFonts w:ascii="Arial" w:cs="Arial" w:eastAsia="Arial" w:hAnsi="Arial"/>
        </w:rPr>
        <w:t xml:space="preserve"> — a put whose stock has fallen to/below the strike (at/in-the-money); worth considering an adjustment.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HOLD</w:t>
      </w:r>
      <w:r>
        <w:rPr>
          <w:rFonts w:ascii="Arial" w:cs="Arial" w:eastAsia="Arial" w:hAnsi="Arial"/>
        </w:rPr>
        <w:t xml:space="preserve"> — everything else.</w:t>
      </w:r>
    </w:p>
    <w:p>
      <w:pPr>
        <w:pStyle w:val="Heading2"/>
      </w:pPr>
      <w:r>
        <w:rPr>
          <w:rFonts w:ascii="Arial" w:cs="Arial" w:eastAsia="Arial" w:hAnsi="Arial"/>
        </w:rPr>
        <w:t xml:space="preserve">9.2 Roll suggestions</w:t>
      </w:r>
    </w:p>
    <w:p>
      <w:pPr>
        <w:spacing w:after="120"/>
      </w:pPr>
      <w:r>
        <w:rPr>
          <w:rFonts w:ascii="Arial" w:cs="Arial" w:eastAsia="Arial" w:hAnsi="Arial"/>
        </w:rPr>
        <w:t xml:space="preserve">For any flagged position, the system reuses the </w:t>
      </w:r>
      <w:r>
        <w:rPr>
          <w:rFonts w:ascii="Arial" w:cs="Arial" w:eastAsia="Arial" w:hAnsi="Arial"/>
          <w:b/>
          <w:bCs/>
        </w:rPr>
        <w:t xml:space="preserve">same scoring engine</w:t>
      </w:r>
      <w:r>
        <w:rPr>
          <w:rFonts w:ascii="Arial" w:cs="Arial" w:eastAsia="Arial" w:hAnsi="Arial"/>
        </w:rPr>
        <w:t xml:space="preserve"> on that stock's later-dated puts and shows the top three replacements, each with the </w:t>
      </w:r>
      <w:r>
        <w:rPr>
          <w:rFonts w:ascii="Arial" w:cs="Arial" w:eastAsia="Arial" w:hAnsi="Arial"/>
          <w:i/>
          <w:iCs/>
        </w:rPr>
        <w:t xml:space="preserve">net credit</w:t>
      </w:r>
      <w:r>
        <w:rPr>
          <w:rFonts w:ascii="Arial" w:cs="Arial" w:eastAsia="Arial" w:hAnsi="Arial"/>
        </w:rPr>
        <w:t xml:space="preserve"> (what you'd collect to roll out, after buying back the current option). Positive = you're paid to extend.</w:t>
      </w:r>
    </w:p>
    <w:p>
      <w:pPr>
        <w:pStyle w:val="Heading2"/>
      </w:pPr>
      <w:r>
        <w:rPr>
          <w:rFonts w:ascii="Arial" w:cs="Arial" w:eastAsia="Arial" w:hAnsi="Arial"/>
        </w:rPr>
        <w:t xml:space="preserve">9.3 Stops (the safety net)</w:t>
      </w:r>
    </w:p>
    <w:p>
      <w:pPr>
        <w:spacing w:after="120"/>
      </w:pPr>
      <w:r>
        <w:rPr>
          <w:rFonts w:ascii="Arial" w:cs="Arial" w:eastAsia="Arial" w:hAnsi="Arial"/>
        </w:rPr>
        <w:t xml:space="preserve">The stop tool proposes </w:t>
      </w:r>
      <w:r>
        <w:rPr>
          <w:rFonts w:ascii="Arial" w:cs="Arial" w:eastAsia="Arial" w:hAnsi="Arial"/>
          <w:i/>
          <w:iCs/>
        </w:rPr>
        <w:t xml:space="preserve">buy-to-close</w:t>
      </w:r>
      <w:r>
        <w:rPr>
          <w:rFonts w:ascii="Arial" w:cs="Arial" w:eastAsia="Arial" w:hAnsi="Arial"/>
        </w:rPr>
        <w:t xml:space="preserve"> orders that trigger when the stock falls to </w:t>
      </w:r>
      <w:r>
        <w:rPr>
          <w:rFonts w:ascii="Arial" w:cs="Arial" w:eastAsia="Arial" w:hAnsi="Arial"/>
          <w:b/>
          <w:bCs/>
        </w:rPr>
        <w:t xml:space="preserve">7% below the strike</w:t>
      </w:r>
      <w:r>
        <w:rPr>
          <w:rFonts w:ascii="Arial" w:cs="Arial" w:eastAsia="Arial" w:hAnsi="Arial"/>
        </w:rPr>
        <w:t xml:space="preserve"> (you size for a 15% move but cut earlier, at 7% — a safety buffer). It is </w:t>
      </w:r>
      <w:r>
        <w:rPr>
          <w:rFonts w:ascii="Arial" w:cs="Arial" w:eastAsia="Arial" w:hAnsi="Arial"/>
          <w:b/>
          <w:bCs/>
        </w:rPr>
        <w:t xml:space="preserve">advisory by default</w:t>
      </w:r>
      <w:r>
        <w:rPr>
          <w:rFonts w:ascii="Arial" w:cs="Arial" w:eastAsia="Arial" w:hAnsi="Arial"/>
        </w:rPr>
        <w:t xml:space="preserve"> and submits nothing until you switch it to live and confirm. It never duplicates an existing stop.</w:t>
      </w:r>
    </w:p>
    <w:tbl>
      <w:tblPr>
        <w:tblW w:type="dxa" w:w="9360"/>
        <w:tblBorders>
          <w:top w:val="single" w:color="2E75B6" w:sz="1"/>
          <w:left w:val="single" w:color="2E75B6" w:sz="12"/>
          <w:bottom w:val="single" w:color="2E75B6" w:sz="1"/>
          <w:right w:val="single" w:color="2E75B6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1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</w:rPr>
              <w:t xml:space="preserve">Why the stop watches the stock, not the option price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 conventional stop sits on the option's own price, but option quotes are thin and jumpy — a single bad print can fire it at a terrible fill. Triggering on the underlying stock (a deep, clean market) avoids those false exits and matches the “exit if the stock drops X%” rule directly.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10. Delivery and automation</w:t>
      </w:r>
    </w:p>
    <w:p>
      <w:pPr>
        <w:spacing w:after="120"/>
      </w:pPr>
      <w:r>
        <w:rPr>
          <w:rFonts w:ascii="Arial" w:cs="Arial" w:eastAsia="Arial" w:hAnsi="Arial"/>
        </w:rPr>
        <w:t xml:space="preserve">Reports arrive as a Telegram message — free, instant, on your phone.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3000"/>
        <w:gridCol w:w="4060"/>
        <w:gridCol w:w="2300"/>
      </w:tblGrid>
      <w:tr>
        <w:trPr>
          <w:tblHeader/>
        </w:trPr>
        <w:tc>
          <w:tcPr>
            <w:tcW w:type="dxa" w:w="30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Piece</w:t>
            </w:r>
          </w:p>
        </w:tc>
        <w:tc>
          <w:tcPr>
            <w:tcW w:type="dxa" w:w="40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Where it runs</w:t>
            </w:r>
          </w:p>
        </w:tc>
        <w:tc>
          <w:tcPr>
            <w:tcW w:type="dxa" w:w="23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Needs the broker app open?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Screener report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The cloud (GitHub Actions), free, daily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 — uses free public data</w:t>
            </w:r>
          </w:p>
        </w:tc>
      </w:tr>
      <w:tr>
        <w:tc>
          <w:tcPr>
            <w:tcW w:type="dxa" w:w="30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Full report (positions, exposure, rolls)</w:t>
            </w:r>
          </w:p>
        </w:tc>
        <w:tc>
          <w:tcPr>
            <w:tcW w:type="dxa" w:w="4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Your PC (Windows Task Scheduler)</w:t>
            </w:r>
          </w:p>
        </w:tc>
        <w:tc>
          <w:tcPr>
            <w:tcW w:type="dxa" w:w="2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Yes — needs the broker connection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Stops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Your PC, on demand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Yes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2E75B6" w:sz="1"/>
          <w:left w:val="single" w:color="2E75B6" w:sz="12"/>
          <w:bottom w:val="single" w:color="2E75B6" w:sz="1"/>
          <w:right w:val="single" w:color="2E75B6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1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</w:rPr>
              <w:t xml:space="preserve">All the settings live in one file (config.json)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The tunable knobs — scoring weights, gate thresholds, the trend rule, sizing, stop levels — live in a single </w:t>
            </w:r>
            <w:r>
              <w:rPr>
                <w:rFonts w:ascii="Arial" w:cs="Arial" w:eastAsia="Arial" w:hAnsi="Arial"/>
                <w:b/>
                <w:bCs/>
              </w:rPr>
              <w:t xml:space="preserve">config.json</w:t>
            </w:r>
            <w:r>
              <w:rPr>
                <w:rFonts w:ascii="Arial" w:cs="Arial" w:eastAsia="Arial" w:hAnsi="Arial"/>
              </w:rPr>
              <w:t xml:space="preserve">. You edit values there, never the code.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It is committed to the GitHub repo, so the cloud screener and your PC read the </w:t>
            </w:r>
            <w:r>
              <w:rPr>
                <w:rFonts w:ascii="Arial" w:cs="Arial" w:eastAsia="Arial" w:hAnsi="Arial"/>
                <w:i/>
                <w:iCs/>
              </w:rPr>
              <w:t xml:space="preserve">same</w:t>
            </w:r>
            <w:r>
              <w:rPr>
                <w:rFonts w:ascii="Arial" w:cs="Arial" w:eastAsia="Arial" w:hAnsi="Arial"/>
              </w:rPr>
              <w:t xml:space="preserve"> settings. After changing it: git add config.json → git commit → git push.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One honest limitation: a fully hands-off broker login isn't possible (two-factor authentication). The practical setup is to leave the broker gateway running with “auto-restart” on; log in once and re-confirm roughly weekly. The scheduled jobs connect to the already-running gateway.</w:t>
      </w:r>
    </w:p>
    <w:p>
      <w:pPr>
        <w:pStyle w:val="Heading1"/>
      </w:pPr>
      <w:r>
        <w:rPr>
          <w:rFonts w:ascii="Arial" w:cs="Arial" w:eastAsia="Arial" w:hAnsi="Arial"/>
        </w:rPr>
        <w:t xml:space="preserve">11. Field glossary (what each column means)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Field</w:t>
            </w:r>
          </w:p>
        </w:tc>
        <w:tc>
          <w:tcPr>
            <w:tcW w:type="dxa" w:w="70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otm_%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How far the stock is above your strike — your cushion before assignment</w:t>
            </w:r>
          </w:p>
        </w:tc>
      </w:tr>
      <w:tr>
        <w:tc>
          <w:tcPr>
            <w:tcW w:type="dxa" w:w="2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delta</w:t>
            </w:r>
          </w:p>
        </w:tc>
        <w:tc>
          <w:tcPr>
            <w:tcW w:type="dxa" w:w="7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Roughly the chance the option finishes in-the-money (negative for puts)</w:t>
            </w:r>
          </w:p>
        </w:tc>
      </w:tr>
      <w:t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iv_pct / hv_pct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Implied vs realized volatility (annualized)</w:t>
            </w:r>
          </w:p>
        </w:tc>
      </w:tr>
      <w:tr>
        <w:tc>
          <w:tcPr>
            <w:tcW w:type="dxa" w:w="2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iv_hv</w:t>
            </w:r>
          </w:p>
        </w:tc>
        <w:tc>
          <w:tcPr>
            <w:tcW w:type="dxa" w:w="7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IV ÷ HV — the richness ratio; above 1 is good for sellers</w:t>
            </w:r>
          </w:p>
        </w:tc>
      </w:tr>
      <w:t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iv_rank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Where today's volatility sits in its own past year, 0–100</w:t>
            </w:r>
          </w:p>
        </w:tc>
      </w:tr>
      <w:tr>
        <w:tc>
          <w:tcPr>
            <w:tcW w:type="dxa" w:w="2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bb_z</w:t>
            </w:r>
          </w:p>
        </w:tc>
        <w:tc>
          <w:tcPr>
            <w:tcW w:type="dxa" w:w="7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Std-deviations below the 20-day mean; very negative = deeply oversold (earns a bonus)</w:t>
            </w:r>
          </w:p>
        </w:tc>
      </w:tr>
      <w:t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ann_ret_pct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Annualized return on the cash you'd set aside (collateral)</w:t>
            </w:r>
          </w:p>
        </w:tc>
      </w:tr>
      <w:tr>
        <w:tc>
          <w:tcPr>
            <w:tcW w:type="dxa" w:w="2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lots</w:t>
            </w:r>
          </w:p>
        </w:tc>
        <w:tc>
          <w:tcPr>
            <w:tcW w:type="dxa" w:w="7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Recommended number of contracts under the sizing rule</w:t>
            </w:r>
          </w:p>
        </w:tc>
      </w:tr>
      <w:t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div_corr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Average correlation of this name to your current holdings</w:t>
            </w:r>
          </w:p>
        </w:tc>
      </w:tr>
      <w:tr>
        <w:tc>
          <w:tcPr>
            <w:tcW w:type="dxa" w:w="2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score_option / technical / diversify</w:t>
            </w:r>
          </w:p>
        </w:tc>
        <w:tc>
          <w:tcPr>
            <w:tcW w:type="dxa" w:w="7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The three bucket scores, 0–100</w:t>
            </w:r>
          </w:p>
        </w:tc>
      </w:tr>
      <w:t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score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The final weighted composite — the ranking number</w:t>
            </w:r>
          </w:p>
        </w:tc>
      </w:tr>
      <w:tr>
        <w:tc>
          <w:tcPr>
            <w:tcW w:type="dxa" w:w="2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money</w:t>
            </w:r>
          </w:p>
        </w:tc>
        <w:tc>
          <w:tcPr>
            <w:tcW w:type="dxa" w:w="7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ITM / ATM / OTM — in, at, or out of the money</w:t>
            </w:r>
          </w:p>
        </w:tc>
      </w:tr>
      <w:t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exposure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Dollar loss if the position hit its stop (strike × 15% × 100 × lots)</w:t>
            </w:r>
          </w:p>
        </w:tc>
      </w:tr>
      <w:tr>
        <w:tc>
          <w:tcPr>
            <w:tcW w:type="dxa" w:w="2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sleeve</w:t>
            </w:r>
          </w:p>
        </w:tc>
        <w:tc>
          <w:tcPr>
            <w:tcW w:type="dxa" w:w="7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Asset-class / sector grouping for diversification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12. Glossary of terms</w:t>
      </w:r>
    </w:p>
    <w:tbl>
      <w:tblPr>
        <w:tblW w:type="dxa" w:w="9360"/>
        <w:tblBorders>
          <w:top w:val="single" w:color="C9D3E0" w:sz="1"/>
          <w:left w:val="single" w:color="C9D3E0" w:sz="1"/>
          <w:bottom w:val="single" w:color="C9D3E0" w:sz="1"/>
          <w:right w:val="single" w:color="C9D3E0" w:sz="1"/>
          <w:insideH w:val="single" w:color="C9D3E0" w:sz="1"/>
          <w:insideV w:val="single" w:color="C9D3E0" w:sz="1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Term</w:t>
            </w:r>
          </w:p>
        </w:tc>
        <w:tc>
          <w:tcPr>
            <w:tcW w:type="dxa" w:w="7060"/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Plain meaning</w:t>
            </w:r>
          </w:p>
        </w:tc>
      </w:tr>
      <w:t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Put option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 contract to sell (or, for the seller, potentially buy) a stock at a set price by a set date</w:t>
            </w:r>
          </w:p>
        </w:tc>
      </w:tr>
      <w:tr>
        <w:tc>
          <w:tcPr>
            <w:tcW w:type="dxa" w:w="2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Strike</w:t>
            </w:r>
          </w:p>
        </w:tc>
        <w:tc>
          <w:tcPr>
            <w:tcW w:type="dxa" w:w="7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The agreed price in the option contract</w:t>
            </w:r>
          </w:p>
        </w:tc>
      </w:tr>
      <w:t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Premium / credit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The cash you receive for selling the option</w:t>
            </w:r>
          </w:p>
        </w:tc>
      </w:tr>
      <w:tr>
        <w:tc>
          <w:tcPr>
            <w:tcW w:type="dxa" w:w="2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Cash-secured</w:t>
            </w:r>
          </w:p>
        </w:tc>
        <w:tc>
          <w:tcPr>
            <w:tcW w:type="dxa" w:w="7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You set aside enough cash to buy the shares if assigned</w:t>
            </w:r>
          </w:p>
        </w:tc>
      </w:tr>
      <w:t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Assignment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Being required to buy the shares because the put finished in-the-money</w:t>
            </w:r>
          </w:p>
        </w:tc>
      </w:tr>
      <w:tr>
        <w:tc>
          <w:tcPr>
            <w:tcW w:type="dxa" w:w="2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RSI</w:t>
            </w:r>
          </w:p>
        </w:tc>
        <w:tc>
          <w:tcPr>
            <w:tcW w:type="dxa" w:w="7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Relative Strength Index — a 0–100 momentum gauge (low = oversold, high = overbought)</w:t>
            </w:r>
          </w:p>
        </w:tc>
      </w:tr>
      <w:t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Bollinger Bands / %B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 20-day average ± 2σ band; %B is where price sits inside it (0 = lower band, 1 = upper)</w:t>
            </w:r>
          </w:p>
        </w:tc>
      </w:tr>
      <w:tr>
        <w:tc>
          <w:tcPr>
            <w:tcW w:type="dxa" w:w="2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The wheel</w:t>
            </w:r>
          </w:p>
        </w:tc>
        <w:tc>
          <w:tcPr>
            <w:tcW w:type="dxa" w:w="7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Sell puts → if assigned, own shares → sell calls → repeat</w:t>
            </w:r>
          </w:p>
        </w:tc>
      </w:tr>
      <w:t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DTE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Days to expiry</w:t>
            </w:r>
          </w:p>
        </w:tc>
      </w:tr>
      <w:tr>
        <w:tc>
          <w:tcPr>
            <w:tcW w:type="dxa" w:w="2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Roll</w:t>
            </w:r>
          </w:p>
        </w:tc>
        <w:tc>
          <w:tcPr>
            <w:tcW w:type="dxa" w:w="7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Close the current option and open a later one, usually for a net credit</w:t>
            </w:r>
          </w:p>
        </w:tc>
      </w:tr>
      <w:t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GTC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“Good till cancelled” — an order that rests at the broker until filled or pulled</w:t>
            </w:r>
          </w:p>
        </w:tc>
      </w:tr>
      <w:tr>
        <w:tc>
          <w:tcPr>
            <w:tcW w:type="dxa" w:w="230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Commit / push (Git)</w:t>
            </w:r>
          </w:p>
        </w:tc>
        <w:tc>
          <w:tcPr>
            <w:tcW w:type="dxa" w:w="7060"/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“Commit” saves a snapshot of your files locally; “push” uploads it to GitHub so the cloud uses it</w:t>
            </w:r>
          </w:p>
        </w:tc>
      </w:tr>
      <w:tr>
        <w:tc>
          <w:tcPr>
            <w:tcW w:type="dxa" w:w="2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NetLiquidation (NLV)</w:t>
            </w:r>
          </w:p>
        </w:tc>
        <w:tc>
          <w:tcPr>
            <w:tcW w:type="dxa" w:w="7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Your account's total value, used for sizing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13. Where the details and code live</w:t>
      </w:r>
    </w:p>
    <w:p>
      <w:pPr>
        <w:spacing w:after="120"/>
      </w:pPr>
      <w:r>
        <w:rPr>
          <w:rFonts w:ascii="Arial" w:cs="Arial" w:eastAsia="Arial" w:hAnsi="Arial"/>
        </w:rPr>
        <w:t xml:space="preserve">This guide is the friendly overview. Two companion documents go deeper: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TECHNICAL_DOC.md</w:t>
      </w:r>
      <w:r>
        <w:rPr>
          <w:rFonts w:ascii="Arial" w:cs="Arial" w:eastAsia="Arial" w:hAnsi="Arial"/>
        </w:rPr>
        <w:t xml:space="preserve"> — the full reference, including every setting and the complete source code in an appendix.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PROJECT_LOG.md</w:t>
      </w:r>
      <w:r>
        <w:rPr>
          <w:rFonts w:ascii="Arial" w:cs="Arial" w:eastAsia="Arial" w:hAnsi="Arial"/>
        </w:rPr>
        <w:t xml:space="preserve"> — the chronological build journal: every decision, why, and how it was tested.</w:t>
      </w:r>
    </w:p>
    <w:p>
      <w:pPr>
        <w:spacing w:after="120"/>
      </w:pPr>
      <w:r>
        <w:rPr>
          <w:rFonts w:ascii="Arial" w:cs="Arial" w:eastAsia="Arial" w:hAnsi="Arial"/>
        </w:rPr>
        <w:t xml:space="preserve">Key files: screener.py (find), monitor.py (manage), place_stops.py (protect), daily_report.py + notify.py (deliver), update_iv_history.py (weekly volatility refresh), config.json (all settings), and the GitHub Actions workflow (cloud automation).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Reminder: this system is personal tooling to organize decisions and cap risk. It is not investment advice, and you remain in control of every order it might place.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Options Wheel &amp; Put-Selling System  ·  </w:t>
    </w: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40" w:before="3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2026-06-10T15:37:11.314Z</dcterms:created>
  <dcterms:modified xsi:type="dcterms:W3CDTF">2026-06-10T15:37:11.314Z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