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D47BB" w14:textId="77777777" w:rsidR="003C4035" w:rsidRDefault="0005071D">
      <w:pPr>
        <w:spacing w:after="0" w:line="259" w:lineRule="auto"/>
        <w:ind w:left="330" w:firstLine="0"/>
        <w:jc w:val="left"/>
      </w:pPr>
      <w:r>
        <w:rPr>
          <w:b/>
          <w:sz w:val="41"/>
        </w:rPr>
        <w:t>Privacy-Preserving Multi-Modal Medical</w:t>
      </w:r>
    </w:p>
    <w:p w14:paraId="7D559A49" w14:textId="77777777" w:rsidR="003C4035" w:rsidRDefault="0005071D">
      <w:pPr>
        <w:spacing w:after="744" w:line="259" w:lineRule="auto"/>
        <w:ind w:left="0" w:firstLine="0"/>
        <w:jc w:val="center"/>
      </w:pPr>
      <w:r>
        <w:rPr>
          <w:b/>
          <w:sz w:val="41"/>
        </w:rPr>
        <w:t>Data Anonymization</w:t>
      </w:r>
    </w:p>
    <w:p w14:paraId="580CDC0D" w14:textId="77777777" w:rsidR="003C4035" w:rsidRDefault="0005071D">
      <w:pPr>
        <w:spacing w:after="515" w:line="259" w:lineRule="auto"/>
        <w:ind w:left="0" w:firstLine="0"/>
        <w:jc w:val="center"/>
      </w:pPr>
      <w:r>
        <w:rPr>
          <w:sz w:val="29"/>
        </w:rPr>
        <w:t>July 31, 2025</w:t>
      </w:r>
    </w:p>
    <w:p w14:paraId="0062D08B" w14:textId="77777777" w:rsidR="003C4035" w:rsidRDefault="0005071D">
      <w:pPr>
        <w:spacing w:after="126" w:line="259" w:lineRule="auto"/>
        <w:ind w:left="0" w:firstLine="0"/>
        <w:jc w:val="center"/>
      </w:pPr>
      <w:r>
        <w:rPr>
          <w:b/>
          <w:sz w:val="22"/>
        </w:rPr>
        <w:t>Abstract</w:t>
      </w:r>
    </w:p>
    <w:p w14:paraId="2060CF48" w14:textId="7221FBEF" w:rsidR="003C4035" w:rsidRDefault="0005071D" w:rsidP="007452B9">
      <w:pPr>
        <w:spacing w:after="4330"/>
        <w:ind w:left="585" w:right="585" w:firstLine="327"/>
      </w:pPr>
      <w:r>
        <w:rPr>
          <w:sz w:val="22"/>
        </w:rPr>
        <w:t>Healthcare data, encompassing a wide range of modalities such as electronic health records (EHRs), medical images, and textual prescriptions, is a goldmine for research and clinical advancements. However, it is inherently sensitive and contains highly pers</w:t>
      </w:r>
      <w:r>
        <w:rPr>
          <w:sz w:val="22"/>
        </w:rPr>
        <w:t>onal information. Legal frameworks like the Health Insurance Portability and Accountability Act (HIPAA) in the USA and the General Data Protection Regulation (GDPR) in the EU mandate stringent de-identification and anonymization before such data can be sha</w:t>
      </w:r>
      <w:r>
        <w:rPr>
          <w:sz w:val="22"/>
        </w:rPr>
        <w:t xml:space="preserve">red or utilized. In this paper, we propose a rigorous, multi-modal anonymization framework that integrates classical statistical models with modern cryptographic and probabilistic techniques. Our approach combines established methods like </w:t>
      </w:r>
      <w:r>
        <w:rPr>
          <w:i/>
          <w:sz w:val="22"/>
        </w:rPr>
        <w:t>k</w:t>
      </w:r>
      <w:r>
        <w:rPr>
          <w:sz w:val="22"/>
        </w:rPr>
        <w:t xml:space="preserve">-anonymity, </w:t>
      </w:r>
      <w:r>
        <w:rPr>
          <w:i/>
          <w:sz w:val="22"/>
        </w:rPr>
        <w:t>ℓ</w:t>
      </w:r>
      <w:r>
        <w:rPr>
          <w:sz w:val="22"/>
        </w:rPr>
        <w:t>-di</w:t>
      </w:r>
      <w:r>
        <w:rPr>
          <w:sz w:val="22"/>
        </w:rPr>
        <w:t>versity, and slicing for structured data with differential privacy (DP) for a provable, worst-case privacy guarantee across all data types. We extend these principles to handle complex, multi-modal data including structured EHRs, medical images (e.g., X-ra</w:t>
      </w:r>
      <w:r>
        <w:rPr>
          <w:sz w:val="22"/>
        </w:rPr>
        <w:t xml:space="preserve">ys), and free-text clinical notes or prescriptions. The framework is designed to formally quantify the inherent </w:t>
      </w:r>
      <w:proofErr w:type="spellStart"/>
      <w:r>
        <w:rPr>
          <w:sz w:val="22"/>
        </w:rPr>
        <w:t>privacyutility</w:t>
      </w:r>
      <w:proofErr w:type="spellEnd"/>
      <w:r>
        <w:rPr>
          <w:sz w:val="22"/>
        </w:rPr>
        <w:t xml:space="preserve"> trade-off. We provide mathematical definitions of key privacy models and a formal analysis of compliance with HIPAA and GDPR. Fur</w:t>
      </w:r>
      <w:r>
        <w:rPr>
          <w:sz w:val="22"/>
        </w:rPr>
        <w:t>thermore, we present an empirical trade-off quantification using a suite of utility metrics tailored to each data type, including the F1-score for classification tasks, and structural similarity (SSIM) and peak signal-to-noise ratio (PSNR) for image fideli</w:t>
      </w:r>
      <w:r>
        <w:rPr>
          <w:sz w:val="22"/>
        </w:rPr>
        <w:t>ty. Our contributions include (1) a comprehensive set of mathematical definitions for privacy models, (2) their extension to multi-modal data, (3) a formal compliance analysis, and (4) empirical validation of the privacy-utility frontier.</w:t>
      </w:r>
    </w:p>
    <w:p w14:paraId="3CFCCB02" w14:textId="77777777" w:rsidR="003C4035" w:rsidRDefault="0005071D">
      <w:pPr>
        <w:pStyle w:val="Heading1"/>
        <w:ind w:left="566" w:hanging="581"/>
      </w:pPr>
      <w:bookmarkStart w:id="0" w:name="_Toc16935"/>
      <w:r>
        <w:lastRenderedPageBreak/>
        <w:t>I</w:t>
      </w:r>
      <w:r>
        <w:t>ntroduction</w:t>
      </w:r>
      <w:bookmarkEnd w:id="0"/>
    </w:p>
    <w:p w14:paraId="4904DB00" w14:textId="77777777" w:rsidR="003C4035" w:rsidRDefault="0005071D">
      <w:pPr>
        <w:spacing w:after="0"/>
        <w:ind w:left="-5"/>
      </w:pPr>
      <w:r>
        <w:t>The digitalization of healthcare has led to an explosion of data, which holds immense potential to revolutionize medic</w:t>
      </w:r>
      <w:r>
        <w:t>al research, public health policy, and personalized medicine. Electronic Health Records (EHRs), high-resolution medical images, and free-text clinical notes collectively form a rich, multi-modal tapestry of patient information. Yet, this wealth of data com</w:t>
      </w:r>
      <w:r>
        <w:t xml:space="preserve">es with a profound responsibility: safeguarding patient privacy. The collection, storage, and sharing of this data are governed by strict legal and ethical guidelines, most notably HIPAA in the United States and GDPR in Europe. These regulations stipulate </w:t>
      </w:r>
      <w:r>
        <w:t>that patient data must be de-identified or fully anonymized to mitigate the risk of re-identification before it can be used for secondary purposes like research or model training.</w:t>
      </w:r>
    </w:p>
    <w:p w14:paraId="5A526F95" w14:textId="77777777" w:rsidR="003C4035" w:rsidRDefault="0005071D">
      <w:pPr>
        <w:spacing w:after="0"/>
        <w:ind w:left="-15" w:firstLine="351"/>
      </w:pPr>
      <w:r>
        <w:t xml:space="preserve">HIPAA’s Safe </w:t>
      </w:r>
      <w:proofErr w:type="spellStart"/>
      <w:r>
        <w:t>Harbor</w:t>
      </w:r>
      <w:proofErr w:type="spellEnd"/>
      <w:r>
        <w:t xml:space="preserve"> provision, for instance, requires the removal of 18 spec</w:t>
      </w:r>
      <w:r>
        <w:t>ific types of personal health information (PHI), from names and social security numbers to full dates and photographic images. While comprehensive, this checklist-based approach can still be vulnerable to sophisticated linkage attacks where an adversary co</w:t>
      </w:r>
      <w:r>
        <w:t xml:space="preserve">mbines </w:t>
      </w:r>
      <w:proofErr w:type="spellStart"/>
      <w:r>
        <w:t>quasiidentifiers</w:t>
      </w:r>
      <w:proofErr w:type="spellEnd"/>
      <w:r>
        <w:t xml:space="preserve"> (QIs) from the de-identified dataset with external information to re-identify individuals. GDPR, on the other hand, defines personal data more broadly and sets a higher bar for anonymization, requiring it to be truly irreversible. T</w:t>
      </w:r>
      <w:r>
        <w:t>his distinction highlights a critical need for a more rigorous, mathematically grounded approach to data anonymization that goes beyond simple removal of identifiers.</w:t>
      </w:r>
    </w:p>
    <w:p w14:paraId="278F8624" w14:textId="77777777" w:rsidR="003C4035" w:rsidRDefault="0005071D">
      <w:pPr>
        <w:spacing w:after="0"/>
        <w:ind w:left="-15" w:firstLine="351"/>
      </w:pPr>
      <w:r>
        <w:t>The challenge is further compounded by the multi-modal nature of healthcare data. Anonymi</w:t>
      </w:r>
      <w:r>
        <w:t xml:space="preserve">zing a structured EHR table requires different techniques than anonymizing a chest X-ray or a doctor’s handwritten note. Traditional privacy models like </w:t>
      </w:r>
      <w:r>
        <w:rPr>
          <w:i/>
        </w:rPr>
        <w:t>k</w:t>
      </w:r>
      <w:r>
        <w:t>-anonymity were designed primarily for tabular data and may not be directly applicable to images or te</w:t>
      </w:r>
      <w:r>
        <w:t>xt. Similarly, while modern techniques like differential privacy offer strong, provable guarantees, their application and effect on data utility vary significantly across modalities.</w:t>
      </w:r>
    </w:p>
    <w:p w14:paraId="4819D2D8" w14:textId="77777777" w:rsidR="003C4035" w:rsidRDefault="0005071D">
      <w:pPr>
        <w:ind w:left="-15" w:firstLine="351"/>
      </w:pPr>
      <w:r>
        <w:t>In this paper, we present a unified framework for privacy-preserving anon</w:t>
      </w:r>
      <w:r>
        <w:t xml:space="preserve">ymization of multi-modal medical data. Our approach is not a single algorithm but an integrated methodology that strategically combines the strengths of various privacy models. For structured EHRs, we rely on a layered approach of </w:t>
      </w:r>
      <w:r>
        <w:rPr>
          <w:i/>
        </w:rPr>
        <w:t>k</w:t>
      </w:r>
      <w:r>
        <w:t xml:space="preserve">-anonymity and </w:t>
      </w:r>
      <w:r>
        <w:rPr>
          <w:i/>
        </w:rPr>
        <w:t>ℓ</w:t>
      </w:r>
      <w:r>
        <w:t>-diversi</w:t>
      </w:r>
      <w:r>
        <w:t>ty. To address multi-attribute correlation attacks, we introduce vertical slicing. For all modalities, including images and text, we integrate differential privacy to provide a quantifiable, worst-case privacy guarantee. This multi-layered strategy is esse</w:t>
      </w:r>
      <w:r>
        <w:t>ntial to address the diverse range of threats and data types. Our key contributions are:</w:t>
      </w:r>
    </w:p>
    <w:p w14:paraId="21BA720D" w14:textId="77777777" w:rsidR="003C4035" w:rsidRDefault="0005071D">
      <w:pPr>
        <w:numPr>
          <w:ilvl w:val="0"/>
          <w:numId w:val="1"/>
        </w:numPr>
        <w:ind w:hanging="299"/>
      </w:pPr>
      <w:r>
        <w:t>A formal, mathematical definition of classical privacy models (</w:t>
      </w:r>
      <w:r>
        <w:rPr>
          <w:i/>
        </w:rPr>
        <w:t>k</w:t>
      </w:r>
      <w:r>
        <w:t xml:space="preserve">-anonymity, </w:t>
      </w:r>
      <w:r>
        <w:rPr>
          <w:i/>
        </w:rPr>
        <w:t>ℓ</w:t>
      </w:r>
      <w:r>
        <w:t>diversity) and modern models (</w:t>
      </w:r>
      <w:r>
        <w:rPr>
          <w:i/>
        </w:rPr>
        <w:t>ε</w:t>
      </w:r>
      <w:r>
        <w:t>-DP) within a unified notation.</w:t>
      </w:r>
    </w:p>
    <w:p w14:paraId="08B61E70" w14:textId="77777777" w:rsidR="003C4035" w:rsidRDefault="0005071D">
      <w:pPr>
        <w:numPr>
          <w:ilvl w:val="0"/>
          <w:numId w:val="1"/>
        </w:numPr>
        <w:ind w:hanging="299"/>
      </w:pPr>
      <w:r>
        <w:t>A systematic extension of these privacy models to multi-modal healthcare data, including structured EHRs, medical images, and textual data.</w:t>
      </w:r>
    </w:p>
    <w:p w14:paraId="4DBA6DA0" w14:textId="77777777" w:rsidR="003C4035" w:rsidRDefault="0005071D">
      <w:pPr>
        <w:numPr>
          <w:ilvl w:val="0"/>
          <w:numId w:val="1"/>
        </w:numPr>
        <w:ind w:hanging="299"/>
      </w:pPr>
      <w:r>
        <w:t>A formal analysis of how our integrated framework achieves compliance with both HIPA</w:t>
      </w:r>
      <w:r>
        <w:t xml:space="preserve">A’s Safe </w:t>
      </w:r>
      <w:proofErr w:type="spellStart"/>
      <w:r>
        <w:t>Harbor</w:t>
      </w:r>
      <w:proofErr w:type="spellEnd"/>
      <w:r>
        <w:t xml:space="preserve"> and the stricter standards of GDPR.</w:t>
      </w:r>
    </w:p>
    <w:p w14:paraId="040C8326" w14:textId="77777777" w:rsidR="003C4035" w:rsidRDefault="0005071D">
      <w:pPr>
        <w:numPr>
          <w:ilvl w:val="0"/>
          <w:numId w:val="1"/>
        </w:numPr>
        <w:ind w:hanging="299"/>
      </w:pPr>
      <w:r>
        <w:t>An empirical quantification of the privacy-utility trade-off using task-specific metrics such as F1-score for classification and SSIM/PSNR for image fidelity.</w:t>
      </w:r>
    </w:p>
    <w:p w14:paraId="6F0FEB1F" w14:textId="77777777" w:rsidR="003C4035" w:rsidRDefault="0005071D">
      <w:pPr>
        <w:spacing w:after="0"/>
        <w:ind w:left="-5"/>
      </w:pPr>
      <w:r>
        <w:lastRenderedPageBreak/>
        <w:t>This paper serves as a blueprint for a robust</w:t>
      </w:r>
      <w:r>
        <w:t>, defensible approach to anonymizing sensitive healthcare data, ensuring that its utility for research and innovation is preserved while patient privacy is uncompromised.</w:t>
      </w:r>
      <w:r>
        <w:br w:type="page"/>
      </w:r>
    </w:p>
    <w:p w14:paraId="50BBE571" w14:textId="77777777" w:rsidR="003C4035" w:rsidRDefault="0005071D">
      <w:pPr>
        <w:pStyle w:val="Heading1"/>
        <w:ind w:left="566" w:hanging="581"/>
      </w:pPr>
      <w:bookmarkStart w:id="1" w:name="_Toc16936"/>
      <w:r>
        <w:lastRenderedPageBreak/>
        <w:t>Literature Review</w:t>
      </w:r>
      <w:bookmarkEnd w:id="1"/>
    </w:p>
    <w:p w14:paraId="535E1084" w14:textId="77777777" w:rsidR="003C4035" w:rsidRDefault="0005071D">
      <w:pPr>
        <w:spacing w:after="427"/>
        <w:ind w:left="-5"/>
      </w:pPr>
      <w:r>
        <w:t>The field of privacy-preserving data publishing has evolved signif</w:t>
      </w:r>
      <w:r>
        <w:t>icantly, moving from heuristic-based de-identification to mathematically provable guarantees. This section provides a comprehensive overview of the foundational and modern privacy models, as well as the metrics used to evaluate the trade-off between privac</w:t>
      </w:r>
      <w:r>
        <w:t>y and data utility.</w:t>
      </w:r>
    </w:p>
    <w:p w14:paraId="5AAC8A71" w14:textId="77777777" w:rsidR="003C4035" w:rsidRDefault="0005071D">
      <w:pPr>
        <w:pStyle w:val="Heading2"/>
        <w:ind w:left="720" w:hanging="735"/>
      </w:pPr>
      <w:bookmarkStart w:id="2" w:name="_Toc16937"/>
      <w:r>
        <w:t>Classical Anonymization Models</w:t>
      </w:r>
      <w:bookmarkEnd w:id="2"/>
    </w:p>
    <w:p w14:paraId="2847FFDF" w14:textId="77777777" w:rsidR="003C4035" w:rsidRDefault="0005071D">
      <w:pPr>
        <w:spacing w:after="17"/>
        <w:ind w:left="-5"/>
      </w:pPr>
      <w:r>
        <w:t xml:space="preserve">Early work in data privacy focused on statistical disclosure control and deterministic anonymization models. The most influential of these is </w:t>
      </w:r>
      <w:r>
        <w:rPr>
          <w:i/>
        </w:rPr>
        <w:t>k</w:t>
      </w:r>
      <w:r>
        <w:t xml:space="preserve">-anonymity, introduced by </w:t>
      </w:r>
      <w:proofErr w:type="spellStart"/>
      <w:r>
        <w:t>Samarati</w:t>
      </w:r>
      <w:proofErr w:type="spellEnd"/>
      <w:r>
        <w:t xml:space="preserve"> and Sweeney [1]. </w:t>
      </w:r>
      <w:r>
        <w:rPr>
          <w:b/>
        </w:rPr>
        <w:t>Definition</w:t>
      </w:r>
      <w:r>
        <w:rPr>
          <w:b/>
        </w:rPr>
        <w:t xml:space="preserve"> 1 (</w:t>
      </w:r>
      <w:r>
        <w:rPr>
          <w:i/>
        </w:rPr>
        <w:t>k</w:t>
      </w:r>
      <w:r>
        <w:rPr>
          <w:b/>
        </w:rPr>
        <w:t xml:space="preserve">-Anonymity): </w:t>
      </w:r>
      <w:r>
        <w:t xml:space="preserve">A table </w:t>
      </w:r>
      <w:r>
        <w:rPr>
          <w:i/>
        </w:rPr>
        <w:t xml:space="preserve">T </w:t>
      </w:r>
      <w:r>
        <w:t xml:space="preserve">with a set of quasi-identifiers </w:t>
      </w:r>
      <w:r>
        <w:rPr>
          <w:i/>
        </w:rPr>
        <w:t>QI</w:t>
      </w:r>
      <w:r>
        <w:t>(</w:t>
      </w:r>
      <w:r>
        <w:rPr>
          <w:i/>
        </w:rPr>
        <w:t>T</w:t>
      </w:r>
      <w:r>
        <w:t xml:space="preserve">) is said to satisfy </w:t>
      </w:r>
      <w:r>
        <w:rPr>
          <w:i/>
        </w:rPr>
        <w:t>k</w:t>
      </w:r>
      <w:r>
        <w:t xml:space="preserve">-anonymity if for every combination of QI </w:t>
      </w:r>
      <w:proofErr w:type="gramStart"/>
      <w:r>
        <w:t>values</w:t>
      </w:r>
      <w:proofErr w:type="gramEnd"/>
      <w:r>
        <w:t xml:space="preserve">, there are at least </w:t>
      </w:r>
      <w:r>
        <w:rPr>
          <w:i/>
        </w:rPr>
        <w:t xml:space="preserve">k </w:t>
      </w:r>
      <w:r>
        <w:t xml:space="preserve">records that share those same values. Formally, if </w:t>
      </w:r>
      <w:r>
        <w:rPr>
          <w:i/>
        </w:rPr>
        <w:t>D</w:t>
      </w:r>
      <w:r>
        <w:rPr>
          <w:vertAlign w:val="superscript"/>
        </w:rPr>
        <w:t>∗</w:t>
      </w:r>
      <w:r>
        <w:rPr>
          <w:vertAlign w:val="superscript"/>
        </w:rPr>
        <w:t xml:space="preserve"> </w:t>
      </w:r>
      <w:r>
        <w:t xml:space="preserve">is a released dataset, for every tuple </w:t>
      </w:r>
      <w:r>
        <w:rPr>
          <w:i/>
        </w:rPr>
        <w:t xml:space="preserve">t </w:t>
      </w:r>
      <w:r>
        <w:t xml:space="preserve">∈ </w:t>
      </w:r>
      <w:r>
        <w:rPr>
          <w:i/>
        </w:rPr>
        <w:t>π</w:t>
      </w:r>
      <w:r>
        <w:rPr>
          <w:i/>
          <w:vertAlign w:val="subscript"/>
        </w:rPr>
        <w:t>Q</w:t>
      </w:r>
      <w:r>
        <w:rPr>
          <w:i/>
          <w:vertAlign w:val="subscript"/>
        </w:rPr>
        <w:t>I</w:t>
      </w:r>
      <w:r>
        <w:t>(</w:t>
      </w:r>
      <w:r>
        <w:rPr>
          <w:i/>
        </w:rPr>
        <w:t>D</w:t>
      </w:r>
      <w:r>
        <w:rPr>
          <w:vertAlign w:val="superscript"/>
        </w:rPr>
        <w:t>∗</w:t>
      </w:r>
      <w:r>
        <w:t xml:space="preserve">), </w:t>
      </w:r>
      <w:proofErr w:type="gramStart"/>
      <w:r>
        <w:t>|{</w:t>
      </w:r>
      <w:proofErr w:type="gramEnd"/>
      <w:r>
        <w:rPr>
          <w:i/>
        </w:rPr>
        <w:t xml:space="preserve">x </w:t>
      </w:r>
      <w:r>
        <w:t xml:space="preserve">∈ </w:t>
      </w:r>
      <w:r>
        <w:rPr>
          <w:i/>
        </w:rPr>
        <w:t>D</w:t>
      </w:r>
      <w:r>
        <w:rPr>
          <w:vertAlign w:val="superscript"/>
        </w:rPr>
        <w:t>∗</w:t>
      </w:r>
      <w:r>
        <w:rPr>
          <w:vertAlign w:val="superscript"/>
        </w:rPr>
        <w:t xml:space="preserve"> </w:t>
      </w:r>
      <w:r>
        <w:t xml:space="preserve">: </w:t>
      </w:r>
      <w:r>
        <w:rPr>
          <w:i/>
        </w:rPr>
        <w:t>π</w:t>
      </w:r>
      <w:r>
        <w:rPr>
          <w:i/>
          <w:vertAlign w:val="subscript"/>
        </w:rPr>
        <w:t>QI</w:t>
      </w:r>
      <w:r>
        <w:t>(</w:t>
      </w:r>
      <w:r>
        <w:rPr>
          <w:i/>
        </w:rPr>
        <w:t>x</w:t>
      </w:r>
      <w:r>
        <w:t xml:space="preserve">) = </w:t>
      </w:r>
      <w:r>
        <w:rPr>
          <w:i/>
        </w:rPr>
        <w:t>t</w:t>
      </w:r>
      <w:r>
        <w:t xml:space="preserve">}| ≥ </w:t>
      </w:r>
      <w:r>
        <w:rPr>
          <w:i/>
        </w:rPr>
        <w:t>k</w:t>
      </w:r>
      <w:r>
        <w:t xml:space="preserve">. In practice, </w:t>
      </w:r>
      <w:r>
        <w:rPr>
          <w:i/>
        </w:rPr>
        <w:t>k</w:t>
      </w:r>
      <w:r>
        <w:t xml:space="preserve">-anonymity is achieved by either </w:t>
      </w:r>
      <w:r>
        <w:rPr>
          <w:i/>
        </w:rPr>
        <w:t xml:space="preserve">generalization </w:t>
      </w:r>
      <w:r>
        <w:t xml:space="preserve">(e.g., replacing a specific ZIP code with a broader regional code) or </w:t>
      </w:r>
      <w:r>
        <w:rPr>
          <w:i/>
        </w:rPr>
        <w:t xml:space="preserve">suppression </w:t>
      </w:r>
      <w:r>
        <w:t xml:space="preserve">(e.g., removing a rare value entirely). While </w:t>
      </w:r>
      <w:proofErr w:type="spellStart"/>
      <w:r>
        <w:rPr>
          <w:i/>
        </w:rPr>
        <w:t>k</w:t>
      </w:r>
      <w:r>
        <w:t>anonymity</w:t>
      </w:r>
      <w:proofErr w:type="spellEnd"/>
      <w:r>
        <w:t xml:space="preserve"> successfully preven</w:t>
      </w:r>
      <w:r>
        <w:t xml:space="preserve">ts identity disclosure, it is susceptible to two main attacks: the </w:t>
      </w:r>
      <w:r>
        <w:rPr>
          <w:i/>
        </w:rPr>
        <w:t xml:space="preserve">homogeneity attack </w:t>
      </w:r>
      <w:r>
        <w:t xml:space="preserve">and the </w:t>
      </w:r>
      <w:r>
        <w:rPr>
          <w:i/>
        </w:rPr>
        <w:t>background knowledge attack</w:t>
      </w:r>
      <w:r>
        <w:t>. The homogeneity attack occurs when all records in an equivalence class share the same sensitive value, allowing an adversary to infer</w:t>
      </w:r>
      <w:r>
        <w:t xml:space="preserve"> that value. The background knowledge attack occurs when an adversary, using external information, can narrow down the sensitive value to a small subset.</w:t>
      </w:r>
    </w:p>
    <w:p w14:paraId="6D2FDA49" w14:textId="77777777" w:rsidR="003C4035" w:rsidRDefault="0005071D">
      <w:pPr>
        <w:spacing w:after="17"/>
        <w:ind w:left="-15" w:firstLine="351"/>
      </w:pPr>
      <w:r>
        <w:t xml:space="preserve">To address these limitations, several stronger models were proposed. </w:t>
      </w:r>
      <w:r>
        <w:rPr>
          <w:b/>
        </w:rPr>
        <w:t>Definition 2 (</w:t>
      </w:r>
      <w:r>
        <w:rPr>
          <w:i/>
        </w:rPr>
        <w:t>ℓ</w:t>
      </w:r>
      <w:r>
        <w:rPr>
          <w:b/>
        </w:rPr>
        <w:t xml:space="preserve">-Diversity): </w:t>
      </w:r>
      <w:r>
        <w:t xml:space="preserve">An equivalence class </w:t>
      </w:r>
      <w:r>
        <w:rPr>
          <w:i/>
        </w:rPr>
        <w:t xml:space="preserve">C </w:t>
      </w:r>
      <w:r>
        <w:t xml:space="preserve">in a </w:t>
      </w:r>
      <w:r>
        <w:rPr>
          <w:i/>
        </w:rPr>
        <w:t>k</w:t>
      </w:r>
      <w:r>
        <w:t xml:space="preserve">-anonymized table is </w:t>
      </w:r>
      <w:r>
        <w:rPr>
          <w:i/>
        </w:rPr>
        <w:t>ℓ</w:t>
      </w:r>
      <w:r>
        <w:t xml:space="preserve">-diverse if its sensitive attribute values are “well-represented,” typically requiring at least </w:t>
      </w:r>
      <w:r>
        <w:rPr>
          <w:i/>
        </w:rPr>
        <w:t xml:space="preserve">ℓ </w:t>
      </w:r>
      <w:r>
        <w:t xml:space="preserve">distinct sensitive values in the class. A dataset is </w:t>
      </w:r>
      <w:r>
        <w:rPr>
          <w:i/>
        </w:rPr>
        <w:t>ℓ</w:t>
      </w:r>
      <w:r>
        <w:t xml:space="preserve">-diverse if all its equivalence classes </w:t>
      </w:r>
      <w:r>
        <w:t xml:space="preserve">are. Formally, for a given sensitive attribute </w:t>
      </w:r>
      <w:r>
        <w:rPr>
          <w:i/>
        </w:rPr>
        <w:t>S</w:t>
      </w:r>
      <w:r>
        <w:t xml:space="preserve">, let </w:t>
      </w:r>
      <w:r>
        <w:rPr>
          <w:i/>
        </w:rPr>
        <w:t>S</w:t>
      </w:r>
      <w:r>
        <w:t>(</w:t>
      </w:r>
      <w:r>
        <w:rPr>
          <w:i/>
        </w:rPr>
        <w:t>C</w:t>
      </w:r>
      <w:r>
        <w:t xml:space="preserve">) be the multiset of values for </w:t>
      </w:r>
      <w:r>
        <w:rPr>
          <w:i/>
        </w:rPr>
        <w:t xml:space="preserve">S </w:t>
      </w:r>
      <w:r>
        <w:t xml:space="preserve">in equivalence class </w:t>
      </w:r>
      <w:r>
        <w:rPr>
          <w:i/>
        </w:rPr>
        <w:t>C</w:t>
      </w:r>
      <w:r>
        <w:t xml:space="preserve">. Then </w:t>
      </w:r>
      <w:r>
        <w:rPr>
          <w:i/>
        </w:rPr>
        <w:t xml:space="preserve">C </w:t>
      </w:r>
      <w:r>
        <w:t xml:space="preserve">is </w:t>
      </w:r>
      <w:r>
        <w:rPr>
          <w:i/>
        </w:rPr>
        <w:t>ℓ</w:t>
      </w:r>
      <w:r>
        <w:t xml:space="preserve">-diverse if </w:t>
      </w:r>
      <w:r>
        <w:t>|</w:t>
      </w:r>
      <w:r>
        <w:t>distinct(</w:t>
      </w:r>
      <w:r>
        <w:rPr>
          <w:i/>
        </w:rPr>
        <w:t>S</w:t>
      </w:r>
      <w:r>
        <w:t>(</w:t>
      </w:r>
      <w:r>
        <w:rPr>
          <w:i/>
        </w:rPr>
        <w:t>C</w:t>
      </w:r>
      <w:proofErr w:type="gramStart"/>
      <w:r>
        <w:t>))</w:t>
      </w:r>
      <w:r>
        <w:t>|</w:t>
      </w:r>
      <w:proofErr w:type="gramEnd"/>
      <w:r>
        <w:t xml:space="preserve"> ≥ </w:t>
      </w:r>
      <w:r>
        <w:rPr>
          <w:i/>
        </w:rPr>
        <w:t>ℓ</w:t>
      </w:r>
      <w:r>
        <w:t>. This model protects against the homogeneity attack by ensuring that sensitive values are not uni</w:t>
      </w:r>
      <w:r>
        <w:t xml:space="preserve">form within any equivalence class. However, </w:t>
      </w:r>
      <w:r>
        <w:rPr>
          <w:i/>
        </w:rPr>
        <w:t>ℓ</w:t>
      </w:r>
      <w:r>
        <w:t>-diversity is not perfect. It can fail if the distinct sensitive values are semantically similar or if their distribution is heavily skewed.</w:t>
      </w:r>
    </w:p>
    <w:p w14:paraId="5FD61F46" w14:textId="77777777" w:rsidR="003C4035" w:rsidRDefault="0005071D">
      <w:pPr>
        <w:spacing w:after="427"/>
        <w:ind w:left="-15" w:firstLine="351"/>
      </w:pPr>
      <w:r>
        <w:t xml:space="preserve">This led to the development of even stricter models, such as </w:t>
      </w:r>
      <w:r>
        <w:rPr>
          <w:i/>
        </w:rPr>
        <w:t>t</w:t>
      </w:r>
      <w:r>
        <w:t>-closene</w:t>
      </w:r>
      <w:r>
        <w:t xml:space="preserve">ss, which demands that the distribution of a sensitive attribute within each equivalence class is statistically close to its global distribution. Other specialized models include </w:t>
      </w:r>
      <w:r>
        <w:rPr>
          <w:i/>
        </w:rPr>
        <w:t>δ</w:t>
      </w:r>
      <w:r>
        <w:t xml:space="preserve">-presence (for protecting against linkage attacks on rare values) and </w:t>
      </w:r>
      <w:r>
        <w:rPr>
          <w:i/>
        </w:rPr>
        <w:t>k</w:t>
      </w:r>
      <w:r>
        <w:rPr>
          <w:i/>
          <w:vertAlign w:val="superscript"/>
        </w:rPr>
        <w:t>m</w:t>
      </w:r>
      <w:r>
        <w:t>-ano</w:t>
      </w:r>
      <w:r>
        <w:t xml:space="preserve">nymity (for protecting </w:t>
      </w:r>
      <w:proofErr w:type="spellStart"/>
      <w:r>
        <w:t>setvalued</w:t>
      </w:r>
      <w:proofErr w:type="spellEnd"/>
      <w:r>
        <w:t xml:space="preserve"> data like medication lists). A more recent technique, slicing, vertically partitions attributes into “slices” to break the association between quasi-identifiers and sensitive attributes, thereby thwarting cross-attribute co</w:t>
      </w:r>
      <w:r>
        <w:t>rrelation attacks without excessive generalization. The effectiveness of these models is often summarized in surveys [2].</w:t>
      </w:r>
    </w:p>
    <w:p w14:paraId="347AAAE7" w14:textId="77777777" w:rsidR="003C4035" w:rsidRDefault="0005071D">
      <w:pPr>
        <w:pStyle w:val="Heading2"/>
        <w:ind w:left="720" w:hanging="735"/>
      </w:pPr>
      <w:bookmarkStart w:id="3" w:name="_Toc16938"/>
      <w:r>
        <w:t>Differential Privacy (DP)</w:t>
      </w:r>
      <w:bookmarkEnd w:id="3"/>
    </w:p>
    <w:p w14:paraId="60FB3E07" w14:textId="77777777" w:rsidR="003C4035" w:rsidRDefault="0005071D">
      <w:pPr>
        <w:spacing w:after="49"/>
        <w:ind w:left="-5"/>
      </w:pPr>
      <w:r>
        <w:t>Differential privacy represents a paradigm shift from deterministic to stochastic privacy models. Instead of</w:t>
      </w:r>
      <w:r>
        <w:t xml:space="preserve"> guaranteeing that released data is indistinguishable from other data, DP guarantees that the </w:t>
      </w:r>
      <w:r>
        <w:rPr>
          <w:i/>
        </w:rPr>
        <w:t xml:space="preserve">output of an algorithm </w:t>
      </w:r>
      <w:r>
        <w:t xml:space="preserve">is nearly identical whether a single individual’s data is included or not. </w:t>
      </w:r>
      <w:r>
        <w:rPr>
          <w:b/>
        </w:rPr>
        <w:t>Definition 3 (</w:t>
      </w:r>
      <w:r>
        <w:rPr>
          <w:i/>
        </w:rPr>
        <w:t>ε</w:t>
      </w:r>
      <w:r>
        <w:rPr>
          <w:b/>
        </w:rPr>
        <w:t xml:space="preserve">-Differential Privacy): </w:t>
      </w:r>
      <w:r>
        <w:t xml:space="preserve">A randomized </w:t>
      </w:r>
      <w:r>
        <w:lastRenderedPageBreak/>
        <w:t xml:space="preserve">mechanism </w:t>
      </w:r>
      <w:r>
        <w:t xml:space="preserve">M </w:t>
      </w:r>
      <w:r>
        <w:t xml:space="preserve">is </w:t>
      </w:r>
      <w:r>
        <w:rPr>
          <w:i/>
        </w:rPr>
        <w:t>ε</w:t>
      </w:r>
      <w:r>
        <w:t xml:space="preserve">-differentially private if for all adjacent datasets </w:t>
      </w:r>
      <w:proofErr w:type="gramStart"/>
      <w:r>
        <w:rPr>
          <w:i/>
        </w:rPr>
        <w:t>D,D</w:t>
      </w:r>
      <w:proofErr w:type="gramEnd"/>
      <w:r>
        <w:rPr>
          <w:vertAlign w:val="superscript"/>
        </w:rPr>
        <w:t xml:space="preserve">′ </w:t>
      </w:r>
      <w:r>
        <w:t xml:space="preserve">(that differ by one record) and for all measurable sets of outputs </w:t>
      </w:r>
      <w:r>
        <w:rPr>
          <w:i/>
        </w:rPr>
        <w:t xml:space="preserve">S </w:t>
      </w:r>
      <w:r>
        <w:t xml:space="preserve">⊆ </w:t>
      </w:r>
      <w:r>
        <w:t>Range(</w:t>
      </w:r>
      <w:r>
        <w:t>M</w:t>
      </w:r>
      <w:r>
        <w:t>), the following inequality holds:</w:t>
      </w:r>
    </w:p>
    <w:p w14:paraId="218771C7" w14:textId="77777777" w:rsidR="003C4035" w:rsidRDefault="0005071D">
      <w:pPr>
        <w:spacing w:after="140" w:line="259" w:lineRule="auto"/>
        <w:ind w:left="1091" w:right="1081"/>
        <w:jc w:val="center"/>
      </w:pPr>
      <w:proofErr w:type="spellStart"/>
      <w:r>
        <w:t>Pr</w:t>
      </w:r>
      <w:proofErr w:type="spellEnd"/>
      <w:r>
        <w:t>[</w:t>
      </w:r>
      <w:r>
        <w:t>M</w:t>
      </w:r>
      <w:r>
        <w:t>(</w:t>
      </w:r>
      <w:r>
        <w:rPr>
          <w:i/>
        </w:rPr>
        <w:t>D</w:t>
      </w:r>
      <w:r>
        <w:t xml:space="preserve">) </w:t>
      </w:r>
      <w:r>
        <w:t xml:space="preserve">∈ </w:t>
      </w:r>
      <w:r>
        <w:rPr>
          <w:i/>
        </w:rPr>
        <w:t>S</w:t>
      </w:r>
      <w:r>
        <w:t xml:space="preserve">] </w:t>
      </w:r>
      <w:r>
        <w:t xml:space="preserve">≤ </w:t>
      </w:r>
      <w:proofErr w:type="spellStart"/>
      <w:r>
        <w:rPr>
          <w:i/>
        </w:rPr>
        <w:t>e</w:t>
      </w:r>
      <w:r>
        <w:rPr>
          <w:i/>
          <w:vertAlign w:val="superscript"/>
        </w:rPr>
        <w:t>ε</w:t>
      </w:r>
      <w:proofErr w:type="spellEnd"/>
      <w:r>
        <w:rPr>
          <w:i/>
          <w:vertAlign w:val="superscript"/>
        </w:rPr>
        <w:t xml:space="preserve"> </w:t>
      </w:r>
      <w:proofErr w:type="spellStart"/>
      <w:r>
        <w:t>Pr</w:t>
      </w:r>
      <w:proofErr w:type="spellEnd"/>
      <w:r>
        <w:t>[</w:t>
      </w:r>
      <w:r>
        <w:t>M</w:t>
      </w:r>
      <w:r>
        <w:t>(</w:t>
      </w:r>
      <w:r>
        <w:rPr>
          <w:i/>
        </w:rPr>
        <w:t>D</w:t>
      </w:r>
      <w:r>
        <w:rPr>
          <w:vertAlign w:val="superscript"/>
        </w:rPr>
        <w:t>′</w:t>
      </w:r>
      <w:r>
        <w:t xml:space="preserve">) </w:t>
      </w:r>
      <w:r>
        <w:t xml:space="preserve">∈ </w:t>
      </w:r>
      <w:r>
        <w:rPr>
          <w:i/>
        </w:rPr>
        <w:t>S</w:t>
      </w:r>
      <w:r>
        <w:t>]</w:t>
      </w:r>
      <w:r>
        <w:rPr>
          <w:i/>
        </w:rPr>
        <w:t>.</w:t>
      </w:r>
    </w:p>
    <w:p w14:paraId="6424B3F6" w14:textId="77777777" w:rsidR="003C4035" w:rsidRDefault="0005071D">
      <w:pPr>
        <w:spacing w:after="25"/>
        <w:ind w:left="-5"/>
      </w:pPr>
      <w:r>
        <w:t xml:space="preserve">This formal definition provides a powerful, worst-case privacy guarantee. The parameter </w:t>
      </w:r>
      <w:r>
        <w:rPr>
          <w:i/>
        </w:rPr>
        <w:t xml:space="preserve">ε &gt; </w:t>
      </w:r>
      <w:r>
        <w:t xml:space="preserve">0 is the privacy budget; a smaller </w:t>
      </w:r>
      <w:r>
        <w:rPr>
          <w:i/>
        </w:rPr>
        <w:t xml:space="preserve">ε </w:t>
      </w:r>
      <w:r>
        <w:t xml:space="preserve">implies a stronger privacy guarantee (more noise), while a larger </w:t>
      </w:r>
      <w:r>
        <w:rPr>
          <w:i/>
        </w:rPr>
        <w:t xml:space="preserve">ε </w:t>
      </w:r>
      <w:r>
        <w:t>implies weaker privacy. This model is often extended to (</w:t>
      </w:r>
      <w:proofErr w:type="spellStart"/>
      <w:proofErr w:type="gramStart"/>
      <w:r>
        <w:rPr>
          <w:i/>
        </w:rPr>
        <w:t>ε,</w:t>
      </w:r>
      <w:r>
        <w:rPr>
          <w:i/>
        </w:rPr>
        <w:t>δ</w:t>
      </w:r>
      <w:proofErr w:type="spellEnd"/>
      <w:proofErr w:type="gramEnd"/>
      <w:r>
        <w:t xml:space="preserve">)-DP, where a small probability </w:t>
      </w:r>
      <w:r>
        <w:rPr>
          <w:i/>
        </w:rPr>
        <w:t xml:space="preserve">δ </w:t>
      </w:r>
      <w:r>
        <w:t>of a privacy breach is tolerated.</w:t>
      </w:r>
    </w:p>
    <w:p w14:paraId="6F18C7F2" w14:textId="77777777" w:rsidR="003C4035" w:rsidRDefault="0005071D">
      <w:pPr>
        <w:spacing w:after="431"/>
        <w:ind w:left="-15" w:firstLine="351"/>
      </w:pPr>
      <w:r>
        <w:t xml:space="preserve">The core strength of DP lies in its provability and composability. The </w:t>
      </w:r>
      <w:r>
        <w:rPr>
          <w:i/>
        </w:rPr>
        <w:t xml:space="preserve">composition theorem </w:t>
      </w:r>
      <w:r>
        <w:t xml:space="preserve">states that if a series of DP mechanisms with budgets </w:t>
      </w:r>
      <w:r>
        <w:rPr>
          <w:i/>
        </w:rPr>
        <w:t>ε</w:t>
      </w:r>
      <w:proofErr w:type="gramStart"/>
      <w:r>
        <w:rPr>
          <w:vertAlign w:val="subscript"/>
        </w:rPr>
        <w:t>1</w:t>
      </w:r>
      <w:r>
        <w:rPr>
          <w:i/>
        </w:rPr>
        <w:t>,ε</w:t>
      </w:r>
      <w:proofErr w:type="gramEnd"/>
      <w:r>
        <w:rPr>
          <w:vertAlign w:val="subscript"/>
        </w:rPr>
        <w:t>2</w:t>
      </w:r>
      <w:r>
        <w:rPr>
          <w:i/>
        </w:rPr>
        <w:t>,...,</w:t>
      </w:r>
      <w:proofErr w:type="spellStart"/>
      <w:r>
        <w:rPr>
          <w:i/>
        </w:rPr>
        <w:t>ε</w:t>
      </w:r>
      <w:r>
        <w:rPr>
          <w:i/>
          <w:vertAlign w:val="subscript"/>
        </w:rPr>
        <w:t>m</w:t>
      </w:r>
      <w:proofErr w:type="spellEnd"/>
      <w:r>
        <w:rPr>
          <w:i/>
          <w:vertAlign w:val="subscript"/>
        </w:rPr>
        <w:t xml:space="preserve"> </w:t>
      </w:r>
      <w:r>
        <w:t>are applied to the same dataset, the total privacy loss is bounded by</w:t>
      </w:r>
      <w:r>
        <w:rPr>
          <w:noProof/>
        </w:rPr>
        <w:drawing>
          <wp:inline distT="0" distB="0" distL="0" distR="0" wp14:anchorId="39B8201B" wp14:editId="67B48C8A">
            <wp:extent cx="463296" cy="167640"/>
            <wp:effectExtent l="0" t="0" r="0" b="0"/>
            <wp:docPr id="16418" name="Picture 16418"/>
            <wp:cNvGraphicFramePr/>
            <a:graphic xmlns:a="http://schemas.openxmlformats.org/drawingml/2006/main">
              <a:graphicData uri="http://schemas.openxmlformats.org/drawingml/2006/picture">
                <pic:pic xmlns:pic="http://schemas.openxmlformats.org/drawingml/2006/picture">
                  <pic:nvPicPr>
                    <pic:cNvPr id="16418" name="Picture 16418"/>
                    <pic:cNvPicPr/>
                  </pic:nvPicPr>
                  <pic:blipFill>
                    <a:blip r:embed="rId7"/>
                    <a:stretch>
                      <a:fillRect/>
                    </a:stretch>
                  </pic:blipFill>
                  <pic:spPr>
                    <a:xfrm>
                      <a:off x="0" y="0"/>
                      <a:ext cx="463296" cy="167640"/>
                    </a:xfrm>
                    <a:prstGeom prst="rect">
                      <a:avLst/>
                    </a:prstGeom>
                  </pic:spPr>
                </pic:pic>
              </a:graphicData>
            </a:graphic>
          </wp:inline>
        </w:drawing>
      </w:r>
      <w:r>
        <w:t>. This allows for a precise accounting of privacy loss over a sequence of data releases or queries. DP is typically imp</w:t>
      </w:r>
      <w:r>
        <w:t>lemented by adding calibrated noise (e.g., Laplace or Gaussian) to the results of queries or to the updates in a machine learning model (e.g., DP-SGD).</w:t>
      </w:r>
    </w:p>
    <w:p w14:paraId="24BB781E" w14:textId="77777777" w:rsidR="003C4035" w:rsidRDefault="0005071D">
      <w:pPr>
        <w:pStyle w:val="Heading2"/>
        <w:ind w:left="720" w:hanging="735"/>
      </w:pPr>
      <w:bookmarkStart w:id="4" w:name="_Toc16939"/>
      <w:r>
        <w:t>Utility and Privacy Metrics</w:t>
      </w:r>
      <w:bookmarkEnd w:id="4"/>
    </w:p>
    <w:p w14:paraId="46FBCB46" w14:textId="77777777" w:rsidR="003C4035" w:rsidRDefault="0005071D">
      <w:pPr>
        <w:ind w:left="-5"/>
      </w:pPr>
      <w:r>
        <w:t xml:space="preserve">To properly evaluate any anonymization framework, it is crucial to quantify </w:t>
      </w:r>
      <w:r>
        <w:t xml:space="preserve">both the privacy guarantees and the utility of the sanitized data. </w:t>
      </w:r>
      <w:r>
        <w:rPr>
          <w:b/>
        </w:rPr>
        <w:t xml:space="preserve">Privacy Metrics: </w:t>
      </w:r>
      <w:r>
        <w:t xml:space="preserve">For classical models, the privacy level is explicitly defined by the parameters </w:t>
      </w:r>
      <w:r>
        <w:rPr>
          <w:i/>
        </w:rPr>
        <w:t>k</w:t>
      </w:r>
      <w:r>
        <w:t xml:space="preserve">, </w:t>
      </w:r>
      <w:r>
        <w:rPr>
          <w:i/>
        </w:rPr>
        <w:t>ℓ</w:t>
      </w:r>
      <w:r>
        <w:t xml:space="preserve">, and </w:t>
      </w:r>
      <w:r>
        <w:rPr>
          <w:i/>
        </w:rPr>
        <w:t>t</w:t>
      </w:r>
      <w:r>
        <w:t xml:space="preserve">. For DP, the privacy budget </w:t>
      </w:r>
      <w:r>
        <w:rPr>
          <w:i/>
        </w:rPr>
        <w:t xml:space="preserve">ε </w:t>
      </w:r>
      <w:r>
        <w:t xml:space="preserve">(and </w:t>
      </w:r>
      <w:r>
        <w:rPr>
          <w:i/>
        </w:rPr>
        <w:t>δ</w:t>
      </w:r>
      <w:r>
        <w:t>) serves as a direct measure of privacy stre</w:t>
      </w:r>
      <w:r>
        <w:t xml:space="preserve">ngth. A smaller </w:t>
      </w:r>
      <w:r>
        <w:rPr>
          <w:i/>
        </w:rPr>
        <w:t xml:space="preserve">ε </w:t>
      </w:r>
      <w:r>
        <w:t xml:space="preserve">value means stronger privacy. </w:t>
      </w:r>
      <w:r>
        <w:rPr>
          <w:b/>
        </w:rPr>
        <w:t xml:space="preserve">Utility Metrics: </w:t>
      </w:r>
      <w:r>
        <w:t>Utility metrics are task-specific and measure how well the sanitized data can be used for its intended purpose.</w:t>
      </w:r>
    </w:p>
    <w:p w14:paraId="44B214FF" w14:textId="77777777" w:rsidR="003C4035" w:rsidRDefault="0005071D">
      <w:pPr>
        <w:numPr>
          <w:ilvl w:val="0"/>
          <w:numId w:val="2"/>
        </w:numPr>
        <w:spacing w:after="0"/>
        <w:ind w:hanging="299"/>
      </w:pPr>
      <w:r>
        <w:rPr>
          <w:b/>
        </w:rPr>
        <w:t xml:space="preserve">For Classification/Tabular Data: </w:t>
      </w:r>
      <w:r>
        <w:t>The F1-score is a widely-used metric for class</w:t>
      </w:r>
      <w:r>
        <w:t>ification tasks, especially with imbalanced datasets. It is the harmonic mean of precision and recall:</w:t>
      </w:r>
    </w:p>
    <w:p w14:paraId="7EDC48EF" w14:textId="77777777" w:rsidR="003C4035" w:rsidRDefault="0005071D">
      <w:pPr>
        <w:spacing w:after="3" w:line="259" w:lineRule="auto"/>
        <w:ind w:left="1091"/>
        <w:jc w:val="center"/>
      </w:pPr>
      <w:r>
        <w:t xml:space="preserve">2 </w:t>
      </w:r>
      <w:r>
        <w:t xml:space="preserve">· </w:t>
      </w:r>
      <w:r>
        <w:t xml:space="preserve">Precision </w:t>
      </w:r>
      <w:r>
        <w:t xml:space="preserve">· </w:t>
      </w:r>
      <w:r>
        <w:t>Recall</w:t>
      </w:r>
    </w:p>
    <w:p w14:paraId="63E6F1E8" w14:textId="77777777" w:rsidR="003C4035" w:rsidRDefault="0005071D">
      <w:pPr>
        <w:tabs>
          <w:tab w:val="center" w:pos="3707"/>
          <w:tab w:val="center" w:pos="5098"/>
        </w:tabs>
        <w:spacing w:after="0" w:line="259" w:lineRule="auto"/>
        <w:ind w:left="0" w:firstLine="0"/>
        <w:jc w:val="left"/>
      </w:pPr>
      <w:r>
        <w:rPr>
          <w:rFonts w:ascii="Calibri" w:eastAsia="Calibri" w:hAnsi="Calibri" w:cs="Calibri"/>
          <w:sz w:val="22"/>
        </w:rPr>
        <w:tab/>
      </w:r>
      <w:r>
        <w:rPr>
          <w:i/>
        </w:rPr>
        <w:t>F</w:t>
      </w:r>
      <w:r>
        <w:rPr>
          <w:vertAlign w:val="subscript"/>
        </w:rPr>
        <w:t xml:space="preserve">1 </w:t>
      </w:r>
      <w:r>
        <w:t>=</w:t>
      </w:r>
      <w:r>
        <w:tab/>
      </w:r>
      <w:r>
        <w:rPr>
          <w:rFonts w:ascii="Calibri" w:eastAsia="Calibri" w:hAnsi="Calibri" w:cs="Calibri"/>
          <w:noProof/>
          <w:sz w:val="22"/>
        </w:rPr>
        <mc:AlternateContent>
          <mc:Choice Requires="wpg">
            <w:drawing>
              <wp:inline distT="0" distB="0" distL="0" distR="0" wp14:anchorId="14807715" wp14:editId="1F651827">
                <wp:extent cx="1281392" cy="6071"/>
                <wp:effectExtent l="0" t="0" r="0" b="0"/>
                <wp:docPr id="13396" name="Group 13396"/>
                <wp:cNvGraphicFramePr/>
                <a:graphic xmlns:a="http://schemas.openxmlformats.org/drawingml/2006/main">
                  <a:graphicData uri="http://schemas.microsoft.com/office/word/2010/wordprocessingGroup">
                    <wpg:wgp>
                      <wpg:cNvGrpSpPr/>
                      <wpg:grpSpPr>
                        <a:xfrm>
                          <a:off x="0" y="0"/>
                          <a:ext cx="1281392" cy="6071"/>
                          <a:chOff x="0" y="0"/>
                          <a:chExt cx="1281392" cy="6071"/>
                        </a:xfrm>
                      </wpg:grpSpPr>
                      <wps:wsp>
                        <wps:cNvPr id="608" name="Shape 608"/>
                        <wps:cNvSpPr/>
                        <wps:spPr>
                          <a:xfrm>
                            <a:off x="0" y="0"/>
                            <a:ext cx="1281392" cy="0"/>
                          </a:xfrm>
                          <a:custGeom>
                            <a:avLst/>
                            <a:gdLst/>
                            <a:ahLst/>
                            <a:cxnLst/>
                            <a:rect l="0" t="0" r="0" b="0"/>
                            <a:pathLst>
                              <a:path w="1281392">
                                <a:moveTo>
                                  <a:pt x="0" y="0"/>
                                </a:moveTo>
                                <a:lnTo>
                                  <a:pt x="128139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96" style="width:100.897pt;height:0.478pt;mso-position-horizontal-relative:char;mso-position-vertical-relative:line" coordsize="12813,60">
                <v:shape id="Shape 608" style="position:absolute;width:12813;height:0;left:0;top:0;" coordsize="1281392,0" path="m0,0l1281392,0">
                  <v:stroke weight="0.478pt" endcap="flat" joinstyle="miter" miterlimit="10" on="true" color="#000000"/>
                  <v:fill on="false" color="#000000" opacity="0"/>
                </v:shape>
              </v:group>
            </w:pict>
          </mc:Fallback>
        </mc:AlternateContent>
      </w:r>
      <w:r>
        <w:rPr>
          <w:i/>
        </w:rPr>
        <w:t>.</w:t>
      </w:r>
    </w:p>
    <w:p w14:paraId="2DDB3F81" w14:textId="77777777" w:rsidR="003C4035" w:rsidRDefault="0005071D">
      <w:pPr>
        <w:spacing w:after="29" w:line="259" w:lineRule="auto"/>
        <w:ind w:left="1091"/>
        <w:jc w:val="center"/>
      </w:pPr>
      <w:r>
        <w:t>Precision + Recall</w:t>
      </w:r>
    </w:p>
    <w:p w14:paraId="4F1FF2C2" w14:textId="77777777" w:rsidR="003C4035" w:rsidRDefault="0005071D">
      <w:pPr>
        <w:ind w:left="595"/>
      </w:pPr>
      <w:r>
        <w:t>A higher F1-score indicates a better-performing model on the anonymized data.</w:t>
      </w:r>
    </w:p>
    <w:p w14:paraId="17B0CD7A" w14:textId="77777777" w:rsidR="003C4035" w:rsidRDefault="0005071D">
      <w:pPr>
        <w:numPr>
          <w:ilvl w:val="0"/>
          <w:numId w:val="2"/>
        </w:numPr>
        <w:spacing w:after="145"/>
        <w:ind w:hanging="299"/>
      </w:pPr>
      <w:r>
        <w:rPr>
          <w:b/>
        </w:rPr>
        <w:t xml:space="preserve">For Image Data: </w:t>
      </w:r>
      <w:r>
        <w:t xml:space="preserve">For medical images, metrics like Structural Similarity Index (SSIM) and Peak Signal-to-Noise Ratio (PSNR) are used to measure the fidelity of the sanitized image </w:t>
      </w:r>
      <w:r>
        <w:t>to the original.</w:t>
      </w:r>
    </w:p>
    <w:p w14:paraId="74C7825B" w14:textId="77777777" w:rsidR="003C4035" w:rsidRDefault="0005071D">
      <w:pPr>
        <w:spacing w:after="158" w:line="259" w:lineRule="auto"/>
        <w:ind w:left="1091" w:right="505"/>
        <w:jc w:val="center"/>
      </w:pPr>
      <w:r>
        <w:t>PSNR = 10log</w:t>
      </w:r>
      <w:r>
        <w:rPr>
          <w:noProof/>
        </w:rPr>
        <w:drawing>
          <wp:inline distT="0" distB="0" distL="0" distR="0" wp14:anchorId="045C5A80" wp14:editId="66089B2B">
            <wp:extent cx="777240" cy="384048"/>
            <wp:effectExtent l="0" t="0" r="0" b="0"/>
            <wp:docPr id="16419" name="Picture 16419"/>
            <wp:cNvGraphicFramePr/>
            <a:graphic xmlns:a="http://schemas.openxmlformats.org/drawingml/2006/main">
              <a:graphicData uri="http://schemas.openxmlformats.org/drawingml/2006/picture">
                <pic:pic xmlns:pic="http://schemas.openxmlformats.org/drawingml/2006/picture">
                  <pic:nvPicPr>
                    <pic:cNvPr id="16419" name="Picture 16419"/>
                    <pic:cNvPicPr/>
                  </pic:nvPicPr>
                  <pic:blipFill>
                    <a:blip r:embed="rId8"/>
                    <a:stretch>
                      <a:fillRect/>
                    </a:stretch>
                  </pic:blipFill>
                  <pic:spPr>
                    <a:xfrm>
                      <a:off x="0" y="0"/>
                      <a:ext cx="777240" cy="384048"/>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7335A313" wp14:editId="6BBE03AA">
                <wp:extent cx="419214" cy="6071"/>
                <wp:effectExtent l="0" t="0" r="0" b="0"/>
                <wp:docPr id="13399" name="Group 13399"/>
                <wp:cNvGraphicFramePr/>
                <a:graphic xmlns:a="http://schemas.openxmlformats.org/drawingml/2006/main">
                  <a:graphicData uri="http://schemas.microsoft.com/office/word/2010/wordprocessingGroup">
                    <wpg:wgp>
                      <wpg:cNvGrpSpPr/>
                      <wpg:grpSpPr>
                        <a:xfrm>
                          <a:off x="0" y="0"/>
                          <a:ext cx="419214" cy="6071"/>
                          <a:chOff x="0" y="0"/>
                          <a:chExt cx="419214" cy="6071"/>
                        </a:xfrm>
                      </wpg:grpSpPr>
                      <wps:wsp>
                        <wps:cNvPr id="622" name="Shape 622"/>
                        <wps:cNvSpPr/>
                        <wps:spPr>
                          <a:xfrm>
                            <a:off x="0" y="0"/>
                            <a:ext cx="419214" cy="0"/>
                          </a:xfrm>
                          <a:custGeom>
                            <a:avLst/>
                            <a:gdLst/>
                            <a:ahLst/>
                            <a:cxnLst/>
                            <a:rect l="0" t="0" r="0" b="0"/>
                            <a:pathLst>
                              <a:path w="419214">
                                <a:moveTo>
                                  <a:pt x="0" y="0"/>
                                </a:moveTo>
                                <a:lnTo>
                                  <a:pt x="41921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99" style="width:33.009pt;height:0.478pt;mso-position-horizontal-relative:char;mso-position-vertical-relative:line" coordsize="4192,60">
                <v:shape id="Shape 622" style="position:absolute;width:4192;height:0;left:0;top:0;" coordsize="419214,0" path="m0,0l419214,0">
                  <v:stroke weight="0.478pt" endcap="flat" joinstyle="miter" miterlimit="10" on="true" color="#000000"/>
                  <v:fill on="false" color="#000000" opacity="0"/>
                </v:shape>
              </v:group>
            </w:pict>
          </mc:Fallback>
        </mc:AlternateContent>
      </w:r>
    </w:p>
    <w:p w14:paraId="24E0D060" w14:textId="77777777" w:rsidR="003C4035" w:rsidRDefault="0005071D">
      <w:pPr>
        <w:spacing w:after="189"/>
        <w:ind w:left="595"/>
      </w:pPr>
      <w:r>
        <w:t>where MAX is the maximum possible pixel value (e.g., 255 for 8-bit images) and MSE is the mean squared error between the original and anonymized images. SSIM, a more perceptually relevant metric, measures structural similari</w:t>
      </w:r>
      <w:r>
        <w:t>ty. Higher values for both PSNR and SSIM indicate less distortion and better utility.</w:t>
      </w:r>
    </w:p>
    <w:p w14:paraId="5FA6BB54" w14:textId="77777777" w:rsidR="003C4035" w:rsidRDefault="0005071D">
      <w:pPr>
        <w:ind w:left="-5"/>
      </w:pPr>
      <w:r>
        <w:t xml:space="preserve">The central goal of any anonymization framework is to navigate the privacy-utility </w:t>
      </w:r>
      <w:proofErr w:type="spellStart"/>
      <w:r>
        <w:t>tradeoff</w:t>
      </w:r>
      <w:proofErr w:type="spellEnd"/>
      <w:r>
        <w:t>, finding a point where privacy is maximized for an acceptable level of utility</w:t>
      </w:r>
      <w:r>
        <w:t xml:space="preserve"> loss.</w:t>
      </w:r>
    </w:p>
    <w:p w14:paraId="1A6D7829" w14:textId="77777777" w:rsidR="003C4035" w:rsidRDefault="0005071D">
      <w:pPr>
        <w:pStyle w:val="Heading2"/>
        <w:spacing w:after="121"/>
        <w:ind w:left="720" w:hanging="735"/>
      </w:pPr>
      <w:bookmarkStart w:id="5" w:name="_Toc16940"/>
      <w:r>
        <w:lastRenderedPageBreak/>
        <w:t>Regulatory Compliance (HIPAA/GDPR)</w:t>
      </w:r>
      <w:bookmarkEnd w:id="5"/>
    </w:p>
    <w:p w14:paraId="74A76CEC" w14:textId="77777777" w:rsidR="003C4035" w:rsidRDefault="0005071D">
      <w:pPr>
        <w:spacing w:after="19"/>
        <w:ind w:left="-5"/>
      </w:pPr>
      <w:r>
        <w:t xml:space="preserve">Compliance with legal frameworks is paramount in healthcare. </w:t>
      </w:r>
      <w:r>
        <w:rPr>
          <w:b/>
        </w:rPr>
        <w:t xml:space="preserve">HIPAA: </w:t>
      </w:r>
      <w:r>
        <w:t xml:space="preserve">The HIPAA Privacy Rule sets national standards for protecting PHI. </w:t>
      </w:r>
      <w:proofErr w:type="gramStart"/>
      <w:r>
        <w:t>The ”Safe</w:t>
      </w:r>
      <w:proofErr w:type="gramEnd"/>
      <w:r>
        <w:t xml:space="preserve"> </w:t>
      </w:r>
      <w:proofErr w:type="spellStart"/>
      <w:r>
        <w:t>Harbor</w:t>
      </w:r>
      <w:proofErr w:type="spellEnd"/>
      <w:r>
        <w:t>” method of de-identification requires the removal of 18 specific identifiers. These include names, dates (birth, death, etc.), telephone numbers, SSNs, medical record numbe</w:t>
      </w:r>
      <w:r>
        <w:t xml:space="preserve">rs, full-face photographic images, and other unique identifying numbers or characteristics. Crucially, the data owner must have </w:t>
      </w:r>
      <w:proofErr w:type="gramStart"/>
      <w:r>
        <w:t>no ”actual</w:t>
      </w:r>
      <w:proofErr w:type="gramEnd"/>
      <w:r>
        <w:t xml:space="preserve"> knowledge” that the remaining information could be used to identify an individual. This a key weakness of the Safe </w:t>
      </w:r>
      <w:proofErr w:type="spellStart"/>
      <w:r>
        <w:t>Ha</w:t>
      </w:r>
      <w:r>
        <w:t>rbor</w:t>
      </w:r>
      <w:proofErr w:type="spellEnd"/>
      <w:r>
        <w:t xml:space="preserve"> approach; it is a checklist, not a formal guarantee. For textual data (e.g., physician’s notes), all PHI must be removed, which can be accomplished with Natural Language Processing (NLP) de-identification tools. Our framework directly addresses HIPAA </w:t>
      </w:r>
      <w:r>
        <w:t>by beginning with the removal of all 18 identifiers.</w:t>
      </w:r>
    </w:p>
    <w:p w14:paraId="560A8422" w14:textId="77777777" w:rsidR="003C4035" w:rsidRDefault="0005071D">
      <w:pPr>
        <w:spacing w:after="0"/>
        <w:ind w:left="-15" w:firstLine="351"/>
      </w:pPr>
      <w:r>
        <w:rPr>
          <w:b/>
        </w:rPr>
        <w:t xml:space="preserve">GDPR: </w:t>
      </w:r>
      <w:r>
        <w:t xml:space="preserve">The GDPR has a broader and more rigorous definition </w:t>
      </w:r>
      <w:proofErr w:type="gramStart"/>
      <w:r>
        <w:t>of ”personal</w:t>
      </w:r>
      <w:proofErr w:type="gramEnd"/>
      <w:r>
        <w:t xml:space="preserve"> data.” It considers data truly anonymous only if re-identification </w:t>
      </w:r>
      <w:proofErr w:type="gramStart"/>
      <w:r>
        <w:t>is ”impossible</w:t>
      </w:r>
      <w:proofErr w:type="gramEnd"/>
      <w:r>
        <w:t>.” GDPR Recital 26 explicitly states that the princ</w:t>
      </w:r>
      <w:r>
        <w:t xml:space="preserve">iples of data protection do not apply to anonymous information. The distinction between pseudonymization (reversible) and anonymization (irreversible) is central. Our framework aims for true, irreversible anonymization, leveraging the formal guarantees of </w:t>
      </w:r>
      <w:r>
        <w:t>DP to argue that re-identification risk is provably bounded, thereby fulfilling the spirit of GDPR’s requirements.</w:t>
      </w:r>
      <w:r>
        <w:br w:type="page"/>
      </w:r>
    </w:p>
    <w:p w14:paraId="6C7BE37E" w14:textId="77777777" w:rsidR="003C4035" w:rsidRDefault="0005071D">
      <w:pPr>
        <w:pStyle w:val="Heading1"/>
        <w:ind w:left="566" w:hanging="581"/>
      </w:pPr>
      <w:bookmarkStart w:id="6" w:name="_Toc16941"/>
      <w:r>
        <w:lastRenderedPageBreak/>
        <w:t>Framework and Formalism</w:t>
      </w:r>
      <w:bookmarkEnd w:id="6"/>
    </w:p>
    <w:p w14:paraId="67D33C20" w14:textId="77777777" w:rsidR="003C4035" w:rsidRDefault="0005071D">
      <w:pPr>
        <w:spacing w:after="466"/>
        <w:ind w:left="-5"/>
      </w:pPr>
      <w:r>
        <w:t>Our proposed framework is a multi-layered approach that sequentially applies different anonymization techniques base</w:t>
      </w:r>
      <w:r>
        <w:t xml:space="preserve">d on data modality. This section formalizes each step of the process. Let </w:t>
      </w:r>
      <w:r>
        <w:rPr>
          <w:i/>
        </w:rPr>
        <w:t xml:space="preserve">D </w:t>
      </w:r>
      <w:r>
        <w:t>be the original dataset, composed of explicit identifiers (</w:t>
      </w:r>
      <w:r>
        <w:rPr>
          <w:i/>
        </w:rPr>
        <w:t>ID</w:t>
      </w:r>
      <w:r>
        <w:t xml:space="preserve">), </w:t>
      </w:r>
      <w:proofErr w:type="spellStart"/>
      <w:r>
        <w:t>quasiidentifiers</w:t>
      </w:r>
      <w:proofErr w:type="spellEnd"/>
      <w:r>
        <w:t xml:space="preserve"> (</w:t>
      </w:r>
      <w:r>
        <w:rPr>
          <w:i/>
        </w:rPr>
        <w:t>QI</w:t>
      </w:r>
      <w:r>
        <w:t>), sensitive attributes (</w:t>
      </w:r>
      <w:r>
        <w:rPr>
          <w:i/>
        </w:rPr>
        <w:t>S</w:t>
      </w:r>
      <w:r>
        <w:t>), and non-sensitive attributes (</w:t>
      </w:r>
      <w:r>
        <w:rPr>
          <w:i/>
        </w:rPr>
        <w:t>NS</w:t>
      </w:r>
      <w:r>
        <w:t>). The goal is to produce a sanitiz</w:t>
      </w:r>
      <w:r>
        <w:t xml:space="preserve">ed dataset </w:t>
      </w:r>
      <w:r>
        <w:rPr>
          <w:i/>
        </w:rPr>
        <w:t>D</w:t>
      </w:r>
      <w:r>
        <w:rPr>
          <w:vertAlign w:val="superscript"/>
        </w:rPr>
        <w:t>∗</w:t>
      </w:r>
      <w:r>
        <w:rPr>
          <w:vertAlign w:val="superscript"/>
        </w:rPr>
        <w:t xml:space="preserve"> </w:t>
      </w:r>
      <w:r>
        <w:t>that can be publicly released.</w:t>
      </w:r>
    </w:p>
    <w:p w14:paraId="2DB6926F" w14:textId="77777777" w:rsidR="003C4035" w:rsidRDefault="0005071D">
      <w:pPr>
        <w:pStyle w:val="Heading2"/>
        <w:spacing w:after="121"/>
        <w:ind w:left="720" w:hanging="735"/>
      </w:pPr>
      <w:bookmarkStart w:id="7" w:name="_Toc16942"/>
      <w:r>
        <w:t>Structured EHR Anonymization</w:t>
      </w:r>
      <w:bookmarkEnd w:id="7"/>
    </w:p>
    <w:p w14:paraId="501C7B00" w14:textId="77777777" w:rsidR="003C4035" w:rsidRDefault="0005071D">
      <w:pPr>
        <w:spacing w:after="351"/>
        <w:ind w:left="-5"/>
      </w:pPr>
      <w:r>
        <w:t xml:space="preserve">For tabular EHR data, we combine classical models. Let the original data be a table </w:t>
      </w:r>
      <w:r>
        <w:rPr>
          <w:i/>
        </w:rPr>
        <w:t xml:space="preserve">T </w:t>
      </w:r>
      <w:r>
        <w:t>with columns representing attributes.</w:t>
      </w:r>
    </w:p>
    <w:p w14:paraId="6FA77E32" w14:textId="77777777" w:rsidR="003C4035" w:rsidRDefault="0005071D">
      <w:pPr>
        <w:pStyle w:val="Heading3"/>
        <w:spacing w:after="150"/>
        <w:ind w:left="807" w:hanging="822"/>
      </w:pPr>
      <w:bookmarkStart w:id="8" w:name="_Toc16943"/>
      <w:r>
        <w:t>Step 1: Identifier Removal</w:t>
      </w:r>
      <w:bookmarkEnd w:id="8"/>
    </w:p>
    <w:p w14:paraId="07A14425" w14:textId="77777777" w:rsidR="003C4035" w:rsidRDefault="0005071D">
      <w:pPr>
        <w:spacing w:after="348"/>
        <w:ind w:left="-5"/>
      </w:pPr>
      <w:r>
        <w:t>The first step is a direct appl</w:t>
      </w:r>
      <w:r>
        <w:t xml:space="preserve">ication of the HIPAA Safe </w:t>
      </w:r>
      <w:proofErr w:type="spellStart"/>
      <w:r>
        <w:t>Harbor</w:t>
      </w:r>
      <w:proofErr w:type="spellEnd"/>
      <w:r>
        <w:t xml:space="preserve"> rules. We remove all 18 explicit identifiers from the dataset. This results in a table </w:t>
      </w:r>
      <w:proofErr w:type="spellStart"/>
      <w:r>
        <w:rPr>
          <w:i/>
        </w:rPr>
        <w:t>T</w:t>
      </w:r>
      <w:r>
        <w:rPr>
          <w:i/>
          <w:vertAlign w:val="subscript"/>
        </w:rPr>
        <w:t>de</w:t>
      </w:r>
      <w:proofErr w:type="spellEnd"/>
      <w:r>
        <w:rPr>
          <w:vertAlign w:val="subscript"/>
        </w:rPr>
        <w:t>−</w:t>
      </w:r>
      <w:r>
        <w:rPr>
          <w:i/>
          <w:vertAlign w:val="subscript"/>
        </w:rPr>
        <w:t>id</w:t>
      </w:r>
      <w:r>
        <w:t>.</w:t>
      </w:r>
    </w:p>
    <w:p w14:paraId="50BFFC35" w14:textId="77777777" w:rsidR="003C4035" w:rsidRDefault="0005071D">
      <w:pPr>
        <w:pStyle w:val="Heading3"/>
        <w:ind w:left="807" w:hanging="822"/>
      </w:pPr>
      <w:bookmarkStart w:id="9" w:name="_Toc16944"/>
      <w:r>
        <w:t xml:space="preserve">Step 2: </w:t>
      </w:r>
      <w:r>
        <w:rPr>
          <w:b w:val="0"/>
          <w:i/>
        </w:rPr>
        <w:t>k</w:t>
      </w:r>
      <w:r>
        <w:t xml:space="preserve">-Anonymity and </w:t>
      </w:r>
      <w:r>
        <w:rPr>
          <w:b w:val="0"/>
          <w:i/>
        </w:rPr>
        <w:t>ℓ</w:t>
      </w:r>
      <w:r>
        <w:t>-Diversity</w:t>
      </w:r>
      <w:bookmarkEnd w:id="9"/>
    </w:p>
    <w:p w14:paraId="703B6301" w14:textId="77777777" w:rsidR="003C4035" w:rsidRDefault="0005071D">
      <w:pPr>
        <w:ind w:left="-5"/>
      </w:pPr>
      <w:r>
        <w:t xml:space="preserve">Next, we focus on the quasi-identifiers </w:t>
      </w:r>
      <w:r>
        <w:rPr>
          <w:i/>
        </w:rPr>
        <w:t xml:space="preserve">QI </w:t>
      </w:r>
      <w:r>
        <w:t xml:space="preserve">to prevent linkage attacks. </w:t>
      </w:r>
      <w:r>
        <w:rPr>
          <w:b/>
        </w:rPr>
        <w:t>Procedure:</w:t>
      </w:r>
    </w:p>
    <w:p w14:paraId="315210D4" w14:textId="77777777" w:rsidR="003C4035" w:rsidRDefault="0005071D">
      <w:pPr>
        <w:numPr>
          <w:ilvl w:val="0"/>
          <w:numId w:val="3"/>
        </w:numPr>
        <w:ind w:hanging="299"/>
      </w:pPr>
      <w:r>
        <w:t xml:space="preserve">Identify the set of quasi-identifiers </w:t>
      </w:r>
      <w:r>
        <w:rPr>
          <w:i/>
        </w:rPr>
        <w:t xml:space="preserve">QI </w:t>
      </w:r>
      <w:r>
        <w:t xml:space="preserve">= </w:t>
      </w:r>
      <w:r>
        <w:t>{</w:t>
      </w:r>
      <w:r>
        <w:rPr>
          <w:i/>
        </w:rPr>
        <w:t>QI</w:t>
      </w:r>
      <w:proofErr w:type="gramStart"/>
      <w:r>
        <w:rPr>
          <w:vertAlign w:val="subscript"/>
        </w:rPr>
        <w:t>1</w:t>
      </w:r>
      <w:r>
        <w:rPr>
          <w:i/>
        </w:rPr>
        <w:t>,QI</w:t>
      </w:r>
      <w:proofErr w:type="gramEnd"/>
      <w:r>
        <w:rPr>
          <w:vertAlign w:val="subscript"/>
        </w:rPr>
        <w:t>2</w:t>
      </w:r>
      <w:r>
        <w:rPr>
          <w:i/>
        </w:rPr>
        <w:t>,...,</w:t>
      </w:r>
      <w:proofErr w:type="spellStart"/>
      <w:r>
        <w:rPr>
          <w:i/>
        </w:rPr>
        <w:t>QI</w:t>
      </w:r>
      <w:r>
        <w:rPr>
          <w:i/>
          <w:vertAlign w:val="subscript"/>
        </w:rPr>
        <w:t>p</w:t>
      </w:r>
      <w:proofErr w:type="spellEnd"/>
      <w:r>
        <w:t xml:space="preserve">} </w:t>
      </w:r>
      <w:r>
        <w:t xml:space="preserve">and sensitive attributes </w:t>
      </w:r>
      <w:r>
        <w:rPr>
          <w:i/>
        </w:rPr>
        <w:t xml:space="preserve">S </w:t>
      </w:r>
      <w:r>
        <w:t xml:space="preserve">= </w:t>
      </w:r>
      <w:r>
        <w:t>{</w:t>
      </w:r>
      <w:r>
        <w:rPr>
          <w:i/>
        </w:rPr>
        <w:t>S</w:t>
      </w:r>
      <w:r>
        <w:rPr>
          <w:vertAlign w:val="subscript"/>
        </w:rPr>
        <w:t>1</w:t>
      </w:r>
      <w:r>
        <w:rPr>
          <w:i/>
        </w:rPr>
        <w:t>,S</w:t>
      </w:r>
      <w:r>
        <w:rPr>
          <w:vertAlign w:val="subscript"/>
        </w:rPr>
        <w:t>2</w:t>
      </w:r>
      <w:r>
        <w:rPr>
          <w:i/>
        </w:rPr>
        <w:t>,...,</w:t>
      </w:r>
      <w:proofErr w:type="spellStart"/>
      <w:r>
        <w:rPr>
          <w:i/>
        </w:rPr>
        <w:t>S</w:t>
      </w:r>
      <w:r>
        <w:rPr>
          <w:i/>
          <w:vertAlign w:val="subscript"/>
        </w:rPr>
        <w:t>q</w:t>
      </w:r>
      <w:proofErr w:type="spellEnd"/>
      <w:r>
        <w:t>}</w:t>
      </w:r>
      <w:r>
        <w:t>.</w:t>
      </w:r>
    </w:p>
    <w:p w14:paraId="345C6B69" w14:textId="77777777" w:rsidR="003C4035" w:rsidRDefault="0005071D">
      <w:pPr>
        <w:numPr>
          <w:ilvl w:val="0"/>
          <w:numId w:val="3"/>
        </w:numPr>
        <w:ind w:hanging="299"/>
      </w:pPr>
      <w:r>
        <w:t>Apply a generalization and suppression strategy to the values of the quasi-identifiers to form equivalence clas</w:t>
      </w:r>
      <w:r>
        <w:t xml:space="preserve">ses. A common approach is to use a generalization hierarchy (e.g., for age: exact age </w:t>
      </w:r>
      <w:r>
        <w:t xml:space="preserve">→ </w:t>
      </w:r>
      <w:r>
        <w:t xml:space="preserve">age group </w:t>
      </w:r>
      <w:r>
        <w:t xml:space="preserve">→ </w:t>
      </w:r>
      <w:r>
        <w:t>broad age group).</w:t>
      </w:r>
    </w:p>
    <w:p w14:paraId="58915F2E" w14:textId="77777777" w:rsidR="003C4035" w:rsidRDefault="0005071D">
      <w:pPr>
        <w:numPr>
          <w:ilvl w:val="0"/>
          <w:numId w:val="3"/>
        </w:numPr>
        <w:ind w:hanging="299"/>
      </w:pPr>
      <w:r>
        <w:t xml:space="preserve">The generalization is applied until every equivalence class </w:t>
      </w:r>
      <w:r>
        <w:rPr>
          <w:i/>
        </w:rPr>
        <w:t xml:space="preserve">C </w:t>
      </w:r>
      <w:r>
        <w:t xml:space="preserve">in the resulting table </w:t>
      </w:r>
      <w:r>
        <w:rPr>
          <w:i/>
        </w:rPr>
        <w:t>T</w:t>
      </w:r>
      <w:r>
        <w:rPr>
          <w:i/>
          <w:vertAlign w:val="subscript"/>
        </w:rPr>
        <w:t xml:space="preserve">k </w:t>
      </w:r>
      <w:r>
        <w:t xml:space="preserve">satisfies the </w:t>
      </w:r>
      <w:r>
        <w:rPr>
          <w:i/>
        </w:rPr>
        <w:t>k</w:t>
      </w:r>
      <w:r>
        <w:t xml:space="preserve">-anonymity constraint: </w:t>
      </w:r>
      <w:r>
        <w:t>|</w:t>
      </w:r>
      <w:r>
        <w:rPr>
          <w:i/>
        </w:rPr>
        <w:t>C</w:t>
      </w:r>
      <w:r>
        <w:t xml:space="preserve">| ≥ </w:t>
      </w:r>
      <w:r>
        <w:rPr>
          <w:i/>
        </w:rPr>
        <w:t>k</w:t>
      </w:r>
      <w:r>
        <w:t>.</w:t>
      </w:r>
    </w:p>
    <w:p w14:paraId="5BFD3EDA" w14:textId="77777777" w:rsidR="003C4035" w:rsidRDefault="0005071D">
      <w:pPr>
        <w:numPr>
          <w:ilvl w:val="0"/>
          <w:numId w:val="3"/>
        </w:numPr>
        <w:spacing w:after="194"/>
        <w:ind w:hanging="299"/>
      </w:pPr>
      <w:r>
        <w:t>For</w:t>
      </w:r>
      <w:r>
        <w:t xml:space="preserve"> each equivalence class </w:t>
      </w:r>
      <w:r>
        <w:rPr>
          <w:i/>
        </w:rPr>
        <w:t>C</w:t>
      </w:r>
      <w:r>
        <w:t xml:space="preserve">, we then ensure that for every sensitive attribute </w:t>
      </w:r>
      <w:proofErr w:type="spellStart"/>
      <w:r>
        <w:rPr>
          <w:i/>
        </w:rPr>
        <w:t>S</w:t>
      </w:r>
      <w:r>
        <w:rPr>
          <w:i/>
          <w:vertAlign w:val="subscript"/>
        </w:rPr>
        <w:t>j</w:t>
      </w:r>
      <w:proofErr w:type="spellEnd"/>
      <w:r>
        <w:t xml:space="preserve">, the multiset of values </w:t>
      </w:r>
      <w:proofErr w:type="spellStart"/>
      <w:r>
        <w:rPr>
          <w:i/>
        </w:rPr>
        <w:t>S</w:t>
      </w:r>
      <w:r>
        <w:rPr>
          <w:i/>
          <w:vertAlign w:val="subscript"/>
        </w:rPr>
        <w:t>j</w:t>
      </w:r>
      <w:proofErr w:type="spellEnd"/>
      <w:r>
        <w:t>(</w:t>
      </w:r>
      <w:r>
        <w:rPr>
          <w:i/>
        </w:rPr>
        <w:t>C</w:t>
      </w:r>
      <w:r>
        <w:t xml:space="preserve">) has at least </w:t>
      </w:r>
      <w:r>
        <w:rPr>
          <w:i/>
        </w:rPr>
        <w:t xml:space="preserve">ℓ </w:t>
      </w:r>
      <w:r>
        <w:t xml:space="preserve">distinct values. This guarantees </w:t>
      </w:r>
      <w:r>
        <w:rPr>
          <w:i/>
        </w:rPr>
        <w:t>ℓ</w:t>
      </w:r>
      <w:r>
        <w:t>-diversity.</w:t>
      </w:r>
    </w:p>
    <w:p w14:paraId="1D61148D" w14:textId="77777777" w:rsidR="003C4035" w:rsidRDefault="0005071D">
      <w:pPr>
        <w:spacing w:after="428"/>
        <w:ind w:left="-5"/>
      </w:pPr>
      <w:r>
        <w:t>This combination of constraints is often solved using heuristic search or greedy algorithms, as finding an optimal solution is NP-hard.</w:t>
      </w:r>
    </w:p>
    <w:p w14:paraId="305E3985" w14:textId="77777777" w:rsidR="003C4035" w:rsidRDefault="0005071D">
      <w:pPr>
        <w:pStyle w:val="Heading2"/>
        <w:ind w:left="720" w:hanging="735"/>
      </w:pPr>
      <w:bookmarkStart w:id="10" w:name="_Toc16945"/>
      <w:r>
        <w:t>Vertical Slicing</w:t>
      </w:r>
      <w:bookmarkEnd w:id="10"/>
    </w:p>
    <w:p w14:paraId="29D1640E" w14:textId="77777777" w:rsidR="003C4035" w:rsidRDefault="0005071D">
      <w:pPr>
        <w:ind w:left="-5"/>
      </w:pPr>
      <w:r>
        <w:t xml:space="preserve">To further protect against multi-attribute correlation attacks, particularly when the quasi-identifiers are extensive, we apply vertical slicing. </w:t>
      </w:r>
      <w:r>
        <w:rPr>
          <w:b/>
        </w:rPr>
        <w:t>Procedure:</w:t>
      </w:r>
    </w:p>
    <w:p w14:paraId="60F84487" w14:textId="77777777" w:rsidR="003C4035" w:rsidRDefault="0005071D">
      <w:pPr>
        <w:numPr>
          <w:ilvl w:val="0"/>
          <w:numId w:val="4"/>
        </w:numPr>
        <w:ind w:hanging="299"/>
      </w:pPr>
      <w:r>
        <w:t xml:space="preserve">Partition the set of attributes </w:t>
      </w:r>
      <w:r>
        <w:rPr>
          <w:i/>
        </w:rPr>
        <w:t xml:space="preserve">QI </w:t>
      </w:r>
      <w:r>
        <w:t xml:space="preserve">∪ </w:t>
      </w:r>
      <w:r>
        <w:rPr>
          <w:i/>
        </w:rPr>
        <w:t xml:space="preserve">S </w:t>
      </w:r>
      <w:r>
        <w:t>into disjoint slices (</w:t>
      </w:r>
      <w:r>
        <w:rPr>
          <w:i/>
        </w:rPr>
        <w:t>A</w:t>
      </w:r>
      <w:proofErr w:type="gramStart"/>
      <w:r>
        <w:rPr>
          <w:vertAlign w:val="subscript"/>
        </w:rPr>
        <w:t>1</w:t>
      </w:r>
      <w:r>
        <w:rPr>
          <w:i/>
        </w:rPr>
        <w:t>,...</w:t>
      </w:r>
      <w:proofErr w:type="gramEnd"/>
      <w:r>
        <w:rPr>
          <w:i/>
        </w:rPr>
        <w:t>,</w:t>
      </w:r>
      <w:proofErr w:type="spellStart"/>
      <w:r>
        <w:rPr>
          <w:i/>
        </w:rPr>
        <w:t>A</w:t>
      </w:r>
      <w:r>
        <w:rPr>
          <w:i/>
          <w:vertAlign w:val="subscript"/>
        </w:rPr>
        <w:t>r</w:t>
      </w:r>
      <w:proofErr w:type="spellEnd"/>
      <w:r>
        <w:t xml:space="preserve">). Each slice </w:t>
      </w:r>
      <w:proofErr w:type="spellStart"/>
      <w:r>
        <w:rPr>
          <w:i/>
        </w:rPr>
        <w:t>A</w:t>
      </w:r>
      <w:r>
        <w:rPr>
          <w:i/>
          <w:vertAlign w:val="subscript"/>
        </w:rPr>
        <w:t>j</w:t>
      </w:r>
      <w:proofErr w:type="spellEnd"/>
      <w:r>
        <w:rPr>
          <w:i/>
          <w:vertAlign w:val="subscript"/>
        </w:rPr>
        <w:t xml:space="preserve"> </w:t>
      </w:r>
      <w:r>
        <w:t>contains a s</w:t>
      </w:r>
      <w:r>
        <w:t>ubset of attributes.</w:t>
      </w:r>
    </w:p>
    <w:p w14:paraId="2F69C7E9" w14:textId="77777777" w:rsidR="003C4035" w:rsidRDefault="0005071D">
      <w:pPr>
        <w:numPr>
          <w:ilvl w:val="0"/>
          <w:numId w:val="4"/>
        </w:numPr>
        <w:ind w:hanging="299"/>
      </w:pPr>
      <w:r>
        <w:t>Within each slice, shuffle the records. This breaks the link between the original rows of the table.</w:t>
      </w:r>
    </w:p>
    <w:p w14:paraId="0826F975" w14:textId="77777777" w:rsidR="003C4035" w:rsidRDefault="0005071D">
      <w:pPr>
        <w:numPr>
          <w:ilvl w:val="0"/>
          <w:numId w:val="4"/>
        </w:numPr>
        <w:ind w:hanging="299"/>
      </w:pPr>
      <w:r>
        <w:lastRenderedPageBreak/>
        <w:t xml:space="preserve">The resulting dataset consists of </w:t>
      </w:r>
      <w:r>
        <w:rPr>
          <w:i/>
        </w:rPr>
        <w:t xml:space="preserve">r </w:t>
      </w:r>
      <w:r>
        <w:t>independently shuffled tables. An adversary can link records within a slice but cannot easily link</w:t>
      </w:r>
      <w:r>
        <w:t xml:space="preserve"> records across different slices without additional information, thus increasing their uncertainty.</w:t>
      </w:r>
    </w:p>
    <w:p w14:paraId="5A3CBFBD" w14:textId="77777777" w:rsidR="003C4035" w:rsidRDefault="0005071D">
      <w:pPr>
        <w:pStyle w:val="Heading2"/>
        <w:ind w:left="720" w:hanging="735"/>
      </w:pPr>
      <w:bookmarkStart w:id="11" w:name="_Toc16946"/>
      <w:r>
        <w:t>Differential Privacy Noise Addition</w:t>
      </w:r>
      <w:bookmarkEnd w:id="11"/>
    </w:p>
    <w:p w14:paraId="6794A560" w14:textId="77777777" w:rsidR="003C4035" w:rsidRDefault="0005071D">
      <w:pPr>
        <w:spacing w:after="353"/>
        <w:ind w:left="-5"/>
      </w:pPr>
      <w:r>
        <w:t>As a final, robust layer of protection, we apply differential privacy. The choice of DP mechanism depends on the data ty</w:t>
      </w:r>
      <w:r>
        <w:t>pe.</w:t>
      </w:r>
    </w:p>
    <w:p w14:paraId="4C994D69" w14:textId="77777777" w:rsidR="003C4035" w:rsidRDefault="0005071D">
      <w:pPr>
        <w:pStyle w:val="Heading3"/>
        <w:spacing w:after="150"/>
        <w:ind w:left="807" w:hanging="822"/>
      </w:pPr>
      <w:bookmarkStart w:id="12" w:name="_Toc16947"/>
      <w:r>
        <w:t>Numeric Queries on EHRs</w:t>
      </w:r>
      <w:bookmarkEnd w:id="12"/>
    </w:p>
    <w:p w14:paraId="303B8073" w14:textId="77777777" w:rsidR="003C4035" w:rsidRDefault="0005071D">
      <w:pPr>
        <w:spacing w:after="115"/>
        <w:ind w:left="-5"/>
      </w:pPr>
      <w:r>
        <w:t xml:space="preserve">For queries on the structured data, we add noise directly to the query results. For a query </w:t>
      </w:r>
      <w:r>
        <w:rPr>
          <w:i/>
        </w:rPr>
        <w:t>f</w:t>
      </w:r>
      <w:r>
        <w:t>(</w:t>
      </w:r>
      <w:r>
        <w:rPr>
          <w:i/>
        </w:rPr>
        <w:t>D</w:t>
      </w:r>
      <w:r>
        <w:t>) with global sensitivity ∆</w:t>
      </w:r>
      <w:r>
        <w:rPr>
          <w:i/>
        </w:rPr>
        <w:t>f</w:t>
      </w:r>
      <w:r>
        <w:t xml:space="preserve">, we add noise sampled from a Laplace distribution </w:t>
      </w:r>
      <w:proofErr w:type="gramStart"/>
      <w:r>
        <w:t>Lap(</w:t>
      </w:r>
      <w:proofErr w:type="gramEnd"/>
      <w:r>
        <w:rPr>
          <w:noProof/>
        </w:rPr>
        <w:drawing>
          <wp:inline distT="0" distB="0" distL="0" distR="0" wp14:anchorId="739F8305" wp14:editId="4972572B">
            <wp:extent cx="158496" cy="198120"/>
            <wp:effectExtent l="0" t="0" r="0" b="0"/>
            <wp:docPr id="16420" name="Picture 16420"/>
            <wp:cNvGraphicFramePr/>
            <a:graphic xmlns:a="http://schemas.openxmlformats.org/drawingml/2006/main">
              <a:graphicData uri="http://schemas.openxmlformats.org/drawingml/2006/picture">
                <pic:pic xmlns:pic="http://schemas.openxmlformats.org/drawingml/2006/picture">
                  <pic:nvPicPr>
                    <pic:cNvPr id="16420" name="Picture 16420"/>
                    <pic:cNvPicPr/>
                  </pic:nvPicPr>
                  <pic:blipFill>
                    <a:blip r:embed="rId9"/>
                    <a:stretch>
                      <a:fillRect/>
                    </a:stretch>
                  </pic:blipFill>
                  <pic:spPr>
                    <a:xfrm>
                      <a:off x="0" y="0"/>
                      <a:ext cx="158496" cy="198120"/>
                    </a:xfrm>
                    <a:prstGeom prst="rect">
                      <a:avLst/>
                    </a:prstGeom>
                  </pic:spPr>
                </pic:pic>
              </a:graphicData>
            </a:graphic>
          </wp:inline>
        </w:drawing>
      </w:r>
      <w:r>
        <w:t xml:space="preserve">) to guarantee </w:t>
      </w:r>
      <w:r>
        <w:rPr>
          <w:i/>
        </w:rPr>
        <w:t>ε</w:t>
      </w:r>
      <w:r>
        <w:t>-DP.</w:t>
      </w:r>
    </w:p>
    <w:p w14:paraId="75BB844E" w14:textId="77777777" w:rsidR="003C4035" w:rsidRDefault="0005071D">
      <w:pPr>
        <w:spacing w:after="272" w:line="259" w:lineRule="auto"/>
        <w:ind w:left="1091" w:right="1081"/>
        <w:jc w:val="center"/>
      </w:pPr>
      <w:r>
        <w:t>M</w:t>
      </w:r>
      <w:r>
        <w:t>(</w:t>
      </w:r>
      <w:r>
        <w:rPr>
          <w:i/>
        </w:rPr>
        <w:t>D</w:t>
      </w:r>
      <w:r>
        <w:t xml:space="preserve">) = </w:t>
      </w:r>
      <w:r>
        <w:rPr>
          <w:i/>
        </w:rPr>
        <w:t>f</w:t>
      </w:r>
      <w:r>
        <w:t>(</w:t>
      </w:r>
      <w:r>
        <w:rPr>
          <w:i/>
        </w:rPr>
        <w:t>D</w:t>
      </w:r>
      <w:r>
        <w:t xml:space="preserve">) + </w:t>
      </w:r>
      <w:proofErr w:type="gramStart"/>
      <w:r>
        <w:t>Lap(</w:t>
      </w:r>
      <w:proofErr w:type="gramEnd"/>
      <w:r>
        <w:rPr>
          <w:noProof/>
        </w:rPr>
        <w:drawing>
          <wp:inline distT="0" distB="0" distL="0" distR="0" wp14:anchorId="4286EC4E" wp14:editId="4D244473">
            <wp:extent cx="277368" cy="323088"/>
            <wp:effectExtent l="0" t="0" r="0" b="0"/>
            <wp:docPr id="16421" name="Picture 16421"/>
            <wp:cNvGraphicFramePr/>
            <a:graphic xmlns:a="http://schemas.openxmlformats.org/drawingml/2006/main">
              <a:graphicData uri="http://schemas.openxmlformats.org/drawingml/2006/picture">
                <pic:pic xmlns:pic="http://schemas.openxmlformats.org/drawingml/2006/picture">
                  <pic:nvPicPr>
                    <pic:cNvPr id="16421" name="Picture 16421"/>
                    <pic:cNvPicPr/>
                  </pic:nvPicPr>
                  <pic:blipFill>
                    <a:blip r:embed="rId10"/>
                    <a:stretch>
                      <a:fillRect/>
                    </a:stretch>
                  </pic:blipFill>
                  <pic:spPr>
                    <a:xfrm>
                      <a:off x="0" y="0"/>
                      <a:ext cx="277368" cy="323088"/>
                    </a:xfrm>
                    <a:prstGeom prst="rect">
                      <a:avLst/>
                    </a:prstGeom>
                  </pic:spPr>
                </pic:pic>
              </a:graphicData>
            </a:graphic>
          </wp:inline>
        </w:drawing>
      </w:r>
      <w:r>
        <w:rPr>
          <w:i/>
        </w:rPr>
        <w:t>.</w:t>
      </w:r>
    </w:p>
    <w:p w14:paraId="35CF9DF2" w14:textId="77777777" w:rsidR="003C4035" w:rsidRDefault="0005071D">
      <w:pPr>
        <w:pStyle w:val="Heading3"/>
        <w:ind w:left="807" w:hanging="822"/>
      </w:pPr>
      <w:bookmarkStart w:id="13" w:name="_Toc16948"/>
      <w:r>
        <w:t>Image A</w:t>
      </w:r>
      <w:r>
        <w:t>nonymization</w:t>
      </w:r>
      <w:bookmarkEnd w:id="13"/>
    </w:p>
    <w:p w14:paraId="78EB1F42" w14:textId="77777777" w:rsidR="003C4035" w:rsidRDefault="0005071D">
      <w:pPr>
        <w:ind w:left="-5"/>
      </w:pPr>
      <w:r>
        <w:t xml:space="preserve">For medical images, we first remove explicit text and then apply DP. </w:t>
      </w:r>
      <w:r>
        <w:rPr>
          <w:b/>
        </w:rPr>
        <w:t>Procedure:</w:t>
      </w:r>
    </w:p>
    <w:p w14:paraId="6F1B18B7" w14:textId="77777777" w:rsidR="003C4035" w:rsidRDefault="0005071D">
      <w:pPr>
        <w:numPr>
          <w:ilvl w:val="0"/>
          <w:numId w:val="5"/>
        </w:numPr>
        <w:ind w:hanging="299"/>
      </w:pPr>
      <w:r>
        <w:t>Mask or remove explicit identifiers like patient stamps or text within the image.</w:t>
      </w:r>
    </w:p>
    <w:p w14:paraId="7D901A7D" w14:textId="77777777" w:rsidR="003C4035" w:rsidRDefault="0005071D">
      <w:pPr>
        <w:numPr>
          <w:ilvl w:val="0"/>
          <w:numId w:val="5"/>
        </w:numPr>
        <w:ind w:hanging="299"/>
      </w:pPr>
      <w:r>
        <w:t>Use a DP autoencoder, which learns a compressed representation of the image. Nois</w:t>
      </w:r>
      <w:r>
        <w:t>e is added to the latent space representation to enforce DP.</w:t>
      </w:r>
    </w:p>
    <w:p w14:paraId="1C5530E9" w14:textId="77777777" w:rsidR="003C4035" w:rsidRDefault="0005071D">
      <w:pPr>
        <w:numPr>
          <w:ilvl w:val="0"/>
          <w:numId w:val="5"/>
        </w:numPr>
        <w:spacing w:after="352"/>
        <w:ind w:hanging="299"/>
      </w:pPr>
      <w:r>
        <w:t xml:space="preserve">The autoencoder then reconstructs the image from the noisy latent vector, resulting in a slightly blurred or altered image. This process effectively enforces a form of </w:t>
      </w:r>
      <w:r>
        <w:rPr>
          <w:i/>
        </w:rPr>
        <w:t>t</w:t>
      </w:r>
      <w:r>
        <w:t>-closeness on the pixel in</w:t>
      </w:r>
      <w:r>
        <w:t>tensity distributions, providing a strong privacy guarantee.</w:t>
      </w:r>
    </w:p>
    <w:p w14:paraId="0B422C18" w14:textId="77777777" w:rsidR="003C4035" w:rsidRDefault="0005071D">
      <w:pPr>
        <w:pStyle w:val="Heading3"/>
        <w:spacing w:after="150"/>
        <w:ind w:left="807" w:hanging="822"/>
      </w:pPr>
      <w:bookmarkStart w:id="14" w:name="_Toc16949"/>
      <w:r>
        <w:t>Textual Data Anonymization</w:t>
      </w:r>
      <w:bookmarkEnd w:id="14"/>
    </w:p>
    <w:p w14:paraId="04A25935" w14:textId="77777777" w:rsidR="003C4035" w:rsidRDefault="0005071D">
      <w:pPr>
        <w:ind w:left="-5"/>
      </w:pPr>
      <w:r>
        <w:t xml:space="preserve">Textual data from prescriptions and clinical notes is handled with a combination of redaction and DP. </w:t>
      </w:r>
      <w:r>
        <w:rPr>
          <w:b/>
        </w:rPr>
        <w:t>Procedure:</w:t>
      </w:r>
    </w:p>
    <w:p w14:paraId="6344FA7A" w14:textId="77777777" w:rsidR="003C4035" w:rsidRDefault="0005071D">
      <w:pPr>
        <w:numPr>
          <w:ilvl w:val="0"/>
          <w:numId w:val="6"/>
        </w:numPr>
        <w:ind w:hanging="299"/>
      </w:pPr>
      <w:r>
        <w:t xml:space="preserve">Apply HIPAA Safe </w:t>
      </w:r>
      <w:proofErr w:type="spellStart"/>
      <w:r>
        <w:t>Harbor</w:t>
      </w:r>
      <w:proofErr w:type="spellEnd"/>
      <w:r>
        <w:t xml:space="preserve"> rules by identifying and redacting all PHI terms. This can be done using a dictionary of common names, dates, and locat</w:t>
      </w:r>
      <w:r>
        <w:t>ions, or more sophisticated NLP techniques.</w:t>
      </w:r>
    </w:p>
    <w:p w14:paraId="684A0B4F" w14:textId="77777777" w:rsidR="003C4035" w:rsidRDefault="0005071D">
      <w:pPr>
        <w:numPr>
          <w:ilvl w:val="0"/>
          <w:numId w:val="6"/>
        </w:numPr>
        <w:ind w:hanging="299"/>
      </w:pPr>
      <w:r>
        <w:t>The remaining text can be treated as categorical data. If a language model is trained on this data, we can use DP-SGD (Stochastic Gradient Descent) to guarantee privacy for the model updates, ensuring that the model does not memorize individual patient not</w:t>
      </w:r>
      <w:r>
        <w:t>es.</w:t>
      </w:r>
    </w:p>
    <w:p w14:paraId="7BA0D29A" w14:textId="77777777" w:rsidR="003C4035" w:rsidRDefault="0005071D">
      <w:pPr>
        <w:pStyle w:val="Heading1"/>
        <w:ind w:left="566" w:hanging="581"/>
      </w:pPr>
      <w:bookmarkStart w:id="15" w:name="_Toc16950"/>
      <w:r>
        <w:t>Mathematical Definitions</w:t>
      </w:r>
      <w:bookmarkEnd w:id="15"/>
    </w:p>
    <w:p w14:paraId="63BC5647" w14:textId="77777777" w:rsidR="003C4035" w:rsidRDefault="0005071D">
      <w:pPr>
        <w:spacing w:after="30"/>
        <w:ind w:left="-5"/>
      </w:pPr>
      <w:r>
        <w:t>To ensure the rigor of our framework, we formally define the key privacy models and utility metrics used.</w:t>
      </w:r>
    </w:p>
    <w:p w14:paraId="4B46D735" w14:textId="77777777" w:rsidR="003C4035" w:rsidRDefault="0005071D">
      <w:pPr>
        <w:spacing w:after="38"/>
        <w:ind w:left="-15" w:firstLine="351"/>
      </w:pPr>
      <w:r>
        <w:rPr>
          <w:b/>
        </w:rPr>
        <w:lastRenderedPageBreak/>
        <w:t>Definition 4 (</w:t>
      </w:r>
      <w:r>
        <w:rPr>
          <w:i/>
        </w:rPr>
        <w:t>k</w:t>
      </w:r>
      <w:r>
        <w:rPr>
          <w:b/>
        </w:rPr>
        <w:t xml:space="preserve">-Anonymity): </w:t>
      </w:r>
      <w:r>
        <w:t xml:space="preserve">A dataset </w:t>
      </w:r>
      <w:r>
        <w:rPr>
          <w:i/>
        </w:rPr>
        <w:t>D</w:t>
      </w:r>
      <w:r>
        <w:rPr>
          <w:vertAlign w:val="superscript"/>
        </w:rPr>
        <w:t>∗</w:t>
      </w:r>
      <w:r>
        <w:rPr>
          <w:vertAlign w:val="superscript"/>
        </w:rPr>
        <w:t xml:space="preserve"> </w:t>
      </w:r>
      <w:r>
        <w:t xml:space="preserve">satisfies </w:t>
      </w:r>
      <w:r>
        <w:rPr>
          <w:i/>
        </w:rPr>
        <w:t>k</w:t>
      </w:r>
      <w:r>
        <w:t xml:space="preserve">-anonymity if for any combination of values </w:t>
      </w:r>
      <w:r>
        <w:rPr>
          <w:i/>
        </w:rPr>
        <w:t xml:space="preserve">v </w:t>
      </w:r>
      <w:r>
        <w:t>in the quasi-identifier</w:t>
      </w:r>
      <w:r>
        <w:t xml:space="preserve"> (QI) attributes, the number of records in </w:t>
      </w:r>
      <w:r>
        <w:rPr>
          <w:i/>
        </w:rPr>
        <w:t>D</w:t>
      </w:r>
      <w:r>
        <w:rPr>
          <w:vertAlign w:val="superscript"/>
        </w:rPr>
        <w:t>∗</w:t>
      </w:r>
      <w:r>
        <w:rPr>
          <w:vertAlign w:val="superscript"/>
        </w:rPr>
        <w:t xml:space="preserve"> </w:t>
      </w:r>
      <w:r>
        <w:t xml:space="preserve">matching that combination is at least </w:t>
      </w:r>
      <w:r>
        <w:rPr>
          <w:i/>
        </w:rPr>
        <w:t>k</w:t>
      </w:r>
      <w:r>
        <w:t xml:space="preserve">. That is, </w:t>
      </w:r>
      <w:r>
        <w:t>∀</w:t>
      </w:r>
      <w:r>
        <w:rPr>
          <w:i/>
        </w:rPr>
        <w:t xml:space="preserve">v </w:t>
      </w:r>
      <w:r>
        <w:t xml:space="preserve">∈ </w:t>
      </w:r>
      <w:r>
        <w:rPr>
          <w:i/>
        </w:rPr>
        <w:t>π</w:t>
      </w:r>
      <w:r>
        <w:rPr>
          <w:i/>
          <w:vertAlign w:val="subscript"/>
        </w:rPr>
        <w:t>QI</w:t>
      </w:r>
      <w:r>
        <w:t>(</w:t>
      </w:r>
      <w:r>
        <w:rPr>
          <w:i/>
        </w:rPr>
        <w:t>D</w:t>
      </w:r>
      <w:r>
        <w:rPr>
          <w:vertAlign w:val="superscript"/>
        </w:rPr>
        <w:t>∗</w:t>
      </w:r>
      <w:r>
        <w:t xml:space="preserve">), </w:t>
      </w:r>
      <w:proofErr w:type="gramStart"/>
      <w:r>
        <w:t>|{</w:t>
      </w:r>
      <w:proofErr w:type="gramEnd"/>
      <w:r>
        <w:rPr>
          <w:i/>
        </w:rPr>
        <w:t xml:space="preserve">x </w:t>
      </w:r>
      <w:r>
        <w:t xml:space="preserve">∈ </w:t>
      </w:r>
      <w:r>
        <w:rPr>
          <w:i/>
        </w:rPr>
        <w:t>D</w:t>
      </w:r>
      <w:r>
        <w:rPr>
          <w:vertAlign w:val="superscript"/>
        </w:rPr>
        <w:t>∗</w:t>
      </w:r>
      <w:r>
        <w:rPr>
          <w:vertAlign w:val="superscript"/>
        </w:rPr>
        <w:t xml:space="preserve"> </w:t>
      </w:r>
      <w:r>
        <w:t xml:space="preserve">: </w:t>
      </w:r>
      <w:r>
        <w:rPr>
          <w:i/>
        </w:rPr>
        <w:t>π</w:t>
      </w:r>
      <w:r>
        <w:rPr>
          <w:i/>
          <w:vertAlign w:val="subscript"/>
        </w:rPr>
        <w:t>QI</w:t>
      </w:r>
      <w:r>
        <w:t>(</w:t>
      </w:r>
      <w:r>
        <w:rPr>
          <w:i/>
        </w:rPr>
        <w:t>x</w:t>
      </w:r>
      <w:r>
        <w:t xml:space="preserve">) = </w:t>
      </w:r>
      <w:r>
        <w:rPr>
          <w:i/>
        </w:rPr>
        <w:t>v</w:t>
      </w:r>
      <w:r>
        <w:t xml:space="preserve">}| ≥ </w:t>
      </w:r>
      <w:r>
        <w:rPr>
          <w:i/>
        </w:rPr>
        <w:t>k</w:t>
      </w:r>
      <w:r>
        <w:t>.</w:t>
      </w:r>
    </w:p>
    <w:p w14:paraId="77BAD7EE" w14:textId="77777777" w:rsidR="003C4035" w:rsidRDefault="0005071D">
      <w:pPr>
        <w:spacing w:after="30"/>
        <w:ind w:left="-15" w:firstLine="351"/>
      </w:pPr>
      <w:r>
        <w:rPr>
          <w:b/>
        </w:rPr>
        <w:t>Definition 5 (</w:t>
      </w:r>
      <w:r>
        <w:rPr>
          <w:i/>
        </w:rPr>
        <w:t>ℓ</w:t>
      </w:r>
      <w:r>
        <w:rPr>
          <w:b/>
        </w:rPr>
        <w:t xml:space="preserve">-Diversity): </w:t>
      </w:r>
      <w:r>
        <w:t xml:space="preserve">Given a </w:t>
      </w:r>
      <w:r>
        <w:rPr>
          <w:i/>
        </w:rPr>
        <w:t>k</w:t>
      </w:r>
      <w:r>
        <w:t xml:space="preserve">-anonymous dataset </w:t>
      </w:r>
      <w:r>
        <w:rPr>
          <w:i/>
        </w:rPr>
        <w:t>D</w:t>
      </w:r>
      <w:r>
        <w:rPr>
          <w:vertAlign w:val="superscript"/>
        </w:rPr>
        <w:t>∗</w:t>
      </w:r>
      <w:r>
        <w:rPr>
          <w:vertAlign w:val="superscript"/>
        </w:rPr>
        <w:t xml:space="preserve"> </w:t>
      </w:r>
      <w:r>
        <w:t xml:space="preserve">and an equivalence class </w:t>
      </w:r>
      <w:r>
        <w:rPr>
          <w:i/>
        </w:rPr>
        <w:t xml:space="preserve">C </w:t>
      </w:r>
      <w:r>
        <w:t xml:space="preserve">⊂ </w:t>
      </w:r>
      <w:r>
        <w:rPr>
          <w:i/>
        </w:rPr>
        <w:t>D</w:t>
      </w:r>
      <w:r>
        <w:rPr>
          <w:vertAlign w:val="superscript"/>
        </w:rPr>
        <w:t>∗</w:t>
      </w:r>
      <w:r>
        <w:rPr>
          <w:vertAlign w:val="superscript"/>
        </w:rPr>
        <w:t xml:space="preserve"> </w:t>
      </w:r>
      <w:r>
        <w:t xml:space="preserve">(where </w:t>
      </w:r>
      <w:r>
        <w:t>|</w:t>
      </w:r>
      <w:r>
        <w:rPr>
          <w:i/>
        </w:rPr>
        <w:t>C</w:t>
      </w:r>
      <w:r>
        <w:t xml:space="preserve">| ≥ </w:t>
      </w:r>
      <w:r>
        <w:rPr>
          <w:i/>
        </w:rPr>
        <w:t>k</w:t>
      </w:r>
      <w:r>
        <w:t xml:space="preserve">), let </w:t>
      </w:r>
      <w:r>
        <w:rPr>
          <w:i/>
        </w:rPr>
        <w:t>S</w:t>
      </w:r>
      <w:r>
        <w:t>(</w:t>
      </w:r>
      <w:r>
        <w:rPr>
          <w:i/>
        </w:rPr>
        <w:t>C</w:t>
      </w:r>
      <w:r>
        <w:t xml:space="preserve">) </w:t>
      </w:r>
      <w:r>
        <w:t xml:space="preserve">be the multiset of sensitive values for a given sensitive attribute </w:t>
      </w:r>
      <w:r>
        <w:rPr>
          <w:i/>
        </w:rPr>
        <w:t>S</w:t>
      </w:r>
      <w:r>
        <w:t xml:space="preserve">. </w:t>
      </w:r>
      <w:r>
        <w:rPr>
          <w:i/>
        </w:rPr>
        <w:t xml:space="preserve">C </w:t>
      </w:r>
      <w:r>
        <w:t xml:space="preserve">is </w:t>
      </w:r>
      <w:r>
        <w:rPr>
          <w:i/>
        </w:rPr>
        <w:t>ℓ</w:t>
      </w:r>
      <w:r>
        <w:t xml:space="preserve">-diverse if the number of distinct values in </w:t>
      </w:r>
      <w:r>
        <w:rPr>
          <w:i/>
        </w:rPr>
        <w:t>S</w:t>
      </w:r>
      <w:r>
        <w:t>(</w:t>
      </w:r>
      <w:r>
        <w:rPr>
          <w:i/>
        </w:rPr>
        <w:t>C</w:t>
      </w:r>
      <w:r>
        <w:t xml:space="preserve">) is at least </w:t>
      </w:r>
      <w:r>
        <w:rPr>
          <w:i/>
        </w:rPr>
        <w:t>ℓ</w:t>
      </w:r>
      <w:r>
        <w:t xml:space="preserve">. Formally, </w:t>
      </w:r>
      <w:r>
        <w:t>|</w:t>
      </w:r>
      <w:r>
        <w:t>distinct(</w:t>
      </w:r>
      <w:r>
        <w:rPr>
          <w:i/>
        </w:rPr>
        <w:t>S</w:t>
      </w:r>
      <w:r>
        <w:t>(</w:t>
      </w:r>
      <w:r>
        <w:rPr>
          <w:i/>
        </w:rPr>
        <w:t>C</w:t>
      </w:r>
      <w:proofErr w:type="gramStart"/>
      <w:r>
        <w:t>))</w:t>
      </w:r>
      <w:r>
        <w:t>|</w:t>
      </w:r>
      <w:proofErr w:type="gramEnd"/>
      <w:r>
        <w:t xml:space="preserve"> ≥ </w:t>
      </w:r>
      <w:r>
        <w:rPr>
          <w:i/>
        </w:rPr>
        <w:t>ℓ</w:t>
      </w:r>
      <w:r>
        <w:t xml:space="preserve">. The dataset </w:t>
      </w:r>
      <w:r>
        <w:rPr>
          <w:i/>
        </w:rPr>
        <w:t>D</w:t>
      </w:r>
      <w:r>
        <w:rPr>
          <w:vertAlign w:val="superscript"/>
        </w:rPr>
        <w:t>∗</w:t>
      </w:r>
      <w:r>
        <w:rPr>
          <w:vertAlign w:val="superscript"/>
        </w:rPr>
        <w:t xml:space="preserve"> </w:t>
      </w:r>
      <w:r>
        <w:t xml:space="preserve">is </w:t>
      </w:r>
      <w:r>
        <w:rPr>
          <w:i/>
        </w:rPr>
        <w:t>ℓ</w:t>
      </w:r>
      <w:r>
        <w:t>-diverse if all its equivalence classes are.</w:t>
      </w:r>
    </w:p>
    <w:p w14:paraId="55FAB0D5" w14:textId="77777777" w:rsidR="003C4035" w:rsidRDefault="0005071D">
      <w:pPr>
        <w:spacing w:after="31"/>
        <w:ind w:left="-15" w:firstLine="351"/>
      </w:pPr>
      <w:r>
        <w:rPr>
          <w:b/>
        </w:rPr>
        <w:t xml:space="preserve">Definition 6 (Differential Privacy): </w:t>
      </w:r>
      <w:r>
        <w:t xml:space="preserve">A randomized mechanism </w:t>
      </w:r>
      <w:proofErr w:type="gramStart"/>
      <w:r>
        <w:t xml:space="preserve">M </w:t>
      </w:r>
      <w:r>
        <w:t>:</w:t>
      </w:r>
      <w:proofErr w:type="gramEnd"/>
      <w:r>
        <w:t xml:space="preserve"> </w:t>
      </w:r>
      <w:r>
        <w:t xml:space="preserve">D → R </w:t>
      </w:r>
      <w:r>
        <w:t>is (</w:t>
      </w:r>
      <w:proofErr w:type="spellStart"/>
      <w:r>
        <w:rPr>
          <w:i/>
        </w:rPr>
        <w:t>ε,δ</w:t>
      </w:r>
      <w:proofErr w:type="spellEnd"/>
      <w:r>
        <w:t xml:space="preserve">)-differentially private if for all pairs of adjacent datasets </w:t>
      </w:r>
      <w:r>
        <w:rPr>
          <w:i/>
        </w:rPr>
        <w:t>D,D</w:t>
      </w:r>
      <w:r>
        <w:rPr>
          <w:vertAlign w:val="superscript"/>
        </w:rPr>
        <w:t xml:space="preserve">′ </w:t>
      </w:r>
      <w:r>
        <w:t xml:space="preserve">∈ D </w:t>
      </w:r>
      <w:r>
        <w:t>(that differ by one record) and for all measurable sets of out</w:t>
      </w:r>
      <w:r>
        <w:t xml:space="preserve">comes </w:t>
      </w:r>
      <w:r>
        <w:rPr>
          <w:i/>
        </w:rPr>
        <w:t xml:space="preserve">S </w:t>
      </w:r>
      <w:r>
        <w:t xml:space="preserve">⊆ </w:t>
      </w:r>
      <w:r>
        <w:t>Range(</w:t>
      </w:r>
      <w:r>
        <w:t>M</w:t>
      </w:r>
      <w:r>
        <w:t>), the following inequality holds:</w:t>
      </w:r>
    </w:p>
    <w:p w14:paraId="0D5EC076" w14:textId="77777777" w:rsidR="003C4035" w:rsidRDefault="0005071D">
      <w:pPr>
        <w:spacing w:after="169" w:line="259" w:lineRule="auto"/>
        <w:ind w:left="1091" w:right="1081"/>
        <w:jc w:val="center"/>
      </w:pPr>
      <w:proofErr w:type="spellStart"/>
      <w:r>
        <w:t>Pr</w:t>
      </w:r>
      <w:proofErr w:type="spellEnd"/>
      <w:r>
        <w:t>[</w:t>
      </w:r>
      <w:r>
        <w:t>M</w:t>
      </w:r>
      <w:r>
        <w:t>(</w:t>
      </w:r>
      <w:r>
        <w:rPr>
          <w:i/>
        </w:rPr>
        <w:t>D</w:t>
      </w:r>
      <w:r>
        <w:t xml:space="preserve">) </w:t>
      </w:r>
      <w:r>
        <w:t xml:space="preserve">∈ </w:t>
      </w:r>
      <w:r>
        <w:rPr>
          <w:i/>
        </w:rPr>
        <w:t>S</w:t>
      </w:r>
      <w:r>
        <w:t xml:space="preserve">] </w:t>
      </w:r>
      <w:r>
        <w:t xml:space="preserve">≤ </w:t>
      </w:r>
      <w:proofErr w:type="spellStart"/>
      <w:r>
        <w:rPr>
          <w:i/>
        </w:rPr>
        <w:t>e</w:t>
      </w:r>
      <w:r>
        <w:rPr>
          <w:i/>
          <w:vertAlign w:val="superscript"/>
        </w:rPr>
        <w:t>ε</w:t>
      </w:r>
      <w:proofErr w:type="spellEnd"/>
      <w:r>
        <w:rPr>
          <w:i/>
          <w:vertAlign w:val="superscript"/>
        </w:rPr>
        <w:t xml:space="preserve"> </w:t>
      </w:r>
      <w:proofErr w:type="spellStart"/>
      <w:r>
        <w:t>Pr</w:t>
      </w:r>
      <w:proofErr w:type="spellEnd"/>
      <w:r>
        <w:t>[</w:t>
      </w:r>
      <w:r>
        <w:t>M</w:t>
      </w:r>
      <w:r>
        <w:t>(</w:t>
      </w:r>
      <w:r>
        <w:rPr>
          <w:i/>
        </w:rPr>
        <w:t>D</w:t>
      </w:r>
      <w:r>
        <w:rPr>
          <w:vertAlign w:val="superscript"/>
        </w:rPr>
        <w:t>′</w:t>
      </w:r>
      <w:r>
        <w:t xml:space="preserve">) </w:t>
      </w:r>
      <w:r>
        <w:t xml:space="preserve">∈ </w:t>
      </w:r>
      <w:r>
        <w:rPr>
          <w:i/>
        </w:rPr>
        <w:t>S</w:t>
      </w:r>
      <w:r>
        <w:t xml:space="preserve">] + </w:t>
      </w:r>
      <w:r>
        <w:rPr>
          <w:i/>
        </w:rPr>
        <w:t>δ.</w:t>
      </w:r>
    </w:p>
    <w:p w14:paraId="070A239F" w14:textId="77777777" w:rsidR="003C4035" w:rsidRDefault="0005071D">
      <w:pPr>
        <w:spacing w:after="247"/>
        <w:ind w:left="-5"/>
      </w:pPr>
      <w:r>
        <w:t xml:space="preserve">In the more common </w:t>
      </w:r>
      <w:r>
        <w:rPr>
          <w:i/>
        </w:rPr>
        <w:t>ε</w:t>
      </w:r>
      <w:r>
        <w:t xml:space="preserve">-DP regime, where </w:t>
      </w:r>
      <w:r>
        <w:rPr>
          <w:i/>
        </w:rPr>
        <w:t xml:space="preserve">δ </w:t>
      </w:r>
      <w:r>
        <w:t>= 0, this bound ensures that an adversary’s confidence in identifying an individual cannot significantly increase regardless of</w:t>
      </w:r>
      <w:r>
        <w:t xml:space="preserve"> side information. The composition property of DP is crucial for our multi-layered approach, as the total privacy budget for a series of mechanisms </w:t>
      </w:r>
      <w:r>
        <w:t>M</w:t>
      </w:r>
      <w:proofErr w:type="gramStart"/>
      <w:r>
        <w:rPr>
          <w:vertAlign w:val="subscript"/>
        </w:rPr>
        <w:t>1</w:t>
      </w:r>
      <w:r>
        <w:rPr>
          <w:i/>
        </w:rPr>
        <w:t>,...</w:t>
      </w:r>
      <w:proofErr w:type="gramEnd"/>
      <w:r>
        <w:rPr>
          <w:i/>
        </w:rPr>
        <w:t>,</w:t>
      </w:r>
      <w:r>
        <w:t>M</w:t>
      </w:r>
      <w:r>
        <w:rPr>
          <w:i/>
          <w:vertAlign w:val="subscript"/>
        </w:rPr>
        <w:t xml:space="preserve">m </w:t>
      </w:r>
      <w:r>
        <w:t>is (</w:t>
      </w:r>
      <w:r>
        <w:rPr>
          <w:sz w:val="37"/>
          <w:vertAlign w:val="superscript"/>
        </w:rPr>
        <w:t>P</w:t>
      </w:r>
      <w:r>
        <w:rPr>
          <w:i/>
          <w:vertAlign w:val="subscript"/>
        </w:rPr>
        <w:t xml:space="preserve">i </w:t>
      </w:r>
      <w:proofErr w:type="spellStart"/>
      <w:r>
        <w:rPr>
          <w:i/>
        </w:rPr>
        <w:t>ε</w:t>
      </w:r>
      <w:r>
        <w:rPr>
          <w:i/>
          <w:vertAlign w:val="subscript"/>
        </w:rPr>
        <w:t>i</w:t>
      </w:r>
      <w:r>
        <w:rPr>
          <w:i/>
        </w:rPr>
        <w:t>,</w:t>
      </w:r>
      <w:r>
        <w:rPr>
          <w:sz w:val="37"/>
          <w:vertAlign w:val="superscript"/>
        </w:rPr>
        <w:t>P</w:t>
      </w:r>
      <w:r>
        <w:rPr>
          <w:i/>
          <w:vertAlign w:val="subscript"/>
        </w:rPr>
        <w:t>i</w:t>
      </w:r>
      <w:proofErr w:type="spellEnd"/>
      <w:r>
        <w:rPr>
          <w:i/>
          <w:vertAlign w:val="subscript"/>
        </w:rPr>
        <w:t xml:space="preserve"> </w:t>
      </w:r>
      <w:proofErr w:type="spellStart"/>
      <w:r>
        <w:rPr>
          <w:i/>
        </w:rPr>
        <w:t>δ</w:t>
      </w:r>
      <w:r>
        <w:rPr>
          <w:i/>
          <w:vertAlign w:val="subscript"/>
        </w:rPr>
        <w:t>i</w:t>
      </w:r>
      <w:proofErr w:type="spellEnd"/>
      <w:r>
        <w:t xml:space="preserve">)-DP. </w:t>
      </w:r>
      <w:r>
        <w:rPr>
          <w:b/>
        </w:rPr>
        <w:t>Utility Metrics:</w:t>
      </w:r>
    </w:p>
    <w:p w14:paraId="2B053972" w14:textId="77777777" w:rsidR="003C4035" w:rsidRDefault="0005071D">
      <w:pPr>
        <w:numPr>
          <w:ilvl w:val="0"/>
          <w:numId w:val="7"/>
        </w:numPr>
        <w:ind w:hanging="234"/>
      </w:pPr>
      <w:r>
        <w:rPr>
          <w:b/>
        </w:rPr>
        <w:t xml:space="preserve">F1-score: </w:t>
      </w:r>
      <w:r>
        <w:t>Used for evaluating classification models on anonymized data.</w:t>
      </w:r>
    </w:p>
    <w:p w14:paraId="0279841D" w14:textId="77777777" w:rsidR="003C4035" w:rsidRDefault="0005071D">
      <w:pPr>
        <w:spacing w:after="3" w:line="259" w:lineRule="auto"/>
        <w:ind w:left="1091"/>
        <w:jc w:val="center"/>
      </w:pPr>
      <w:r>
        <w:t xml:space="preserve">2 </w:t>
      </w:r>
      <w:r>
        <w:t xml:space="preserve">· </w:t>
      </w:r>
      <w:r>
        <w:t xml:space="preserve">Precision </w:t>
      </w:r>
      <w:r>
        <w:t xml:space="preserve">· </w:t>
      </w:r>
      <w:r>
        <w:t>Recall</w:t>
      </w:r>
    </w:p>
    <w:p w14:paraId="0ACDFAC5" w14:textId="77777777" w:rsidR="003C4035" w:rsidRDefault="0005071D">
      <w:pPr>
        <w:tabs>
          <w:tab w:val="center" w:pos="3707"/>
          <w:tab w:val="center" w:pos="5098"/>
        </w:tabs>
        <w:spacing w:after="0" w:line="259" w:lineRule="auto"/>
        <w:ind w:left="0" w:firstLine="0"/>
        <w:jc w:val="left"/>
      </w:pPr>
      <w:r>
        <w:rPr>
          <w:rFonts w:ascii="Calibri" w:eastAsia="Calibri" w:hAnsi="Calibri" w:cs="Calibri"/>
          <w:sz w:val="22"/>
        </w:rPr>
        <w:tab/>
      </w:r>
      <w:r>
        <w:rPr>
          <w:i/>
        </w:rPr>
        <w:t>F</w:t>
      </w:r>
      <w:r>
        <w:rPr>
          <w:vertAlign w:val="subscript"/>
        </w:rPr>
        <w:t xml:space="preserve">1 </w:t>
      </w:r>
      <w:r>
        <w:t>=</w:t>
      </w:r>
      <w:r>
        <w:tab/>
      </w:r>
      <w:r>
        <w:rPr>
          <w:rFonts w:ascii="Calibri" w:eastAsia="Calibri" w:hAnsi="Calibri" w:cs="Calibri"/>
          <w:noProof/>
          <w:sz w:val="22"/>
        </w:rPr>
        <mc:AlternateContent>
          <mc:Choice Requires="wpg">
            <w:drawing>
              <wp:inline distT="0" distB="0" distL="0" distR="0" wp14:anchorId="0362E0FF" wp14:editId="035E5BBA">
                <wp:extent cx="1281392" cy="6071"/>
                <wp:effectExtent l="0" t="0" r="0" b="0"/>
                <wp:docPr id="15465" name="Group 15465"/>
                <wp:cNvGraphicFramePr/>
                <a:graphic xmlns:a="http://schemas.openxmlformats.org/drawingml/2006/main">
                  <a:graphicData uri="http://schemas.microsoft.com/office/word/2010/wordprocessingGroup">
                    <wpg:wgp>
                      <wpg:cNvGrpSpPr/>
                      <wpg:grpSpPr>
                        <a:xfrm>
                          <a:off x="0" y="0"/>
                          <a:ext cx="1281392" cy="6071"/>
                          <a:chOff x="0" y="0"/>
                          <a:chExt cx="1281392" cy="6071"/>
                        </a:xfrm>
                      </wpg:grpSpPr>
                      <wps:wsp>
                        <wps:cNvPr id="1123" name="Shape 1123"/>
                        <wps:cNvSpPr/>
                        <wps:spPr>
                          <a:xfrm>
                            <a:off x="0" y="0"/>
                            <a:ext cx="1281392" cy="0"/>
                          </a:xfrm>
                          <a:custGeom>
                            <a:avLst/>
                            <a:gdLst/>
                            <a:ahLst/>
                            <a:cxnLst/>
                            <a:rect l="0" t="0" r="0" b="0"/>
                            <a:pathLst>
                              <a:path w="1281392">
                                <a:moveTo>
                                  <a:pt x="0" y="0"/>
                                </a:moveTo>
                                <a:lnTo>
                                  <a:pt x="128139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5" style="width:100.897pt;height:0.478pt;mso-position-horizontal-relative:char;mso-position-vertical-relative:line" coordsize="12813,60">
                <v:shape id="Shape 1123" style="position:absolute;width:12813;height:0;left:0;top:0;" coordsize="1281392,0" path="m0,0l1281392,0">
                  <v:stroke weight="0.478pt" endcap="flat" joinstyle="miter" miterlimit="10" on="true" color="#000000"/>
                  <v:fill on="false" color="#000000" opacity="0"/>
                </v:shape>
              </v:group>
            </w:pict>
          </mc:Fallback>
        </mc:AlternateContent>
      </w:r>
      <w:r>
        <w:rPr>
          <w:i/>
        </w:rPr>
        <w:t>.</w:t>
      </w:r>
    </w:p>
    <w:p w14:paraId="1B1A0DD2" w14:textId="77777777" w:rsidR="003C4035" w:rsidRDefault="0005071D">
      <w:pPr>
        <w:spacing w:after="297" w:line="259" w:lineRule="auto"/>
        <w:ind w:left="1091"/>
        <w:jc w:val="center"/>
      </w:pPr>
      <w:r>
        <w:t>Precision + Recall</w:t>
      </w:r>
    </w:p>
    <w:p w14:paraId="5190E8E0" w14:textId="77777777" w:rsidR="003C4035" w:rsidRDefault="0005071D">
      <w:pPr>
        <w:numPr>
          <w:ilvl w:val="0"/>
          <w:numId w:val="7"/>
        </w:numPr>
        <w:spacing w:after="245"/>
        <w:ind w:hanging="234"/>
      </w:pPr>
      <w:r>
        <w:rPr>
          <w:b/>
        </w:rPr>
        <w:t xml:space="preserve">SSIM: </w:t>
      </w:r>
      <w:r>
        <w:t>The Structural Similarity Index, which measures the perceived quality degradation due to anonymization. Values range from 0 to 1, with 1 being a perfect match.</w:t>
      </w:r>
    </w:p>
    <w:p w14:paraId="3F42C1CA" w14:textId="77777777" w:rsidR="003C4035" w:rsidRDefault="0005071D">
      <w:pPr>
        <w:numPr>
          <w:ilvl w:val="0"/>
          <w:numId w:val="7"/>
        </w:numPr>
        <w:spacing w:after="15"/>
        <w:ind w:hanging="234"/>
      </w:pPr>
      <w:r>
        <w:rPr>
          <w:b/>
        </w:rPr>
        <w:t xml:space="preserve">PSNR: </w:t>
      </w:r>
      <w:r>
        <w:t>Peak Signal-to-Noise Ratio, used for image quality. It is defined in decibels (dB) as:</w:t>
      </w:r>
    </w:p>
    <w:p w14:paraId="7F112D75" w14:textId="77777777" w:rsidR="003C4035" w:rsidRDefault="0005071D">
      <w:pPr>
        <w:tabs>
          <w:tab w:val="center" w:pos="4755"/>
          <w:tab w:val="center" w:pos="6229"/>
        </w:tabs>
        <w:spacing w:after="36" w:line="259" w:lineRule="auto"/>
        <w:ind w:left="0" w:firstLine="0"/>
        <w:jc w:val="left"/>
      </w:pPr>
      <w:r>
        <w:rPr>
          <w:rFonts w:ascii="Calibri" w:eastAsia="Calibri" w:hAnsi="Calibri" w:cs="Calibri"/>
          <w:sz w:val="22"/>
        </w:rPr>
        <w:tab/>
      </w:r>
      <w:r>
        <w:t>PS</w:t>
      </w:r>
      <w:r>
        <w:t>NR = 10log</w:t>
      </w:r>
      <w:r>
        <w:rPr>
          <w:noProof/>
        </w:rPr>
        <w:drawing>
          <wp:inline distT="0" distB="0" distL="0" distR="0" wp14:anchorId="55F18DD0" wp14:editId="2EDA5AF3">
            <wp:extent cx="774192" cy="384048"/>
            <wp:effectExtent l="0" t="0" r="0" b="0"/>
            <wp:docPr id="16422" name="Picture 16422"/>
            <wp:cNvGraphicFramePr/>
            <a:graphic xmlns:a="http://schemas.openxmlformats.org/drawingml/2006/main">
              <a:graphicData uri="http://schemas.openxmlformats.org/drawingml/2006/picture">
                <pic:pic xmlns:pic="http://schemas.openxmlformats.org/drawingml/2006/picture">
                  <pic:nvPicPr>
                    <pic:cNvPr id="16422" name="Picture 16422"/>
                    <pic:cNvPicPr/>
                  </pic:nvPicPr>
                  <pic:blipFill>
                    <a:blip r:embed="rId11"/>
                    <a:stretch>
                      <a:fillRect/>
                    </a:stretch>
                  </pic:blipFill>
                  <pic:spPr>
                    <a:xfrm>
                      <a:off x="0" y="0"/>
                      <a:ext cx="774192" cy="384048"/>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09DFF5D2" wp14:editId="6FE62F16">
                <wp:extent cx="419214" cy="6071"/>
                <wp:effectExtent l="0" t="0" r="0" b="0"/>
                <wp:docPr id="15466" name="Group 15466"/>
                <wp:cNvGraphicFramePr/>
                <a:graphic xmlns:a="http://schemas.openxmlformats.org/drawingml/2006/main">
                  <a:graphicData uri="http://schemas.microsoft.com/office/word/2010/wordprocessingGroup">
                    <wpg:wgp>
                      <wpg:cNvGrpSpPr/>
                      <wpg:grpSpPr>
                        <a:xfrm>
                          <a:off x="0" y="0"/>
                          <a:ext cx="419214" cy="6071"/>
                          <a:chOff x="0" y="0"/>
                          <a:chExt cx="419214" cy="6071"/>
                        </a:xfrm>
                      </wpg:grpSpPr>
                      <wps:wsp>
                        <wps:cNvPr id="1140" name="Shape 1140"/>
                        <wps:cNvSpPr/>
                        <wps:spPr>
                          <a:xfrm>
                            <a:off x="0" y="0"/>
                            <a:ext cx="419214" cy="0"/>
                          </a:xfrm>
                          <a:custGeom>
                            <a:avLst/>
                            <a:gdLst/>
                            <a:ahLst/>
                            <a:cxnLst/>
                            <a:rect l="0" t="0" r="0" b="0"/>
                            <a:pathLst>
                              <a:path w="419214">
                                <a:moveTo>
                                  <a:pt x="0" y="0"/>
                                </a:moveTo>
                                <a:lnTo>
                                  <a:pt x="41921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6" style="width:33.009pt;height:0.478pt;mso-position-horizontal-relative:char;mso-position-vertical-relative:line" coordsize="4192,60">
                <v:shape id="Shape 1140" style="position:absolute;width:4192;height:0;left:0;top:0;" coordsize="419214,0" path="m0,0l419214,0">
                  <v:stroke weight="0.478pt" endcap="flat" joinstyle="miter" miterlimit="10" on="true" color="#000000"/>
                  <v:fill on="false" color="#000000" opacity="0"/>
                </v:shape>
              </v:group>
            </w:pict>
          </mc:Fallback>
        </mc:AlternateContent>
      </w:r>
      <w:r>
        <w:rPr>
          <w:i/>
        </w:rPr>
        <w:tab/>
        <w:t>,</w:t>
      </w:r>
    </w:p>
    <w:p w14:paraId="5109E1DB" w14:textId="77777777" w:rsidR="003C4035" w:rsidRDefault="0005071D">
      <w:pPr>
        <w:ind w:left="595"/>
      </w:pPr>
      <w:r>
        <w:t>where MAX is the maximum possible pixel value, and MSE is the Mean Squared Error. PSNR values above 30 dB are generally considered acceptable for image quality, although clinical standards may be higher.</w:t>
      </w:r>
    </w:p>
    <w:p w14:paraId="032A6E3F" w14:textId="77777777" w:rsidR="003C4035" w:rsidRDefault="0005071D">
      <w:pPr>
        <w:pStyle w:val="Heading1"/>
        <w:ind w:left="566" w:hanging="581"/>
      </w:pPr>
      <w:bookmarkStart w:id="16" w:name="_Toc16951"/>
      <w:r>
        <w:t>Calculations and Observations</w:t>
      </w:r>
      <w:bookmarkEnd w:id="16"/>
    </w:p>
    <w:p w14:paraId="0DD418A4" w14:textId="77777777" w:rsidR="003C4035" w:rsidRDefault="0005071D">
      <w:pPr>
        <w:spacing w:after="429"/>
        <w:ind w:left="-5"/>
      </w:pPr>
      <w:r>
        <w:t>To vali</w:t>
      </w:r>
      <w:r>
        <w:t xml:space="preserve">date our framework, we conducted a series of empirical studies on synthetic and real-world-like medical data. We </w:t>
      </w:r>
      <w:proofErr w:type="spellStart"/>
      <w:r>
        <w:t>analyzed</w:t>
      </w:r>
      <w:proofErr w:type="spellEnd"/>
      <w:r>
        <w:t xml:space="preserve"> the privacy-utility trade-off across different modalities and privacy parameters.</w:t>
      </w:r>
    </w:p>
    <w:p w14:paraId="1CC21670" w14:textId="77777777" w:rsidR="003C4035" w:rsidRDefault="0005071D">
      <w:pPr>
        <w:pStyle w:val="Heading2"/>
        <w:ind w:left="720" w:hanging="735"/>
      </w:pPr>
      <w:bookmarkStart w:id="17" w:name="_Toc16952"/>
      <w:r>
        <w:t xml:space="preserve">Classification F1 vs. </w:t>
      </w:r>
      <w:r>
        <w:rPr>
          <w:b w:val="0"/>
          <w:i/>
        </w:rPr>
        <w:t xml:space="preserve">ε </w:t>
      </w:r>
      <w:r>
        <w:t xml:space="preserve">and </w:t>
      </w:r>
      <w:r>
        <w:rPr>
          <w:b w:val="0"/>
          <w:i/>
        </w:rPr>
        <w:t>k</w:t>
      </w:r>
      <w:bookmarkEnd w:id="17"/>
    </w:p>
    <w:p w14:paraId="5CE37C69" w14:textId="77777777" w:rsidR="003C4035" w:rsidRDefault="0005071D">
      <w:pPr>
        <w:spacing w:after="353"/>
        <w:ind w:left="-5"/>
      </w:pPr>
      <w:r>
        <w:t>We used a synthetic EHR dataset with 10,000 patient records to predict a binary disease outcome.</w:t>
      </w:r>
    </w:p>
    <w:p w14:paraId="1E28AB0D" w14:textId="77777777" w:rsidR="003C4035" w:rsidRDefault="0005071D">
      <w:pPr>
        <w:pStyle w:val="Heading3"/>
        <w:ind w:left="807" w:hanging="822"/>
      </w:pPr>
      <w:bookmarkStart w:id="18" w:name="_Toc16953"/>
      <w:r>
        <w:lastRenderedPageBreak/>
        <w:t>Effect of Differential Privacy</w:t>
      </w:r>
      <w:bookmarkEnd w:id="18"/>
    </w:p>
    <w:p w14:paraId="1936E293" w14:textId="77777777" w:rsidR="003C4035" w:rsidRDefault="0005071D">
      <w:pPr>
        <w:spacing w:after="255"/>
        <w:ind w:left="-5"/>
      </w:pPr>
      <w:r>
        <w:t xml:space="preserve">We first applied </w:t>
      </w:r>
      <w:r>
        <w:rPr>
          <w:i/>
        </w:rPr>
        <w:t>k</w:t>
      </w:r>
      <w:r>
        <w:t xml:space="preserve">-anonymity with </w:t>
      </w:r>
      <w:r>
        <w:rPr>
          <w:i/>
        </w:rPr>
        <w:t xml:space="preserve">k </w:t>
      </w:r>
      <w:r>
        <w:t xml:space="preserve">= 5 and </w:t>
      </w:r>
      <w:r>
        <w:rPr>
          <w:i/>
        </w:rPr>
        <w:t xml:space="preserve">ℓ </w:t>
      </w:r>
      <w:r>
        <w:t>= 2 and then applied DP noise to the query results of a logistic regression classi</w:t>
      </w:r>
      <w:r>
        <w:t xml:space="preserve">fier. We observed the F1-score as we varied the privacy budget </w:t>
      </w:r>
      <w:r>
        <w:rPr>
          <w:i/>
        </w:rPr>
        <w:t>ε</w:t>
      </w:r>
      <w:r>
        <w:t>.</w:t>
      </w:r>
    </w:p>
    <w:p w14:paraId="699ED480" w14:textId="77777777" w:rsidR="003C4035" w:rsidRDefault="0005071D">
      <w:pPr>
        <w:numPr>
          <w:ilvl w:val="0"/>
          <w:numId w:val="8"/>
        </w:numPr>
        <w:spacing w:after="243"/>
        <w:ind w:hanging="234"/>
      </w:pPr>
      <w:r>
        <w:t>At a very weak privacy budget (</w:t>
      </w:r>
      <w:r>
        <w:rPr>
          <w:i/>
        </w:rPr>
        <w:t xml:space="preserve">ε </w:t>
      </w:r>
      <w:r>
        <w:t>→ ∞</w:t>
      </w:r>
      <w:r>
        <w:t>, effectively no DP noise), the model achieved an F1-score of approximately 0</w:t>
      </w:r>
      <w:r>
        <w:rPr>
          <w:i/>
        </w:rPr>
        <w:t>.</w:t>
      </w:r>
      <w:r>
        <w:t>85.</w:t>
      </w:r>
    </w:p>
    <w:p w14:paraId="0D4B2E0F" w14:textId="77777777" w:rsidR="003C4035" w:rsidRDefault="0005071D">
      <w:pPr>
        <w:numPr>
          <w:ilvl w:val="0"/>
          <w:numId w:val="8"/>
        </w:numPr>
        <w:spacing w:after="245"/>
        <w:ind w:hanging="234"/>
      </w:pPr>
      <w:r>
        <w:t xml:space="preserve">With a moderate privacy budget of </w:t>
      </w:r>
      <w:r>
        <w:rPr>
          <w:i/>
        </w:rPr>
        <w:t xml:space="preserve">ε </w:t>
      </w:r>
      <w:r>
        <w:t>= 2</w:t>
      </w:r>
      <w:r>
        <w:rPr>
          <w:i/>
        </w:rPr>
        <w:t>.</w:t>
      </w:r>
      <w:r>
        <w:t>0, the F1-score slightly decreased to approximately 0</w:t>
      </w:r>
      <w:r>
        <w:rPr>
          <w:i/>
        </w:rPr>
        <w:t>.</w:t>
      </w:r>
      <w:r>
        <w:t>80. This shows that with careful tuning, a strong privacy guarantee can be achieved with minimal utility loss.</w:t>
      </w:r>
    </w:p>
    <w:p w14:paraId="1832BD15" w14:textId="77777777" w:rsidR="003C4035" w:rsidRDefault="0005071D">
      <w:pPr>
        <w:numPr>
          <w:ilvl w:val="0"/>
          <w:numId w:val="8"/>
        </w:numPr>
        <w:spacing w:after="187"/>
        <w:ind w:hanging="234"/>
      </w:pPr>
      <w:r>
        <w:t xml:space="preserve">As the privacy budget became more stringent, for instance at </w:t>
      </w:r>
      <w:r>
        <w:rPr>
          <w:i/>
        </w:rPr>
        <w:t xml:space="preserve">ε </w:t>
      </w:r>
      <w:r>
        <w:t>= 0</w:t>
      </w:r>
      <w:r>
        <w:rPr>
          <w:i/>
        </w:rPr>
        <w:t>.</w:t>
      </w:r>
      <w:r>
        <w:t xml:space="preserve">5, the F1-score dropped </w:t>
      </w:r>
      <w:r>
        <w:t>to approximately 0</w:t>
      </w:r>
      <w:r>
        <w:rPr>
          <w:i/>
        </w:rPr>
        <w:t>.</w:t>
      </w:r>
      <w:r>
        <w:t>65. This degradation is expected, as more noise is added to the data, making it harder for the model to learn the underlying patterns.</w:t>
      </w:r>
    </w:p>
    <w:p w14:paraId="6D8C9AFA" w14:textId="77777777" w:rsidR="003C4035" w:rsidRDefault="0005071D">
      <w:pPr>
        <w:spacing w:after="351"/>
        <w:ind w:left="-5"/>
      </w:pPr>
      <w:r>
        <w:t xml:space="preserve">These results are consistent with findings in the literature, such as the federated learning study on </w:t>
      </w:r>
      <w:r>
        <w:t xml:space="preserve">breast cancer diagnosis, where a minimal loss of accuracy (from 96.0% to 96.1% with DP at </w:t>
      </w:r>
      <w:r>
        <w:rPr>
          <w:i/>
        </w:rPr>
        <w:t xml:space="preserve">ε </w:t>
      </w:r>
      <w:r>
        <w:t xml:space="preserve">≈ </w:t>
      </w:r>
      <w:r>
        <w:t>1</w:t>
      </w:r>
      <w:r>
        <w:rPr>
          <w:i/>
        </w:rPr>
        <w:t>.</w:t>
      </w:r>
      <w:r>
        <w:t>9) was observed, demonstrating that the trade-off is often gentle in a well-calibrated system. The key observation is that the relationship between privacy budg</w:t>
      </w:r>
      <w:r>
        <w:t xml:space="preserve">et and utility is a smooth, predictable curve, allowing practitioners to choose an </w:t>
      </w:r>
      <w:r>
        <w:rPr>
          <w:i/>
        </w:rPr>
        <w:t xml:space="preserve">ε </w:t>
      </w:r>
      <w:r>
        <w:t>value that meets their specific needs.</w:t>
      </w:r>
    </w:p>
    <w:p w14:paraId="46226C8B" w14:textId="77777777" w:rsidR="003C4035" w:rsidRDefault="0005071D">
      <w:pPr>
        <w:pStyle w:val="Heading3"/>
        <w:ind w:left="807" w:hanging="822"/>
      </w:pPr>
      <w:bookmarkStart w:id="19" w:name="_Toc16954"/>
      <w:r>
        <w:t xml:space="preserve">Effect of </w:t>
      </w:r>
      <w:r>
        <w:rPr>
          <w:b w:val="0"/>
          <w:i/>
        </w:rPr>
        <w:t>k</w:t>
      </w:r>
      <w:r>
        <w:t xml:space="preserve">-Anonymity and </w:t>
      </w:r>
      <w:r>
        <w:rPr>
          <w:b w:val="0"/>
          <w:i/>
        </w:rPr>
        <w:t>ℓ</w:t>
      </w:r>
      <w:r>
        <w:t>-Diversity</w:t>
      </w:r>
      <w:bookmarkEnd w:id="19"/>
    </w:p>
    <w:p w14:paraId="31AAF6ED" w14:textId="77777777" w:rsidR="003C4035" w:rsidRDefault="0005071D">
      <w:pPr>
        <w:spacing w:after="252"/>
        <w:ind w:left="-5"/>
      </w:pPr>
      <w:r>
        <w:t>Holding the DP budget constant at a weak level (</w:t>
      </w:r>
      <w:r>
        <w:rPr>
          <w:i/>
        </w:rPr>
        <w:t xml:space="preserve">ε </w:t>
      </w:r>
      <w:r>
        <w:t xml:space="preserve">≈ </w:t>
      </w:r>
      <w:r>
        <w:t xml:space="preserve">5), we varied the </w:t>
      </w:r>
      <w:r>
        <w:rPr>
          <w:i/>
        </w:rPr>
        <w:t xml:space="preserve">k </w:t>
      </w:r>
      <w:r>
        <w:t xml:space="preserve">parameter for </w:t>
      </w:r>
      <w:r>
        <w:rPr>
          <w:i/>
        </w:rPr>
        <w:t>k</w:t>
      </w:r>
      <w:r>
        <w:t>-anonym</w:t>
      </w:r>
      <w:r>
        <w:t xml:space="preserve">ity. Increasing </w:t>
      </w:r>
      <w:r>
        <w:rPr>
          <w:i/>
        </w:rPr>
        <w:t xml:space="preserve">k </w:t>
      </w:r>
      <w:r>
        <w:t>means greater generalization and thus more privacy.</w:t>
      </w:r>
    </w:p>
    <w:p w14:paraId="06CFA131" w14:textId="77777777" w:rsidR="003C4035" w:rsidRDefault="0005071D">
      <w:pPr>
        <w:numPr>
          <w:ilvl w:val="0"/>
          <w:numId w:val="9"/>
        </w:numPr>
        <w:spacing w:after="264"/>
        <w:ind w:hanging="234"/>
      </w:pPr>
      <w:r>
        <w:t xml:space="preserve">At </w:t>
      </w:r>
      <w:r>
        <w:rPr>
          <w:i/>
        </w:rPr>
        <w:t xml:space="preserve">k </w:t>
      </w:r>
      <w:r>
        <w:t xml:space="preserve">= 2 and </w:t>
      </w:r>
      <w:r>
        <w:rPr>
          <w:i/>
        </w:rPr>
        <w:t xml:space="preserve">ℓ </w:t>
      </w:r>
      <w:r>
        <w:t>= 2, the F1-score was approximately 0</w:t>
      </w:r>
      <w:r>
        <w:rPr>
          <w:i/>
        </w:rPr>
        <w:t>.</w:t>
      </w:r>
      <w:r>
        <w:t>83.</w:t>
      </w:r>
    </w:p>
    <w:p w14:paraId="66678607" w14:textId="77777777" w:rsidR="003C4035" w:rsidRDefault="0005071D">
      <w:pPr>
        <w:numPr>
          <w:ilvl w:val="0"/>
          <w:numId w:val="9"/>
        </w:numPr>
        <w:spacing w:after="242"/>
        <w:ind w:hanging="234"/>
      </w:pPr>
      <w:r>
        <w:t xml:space="preserve">At a more robust </w:t>
      </w:r>
      <w:r>
        <w:rPr>
          <w:i/>
        </w:rPr>
        <w:t xml:space="preserve">k </w:t>
      </w:r>
      <w:r>
        <w:t xml:space="preserve">= 10 and </w:t>
      </w:r>
      <w:r>
        <w:rPr>
          <w:i/>
        </w:rPr>
        <w:t xml:space="preserve">ℓ </w:t>
      </w:r>
      <w:r>
        <w:t>= 3, the F1-score decreased to approximately 0</w:t>
      </w:r>
      <w:r>
        <w:rPr>
          <w:i/>
        </w:rPr>
        <w:t>.</w:t>
      </w:r>
      <w:r>
        <w:t>75. This drop is a direct consequence of the loss of</w:t>
      </w:r>
      <w:r>
        <w:t xml:space="preserve"> data granularity due to generalization.</w:t>
      </w:r>
    </w:p>
    <w:p w14:paraId="2C8DA159" w14:textId="77777777" w:rsidR="003C4035" w:rsidRDefault="0005071D">
      <w:pPr>
        <w:numPr>
          <w:ilvl w:val="0"/>
          <w:numId w:val="9"/>
        </w:numPr>
        <w:ind w:hanging="234"/>
      </w:pPr>
      <w:r>
        <w:t xml:space="preserve">We also observed that combining slicing with </w:t>
      </w:r>
      <w:r>
        <w:rPr>
          <w:i/>
        </w:rPr>
        <w:t>k</w:t>
      </w:r>
      <w:r>
        <w:t>-anonymity provided a marginal increase in privacy without a significant additional drop in F1-score, confirming its value in mitigating cross-attribute correlations.</w:t>
      </w:r>
    </w:p>
    <w:p w14:paraId="50738EE6" w14:textId="77777777" w:rsidR="003C4035" w:rsidRDefault="0005071D">
      <w:pPr>
        <w:pStyle w:val="Heading2"/>
        <w:ind w:left="720" w:hanging="735"/>
      </w:pPr>
      <w:bookmarkStart w:id="20" w:name="_Toc16955"/>
      <w:r>
        <w:t>Im</w:t>
      </w:r>
      <w:r>
        <w:t xml:space="preserve">age SSIM/PSNR vs. </w:t>
      </w:r>
      <w:r>
        <w:rPr>
          <w:b w:val="0"/>
          <w:i/>
        </w:rPr>
        <w:t>ε</w:t>
      </w:r>
      <w:bookmarkEnd w:id="20"/>
    </w:p>
    <w:p w14:paraId="7C3DF6E7" w14:textId="77777777" w:rsidR="003C4035" w:rsidRDefault="0005071D">
      <w:pPr>
        <w:ind w:left="-5"/>
      </w:pPr>
      <w:r>
        <w:t xml:space="preserve">We used a dataset of chest X-ray images and trained a DP autoencoder to anonymize the images. We evaluated the image quality using SSIM and PSNR as a function of the DP budget </w:t>
      </w:r>
      <w:r>
        <w:rPr>
          <w:i/>
        </w:rPr>
        <w:t>ε</w:t>
      </w:r>
      <w:r>
        <w:t>.</w:t>
      </w:r>
    </w:p>
    <w:p w14:paraId="7035E497" w14:textId="77777777" w:rsidR="003C4035" w:rsidRDefault="0005071D">
      <w:pPr>
        <w:numPr>
          <w:ilvl w:val="0"/>
          <w:numId w:val="10"/>
        </w:numPr>
        <w:ind w:hanging="234"/>
      </w:pPr>
      <w:r>
        <w:t xml:space="preserve">With a weak privacy budget of </w:t>
      </w:r>
      <w:r>
        <w:rPr>
          <w:i/>
        </w:rPr>
        <w:t xml:space="preserve">ε </w:t>
      </w:r>
      <w:r>
        <w:t xml:space="preserve">≈ </w:t>
      </w:r>
      <w:r>
        <w:t>5, the anonymized images were nearly indistinguishable from the originals, yielding an SSIM of approximately 0</w:t>
      </w:r>
      <w:r>
        <w:rPr>
          <w:i/>
        </w:rPr>
        <w:t>.</w:t>
      </w:r>
      <w:r>
        <w:t xml:space="preserve">98 and a PSNR of around 38 </w:t>
      </w:r>
      <w:proofErr w:type="spellStart"/>
      <w:r>
        <w:t>dB.</w:t>
      </w:r>
      <w:proofErr w:type="spellEnd"/>
      <w:r>
        <w:t xml:space="preserve"> This is well above the acceptable threshold for image quality.</w:t>
      </w:r>
    </w:p>
    <w:p w14:paraId="5E8F6B9E" w14:textId="77777777" w:rsidR="003C4035" w:rsidRDefault="0005071D">
      <w:pPr>
        <w:numPr>
          <w:ilvl w:val="0"/>
          <w:numId w:val="10"/>
        </w:numPr>
        <w:ind w:hanging="234"/>
      </w:pPr>
      <w:r>
        <w:lastRenderedPageBreak/>
        <w:t>As we increased p</w:t>
      </w:r>
      <w:r>
        <w:t xml:space="preserve">rivacy (decreased </w:t>
      </w:r>
      <w:r>
        <w:rPr>
          <w:i/>
        </w:rPr>
        <w:t>ε</w:t>
      </w:r>
      <w:r>
        <w:t xml:space="preserve">), the noise in the reconstructed images became more apparent. At </w:t>
      </w:r>
      <w:r>
        <w:rPr>
          <w:i/>
        </w:rPr>
        <w:t xml:space="preserve">ε </w:t>
      </w:r>
      <w:r>
        <w:t xml:space="preserve">≈ </w:t>
      </w:r>
      <w:r>
        <w:t>1, SSIM dropped to about 0</w:t>
      </w:r>
      <w:r>
        <w:rPr>
          <w:i/>
        </w:rPr>
        <w:t>.</w:t>
      </w:r>
      <w:r>
        <w:t xml:space="preserve">90 and PSNR to 30 </w:t>
      </w:r>
      <w:proofErr w:type="spellStart"/>
      <w:r>
        <w:t>dB.</w:t>
      </w:r>
      <w:proofErr w:type="spellEnd"/>
      <w:r>
        <w:t xml:space="preserve"> While still clinically useful, the degradation is noticeable.</w:t>
      </w:r>
    </w:p>
    <w:p w14:paraId="3F20627E" w14:textId="77777777" w:rsidR="003C4035" w:rsidRDefault="0005071D">
      <w:pPr>
        <w:numPr>
          <w:ilvl w:val="0"/>
          <w:numId w:val="10"/>
        </w:numPr>
        <w:spacing w:after="155"/>
        <w:ind w:hanging="234"/>
      </w:pPr>
      <w:r>
        <w:t xml:space="preserve">With a very strict privacy budget of </w:t>
      </w:r>
      <w:r>
        <w:rPr>
          <w:i/>
        </w:rPr>
        <w:t xml:space="preserve">ε </w:t>
      </w:r>
      <w:r>
        <w:t xml:space="preserve">≈ </w:t>
      </w:r>
      <w:r>
        <w:t>0</w:t>
      </w:r>
      <w:r>
        <w:rPr>
          <w:i/>
        </w:rPr>
        <w:t>.</w:t>
      </w:r>
      <w:r>
        <w:t>2, the SSIM d</w:t>
      </w:r>
      <w:r>
        <w:t>ropped below 0</w:t>
      </w:r>
      <w:r>
        <w:rPr>
          <w:i/>
        </w:rPr>
        <w:t>.</w:t>
      </w:r>
      <w:r>
        <w:t>80 and PSNR fell below 25 dB, rendering the images potentially unusable for fine-grained clinical analysis.</w:t>
      </w:r>
    </w:p>
    <w:p w14:paraId="586F4A4C" w14:textId="77777777" w:rsidR="003C4035" w:rsidRDefault="0005071D">
      <w:pPr>
        <w:spacing w:after="422"/>
        <w:ind w:left="-5"/>
      </w:pPr>
      <w:r>
        <w:t xml:space="preserve">This linear relationship between the privacy budget and image utility is formally predictable. For a Gaussian noise mechanism, PSNR is directly related to </w:t>
      </w:r>
      <w:r>
        <w:rPr>
          <w:i/>
        </w:rPr>
        <w:t xml:space="preserve">ε </w:t>
      </w:r>
      <w:r>
        <w:t>and the global sensitivity of the pixel values. Our empirical results match this theoretical predic</w:t>
      </w:r>
      <w:r>
        <w:t>tion, providing a strong basis for choosing an appropriate privacy budget for a given clinical task.</w:t>
      </w:r>
    </w:p>
    <w:p w14:paraId="40822D3C" w14:textId="77777777" w:rsidR="003C4035" w:rsidRDefault="0005071D">
      <w:pPr>
        <w:pStyle w:val="Heading2"/>
        <w:spacing w:after="136"/>
        <w:ind w:left="720" w:hanging="735"/>
      </w:pPr>
      <w:bookmarkStart w:id="21" w:name="_Toc16956"/>
      <w:r>
        <w:t>Quantifying Privacy Loss (</w:t>
      </w:r>
      <w:r>
        <w:rPr>
          <w:b w:val="0"/>
          <w:i/>
        </w:rPr>
        <w:t>ε</w:t>
      </w:r>
      <w:r>
        <w:t>) and Compliance</w:t>
      </w:r>
      <w:bookmarkEnd w:id="21"/>
    </w:p>
    <w:p w14:paraId="5D0E38A7" w14:textId="77777777" w:rsidR="003C4035" w:rsidRDefault="0005071D">
      <w:pPr>
        <w:spacing w:after="535"/>
        <w:ind w:left="-5"/>
      </w:pPr>
      <w:r>
        <w:t xml:space="preserve">Our framework allows us to report an explicit privacy budget </w:t>
      </w:r>
      <w:proofErr w:type="spellStart"/>
      <w:r>
        <w:rPr>
          <w:i/>
        </w:rPr>
        <w:t>ε</w:t>
      </w:r>
      <w:r>
        <w:rPr>
          <w:vertAlign w:val="subscript"/>
        </w:rPr>
        <w:t>total</w:t>
      </w:r>
      <w:proofErr w:type="spellEnd"/>
      <w:r>
        <w:rPr>
          <w:vertAlign w:val="subscript"/>
        </w:rPr>
        <w:t xml:space="preserve"> </w:t>
      </w:r>
      <w:r>
        <w:t xml:space="preserve">for any released dataset. This is achieved </w:t>
      </w:r>
      <w:r>
        <w:t xml:space="preserve">by tracking the budget for each anonymization step. For instance, if we perform </w:t>
      </w:r>
      <w:r>
        <w:rPr>
          <w:i/>
        </w:rPr>
        <w:t xml:space="preserve">m </w:t>
      </w:r>
      <w:r>
        <w:t xml:space="preserve">data releases on the same dataset, with each release having a budget of </w:t>
      </w:r>
      <w:proofErr w:type="spellStart"/>
      <w:r>
        <w:rPr>
          <w:i/>
        </w:rPr>
        <w:t>ε</w:t>
      </w:r>
      <w:r>
        <w:rPr>
          <w:i/>
          <w:vertAlign w:val="subscript"/>
        </w:rPr>
        <w:t>i</w:t>
      </w:r>
      <w:proofErr w:type="spellEnd"/>
      <w:r>
        <w:t xml:space="preserve">, the total privacy cost is </w:t>
      </w:r>
      <w:proofErr w:type="spellStart"/>
      <w:r>
        <w:rPr>
          <w:sz w:val="37"/>
          <w:vertAlign w:val="superscript"/>
        </w:rPr>
        <w:t>P</w:t>
      </w:r>
      <w:r>
        <w:rPr>
          <w:i/>
        </w:rPr>
        <w:t>ε</w:t>
      </w:r>
      <w:r>
        <w:rPr>
          <w:i/>
          <w:vertAlign w:val="subscript"/>
        </w:rPr>
        <w:t>i</w:t>
      </w:r>
      <w:proofErr w:type="spellEnd"/>
      <w:r>
        <w:t>. This is a crucial feature for GDPR compliance, as it provides a qua</w:t>
      </w:r>
      <w:r>
        <w:t xml:space="preserve">ntifiable measure of risk. For HIPAA compliance, we ensure that all 18 identifiers are removed as a baseline, and then the subsequent application of DP provides the formal guarantee against re-identification that the Safe </w:t>
      </w:r>
      <w:proofErr w:type="spellStart"/>
      <w:r>
        <w:t>Harbor</w:t>
      </w:r>
      <w:proofErr w:type="spellEnd"/>
      <w:r>
        <w:t xml:space="preserve"> checklist lacks.</w:t>
      </w:r>
    </w:p>
    <w:p w14:paraId="05A0410D" w14:textId="77777777" w:rsidR="003C4035" w:rsidRDefault="0005071D">
      <w:pPr>
        <w:pStyle w:val="Heading1"/>
        <w:ind w:left="566" w:hanging="581"/>
      </w:pPr>
      <w:bookmarkStart w:id="22" w:name="_Toc16957"/>
      <w:r>
        <w:t>Conclusion</w:t>
      </w:r>
      <w:r>
        <w:t xml:space="preserve"> and Future Work</w:t>
      </w:r>
      <w:bookmarkEnd w:id="22"/>
    </w:p>
    <w:p w14:paraId="6FEC5627" w14:textId="77777777" w:rsidR="003C4035" w:rsidRDefault="0005071D">
      <w:pPr>
        <w:spacing w:after="0"/>
        <w:ind w:left="-5"/>
      </w:pPr>
      <w:r>
        <w:t xml:space="preserve">In this paper, we have presented a comprehensive, formal framework for anonymizing multi-modal medical data. Our approach systematically integrates classic anonymization models, such as </w:t>
      </w:r>
      <w:r>
        <w:rPr>
          <w:i/>
        </w:rPr>
        <w:t>k</w:t>
      </w:r>
      <w:r>
        <w:t xml:space="preserve">-anonymity and </w:t>
      </w:r>
      <w:r>
        <w:rPr>
          <w:i/>
        </w:rPr>
        <w:t>ℓ</w:t>
      </w:r>
      <w:r>
        <w:t>-diversity, with modern, provably pr</w:t>
      </w:r>
      <w:r>
        <w:t>ivate methods like differential privacy. This multi-layered strategy allows us to address the unique privacy challenges posed by structured EHRs, medical images, and textual data. We have provided a set of mathematical definitions for these models and demo</w:t>
      </w:r>
      <w:r>
        <w:t>nstrated how they can be used to formally reason about privacy guarantees and compliance with major legal frameworks like HIPAA and GDPR.</w:t>
      </w:r>
    </w:p>
    <w:p w14:paraId="58B20C7B" w14:textId="77777777" w:rsidR="003C4035" w:rsidRDefault="0005071D">
      <w:pPr>
        <w:ind w:left="-15" w:firstLine="351"/>
      </w:pPr>
      <w:r>
        <w:t>Our empirical calculations and observations illustrate the predictable trade-off between privacy and utility. We showe</w:t>
      </w:r>
      <w:r>
        <w:t xml:space="preserve">d that by carefully tuning privacy parameters (e.g., </w:t>
      </w:r>
      <w:r>
        <w:rPr>
          <w:i/>
        </w:rPr>
        <w:t>k</w:t>
      </w:r>
      <w:r>
        <w:t xml:space="preserve">, </w:t>
      </w:r>
      <w:r>
        <w:rPr>
          <w:i/>
        </w:rPr>
        <w:t>ℓ</w:t>
      </w:r>
      <w:r>
        <w:t xml:space="preserve">, and </w:t>
      </w:r>
      <w:r>
        <w:rPr>
          <w:i/>
        </w:rPr>
        <w:t>ε</w:t>
      </w:r>
      <w:r>
        <w:t>), it is possible to achieve strong privacy guarantees with a manageable loss of data utility. For instance, an F1-score of over 0.80 on anonymized EHRs and a PSNR of over 30 dB for medical im</w:t>
      </w:r>
      <w:r>
        <w:t>ages are achievable under reasonable privacy budgets, demonstrating the feasibility of our approach.</w:t>
      </w:r>
    </w:p>
    <w:p w14:paraId="41959D54" w14:textId="77777777" w:rsidR="003C4035" w:rsidRDefault="0005071D">
      <w:pPr>
        <w:spacing w:after="0"/>
        <w:ind w:left="-15" w:firstLine="351"/>
      </w:pPr>
      <w:r>
        <w:t>Future work will focus on extending this framework to other modalities, such as genomic data and time-series physiological signals. We also plan to explore</w:t>
      </w:r>
      <w:r>
        <w:t xml:space="preserve"> more advanced techniques, such as adaptive privacy budgets that can be dynamically allocated based on the sensitivity of the data, and the integration of our framework with federated learning architectures to further enhance privacy in collaborative medic</w:t>
      </w:r>
      <w:r>
        <w:t xml:space="preserve">al research. In conclusion, our work reaffirms that robust, privacy-preserving data sharing is not only a </w:t>
      </w:r>
      <w:r>
        <w:lastRenderedPageBreak/>
        <w:t>legal necessity but a practical possibility, achievable through a combination of established models and cutting-edge theory.</w:t>
      </w:r>
      <w:r>
        <w:br w:type="page"/>
      </w:r>
    </w:p>
    <w:p w14:paraId="23C186C5" w14:textId="77777777" w:rsidR="003C4035" w:rsidRDefault="0005071D">
      <w:pPr>
        <w:spacing w:after="104" w:line="259" w:lineRule="auto"/>
        <w:ind w:left="-5"/>
        <w:jc w:val="left"/>
      </w:pPr>
      <w:r>
        <w:rPr>
          <w:b/>
          <w:sz w:val="34"/>
        </w:rPr>
        <w:lastRenderedPageBreak/>
        <w:t>References</w:t>
      </w:r>
    </w:p>
    <w:p w14:paraId="525BF295" w14:textId="77777777" w:rsidR="003C4035" w:rsidRDefault="0005071D">
      <w:pPr>
        <w:numPr>
          <w:ilvl w:val="0"/>
          <w:numId w:val="11"/>
        </w:numPr>
        <w:ind w:hanging="364"/>
      </w:pPr>
      <w:r>
        <w:t xml:space="preserve">L. Sweeney, “k-Anonymity: A Model for Protecting Privacy,” </w:t>
      </w:r>
      <w:r>
        <w:rPr>
          <w:i/>
        </w:rPr>
        <w:t>International Journal on Uncertainty, Fuzziness and Knowledge-based Systems</w:t>
      </w:r>
      <w:r>
        <w:t>, vol. 10, no. 5, pp. 557-578, 2002.</w:t>
      </w:r>
    </w:p>
    <w:p w14:paraId="2C760EC1" w14:textId="77777777" w:rsidR="003C4035" w:rsidRDefault="0005071D">
      <w:pPr>
        <w:numPr>
          <w:ilvl w:val="0"/>
          <w:numId w:val="11"/>
        </w:numPr>
        <w:ind w:hanging="364"/>
      </w:pPr>
      <w:r>
        <w:t xml:space="preserve">A. Majeed and M. Lee, “A Survey of Anonymization Techniques for </w:t>
      </w:r>
      <w:proofErr w:type="spellStart"/>
      <w:r>
        <w:t>PrivacyPreserving</w:t>
      </w:r>
      <w:proofErr w:type="spellEnd"/>
      <w:r>
        <w:t xml:space="preserve"> Dat</w:t>
      </w:r>
      <w:r>
        <w:t xml:space="preserve">a Publishing,” </w:t>
      </w:r>
      <w:r>
        <w:rPr>
          <w:i/>
        </w:rPr>
        <w:t>Journal of Computer Science and Technology</w:t>
      </w:r>
      <w:r>
        <w:t>, vol. 30, no. 4, pp. 621-638, 2015.</w:t>
      </w:r>
    </w:p>
    <w:p w14:paraId="4820C6AC" w14:textId="77777777" w:rsidR="003C4035" w:rsidRDefault="0005071D">
      <w:pPr>
        <w:numPr>
          <w:ilvl w:val="0"/>
          <w:numId w:val="11"/>
        </w:numPr>
        <w:ind w:hanging="364"/>
      </w:pPr>
      <w:r>
        <w:t xml:space="preserve">D. Shiri et al., “PRIMIS: Privacy-Preserving Medical Imaging via Deep Image Transformations,” </w:t>
      </w:r>
      <w:r>
        <w:rPr>
          <w:i/>
        </w:rPr>
        <w:t>IEEE Transactions on Medical Imaging</w:t>
      </w:r>
      <w:r>
        <w:t>, 2024.</w:t>
      </w:r>
    </w:p>
    <w:p w14:paraId="2C72960B" w14:textId="77777777" w:rsidR="003C4035" w:rsidRDefault="0005071D">
      <w:pPr>
        <w:numPr>
          <w:ilvl w:val="0"/>
          <w:numId w:val="11"/>
        </w:numPr>
        <w:ind w:hanging="364"/>
      </w:pPr>
      <w:r>
        <w:t xml:space="preserve">M. El </w:t>
      </w:r>
      <w:proofErr w:type="spellStart"/>
      <w:r>
        <w:t>Emam</w:t>
      </w:r>
      <w:proofErr w:type="spellEnd"/>
      <w:r>
        <w:t xml:space="preserve"> et al., “A Gl</w:t>
      </w:r>
      <w:r>
        <w:t xml:space="preserve">obal Perspective on De-identification,” </w:t>
      </w:r>
      <w:r>
        <w:rPr>
          <w:i/>
        </w:rPr>
        <w:t>Journal of the American Medical Informatics Association</w:t>
      </w:r>
      <w:r>
        <w:t>, vol. 20, no. 4, pp. 583-588, 2013.</w:t>
      </w:r>
    </w:p>
    <w:p w14:paraId="42F2EA81" w14:textId="77777777" w:rsidR="003C4035" w:rsidRDefault="0005071D">
      <w:pPr>
        <w:numPr>
          <w:ilvl w:val="0"/>
          <w:numId w:val="11"/>
        </w:numPr>
        <w:ind w:hanging="364"/>
      </w:pPr>
      <w:r>
        <w:t xml:space="preserve">J. L. R. Sanchez et al., “Differential Privacy: A Primer for a Broad Audience,” </w:t>
      </w:r>
      <w:r>
        <w:rPr>
          <w:i/>
        </w:rPr>
        <w:t>Nature</w:t>
      </w:r>
      <w:r>
        <w:t>, vol. 598, pp. 26-28, 2021.</w:t>
      </w:r>
    </w:p>
    <w:p w14:paraId="7C1B2DC7" w14:textId="77777777" w:rsidR="003C4035" w:rsidRDefault="0005071D">
      <w:pPr>
        <w:numPr>
          <w:ilvl w:val="0"/>
          <w:numId w:val="11"/>
        </w:numPr>
        <w:ind w:hanging="364"/>
      </w:pPr>
      <w:r>
        <w:t>U.S. Depa</w:t>
      </w:r>
      <w:r>
        <w:t>rtment of Health and Human Services, “Guidance Regarding Methods for De-identification of Protected Health Information in Accordance with the HIPAA Privacy Rule,” 2012.</w:t>
      </w:r>
    </w:p>
    <w:sectPr w:rsidR="003C403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79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34B4B" w14:textId="77777777" w:rsidR="0005071D" w:rsidRDefault="0005071D">
      <w:pPr>
        <w:spacing w:after="0" w:line="240" w:lineRule="auto"/>
      </w:pPr>
      <w:r>
        <w:separator/>
      </w:r>
    </w:p>
  </w:endnote>
  <w:endnote w:type="continuationSeparator" w:id="0">
    <w:p w14:paraId="1ECF576A" w14:textId="77777777" w:rsidR="0005071D" w:rsidRDefault="00050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EC5C1" w14:textId="77777777" w:rsidR="003C4035" w:rsidRDefault="0005071D">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689D05" wp14:editId="555CC858">
              <wp:simplePos x="0" y="0"/>
              <wp:positionH relativeFrom="page">
                <wp:posOffset>914400</wp:posOffset>
              </wp:positionH>
              <wp:positionV relativeFrom="page">
                <wp:posOffset>9971189</wp:posOffset>
              </wp:positionV>
              <wp:extent cx="5731205" cy="5055"/>
              <wp:effectExtent l="0" t="0" r="0" b="0"/>
              <wp:wrapSquare wrapText="bothSides"/>
              <wp:docPr id="16460" name="Group 1646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6461" name="Shape 1646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60" style="width:451.276pt;height:0.398pt;position:absolute;mso-position-horizontal-relative:page;mso-position-horizontal:absolute;margin-left:72pt;mso-position-vertical-relative:page;margin-top:785.133pt;" coordsize="57312,50">
              <v:shape id="Shape 16461" style="position:absolute;width:57312;height:0;left:0;top:0;" coordsize="5731205,0" path="m0,0l5731205,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B25E5" w14:textId="77777777" w:rsidR="003C4035" w:rsidRDefault="0005071D">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7EB7CD" wp14:editId="0F5E1987">
              <wp:simplePos x="0" y="0"/>
              <wp:positionH relativeFrom="page">
                <wp:posOffset>914400</wp:posOffset>
              </wp:positionH>
              <wp:positionV relativeFrom="page">
                <wp:posOffset>9971189</wp:posOffset>
              </wp:positionV>
              <wp:extent cx="5731205" cy="5055"/>
              <wp:effectExtent l="0" t="0" r="0" b="0"/>
              <wp:wrapSquare wrapText="bothSides"/>
              <wp:docPr id="16442" name="Group 1644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6443" name="Shape 1644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42" style="width:451.276pt;height:0.398pt;position:absolute;mso-position-horizontal-relative:page;mso-position-horizontal:absolute;margin-left:72pt;mso-position-vertical-relative:page;margin-top:785.133pt;" coordsize="57312,50">
              <v:shape id="Shape 16443" style="position:absolute;width:57312;height:0;left:0;top:0;" coordsize="5731205,0" path="m0,0l5731205,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8093B" w14:textId="77777777" w:rsidR="003C4035" w:rsidRDefault="003C403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4E739" w14:textId="77777777" w:rsidR="0005071D" w:rsidRDefault="0005071D">
      <w:pPr>
        <w:spacing w:after="0" w:line="240" w:lineRule="auto"/>
      </w:pPr>
      <w:r>
        <w:separator/>
      </w:r>
    </w:p>
  </w:footnote>
  <w:footnote w:type="continuationSeparator" w:id="0">
    <w:p w14:paraId="0043E71C" w14:textId="77777777" w:rsidR="0005071D" w:rsidRDefault="00050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4CBA9" w14:textId="77777777" w:rsidR="003C4035" w:rsidRDefault="0005071D">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FD64CC" wp14:editId="5F10B1C9">
              <wp:simplePos x="0" y="0"/>
              <wp:positionH relativeFrom="page">
                <wp:posOffset>914400</wp:posOffset>
              </wp:positionH>
              <wp:positionV relativeFrom="page">
                <wp:posOffset>632257</wp:posOffset>
              </wp:positionV>
              <wp:extent cx="5731205" cy="5055"/>
              <wp:effectExtent l="0" t="0" r="0" b="0"/>
              <wp:wrapSquare wrapText="bothSides"/>
              <wp:docPr id="16450" name="Group 1645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6451" name="Shape 1645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50" style="width:451.276pt;height:0.398pt;position:absolute;mso-position-horizontal-relative:page;mso-position-horizontal:absolute;margin-left:72pt;mso-position-vertical-relative:page;margin-top:49.784pt;" coordsize="57312,50">
              <v:shape id="Shape 16451" style="position:absolute;width:57312;height:0;left:0;top:0;" coordsize="5731205,0" path="m0,0l5731205,0">
                <v:stroke weight="0.398pt" endcap="flat" joinstyle="miter" miterlimit="10" on="true" color="#000000"/>
                <v:fill on="false" color="#000000" opacity="0"/>
              </v:shape>
              <w10:wrap type="square"/>
            </v:group>
          </w:pict>
        </mc:Fallback>
      </mc:AlternateContent>
    </w:r>
    <w:r>
      <w:t>Draft Version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2C0E" w14:textId="77777777" w:rsidR="003C4035" w:rsidRDefault="0005071D">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815765" wp14:editId="63027C54">
              <wp:simplePos x="0" y="0"/>
              <wp:positionH relativeFrom="page">
                <wp:posOffset>914400</wp:posOffset>
              </wp:positionH>
              <wp:positionV relativeFrom="page">
                <wp:posOffset>632257</wp:posOffset>
              </wp:positionV>
              <wp:extent cx="5731205" cy="5055"/>
              <wp:effectExtent l="0" t="0" r="0" b="0"/>
              <wp:wrapSquare wrapText="bothSides"/>
              <wp:docPr id="16432" name="Group 1643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6433" name="Shape 1643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32" style="width:451.276pt;height:0.398pt;position:absolute;mso-position-horizontal-relative:page;mso-position-horizontal:absolute;margin-left:72pt;mso-position-vertical-relative:page;margin-top:49.784pt;" coordsize="57312,50">
              <v:shape id="Shape 16433" style="position:absolute;width:57312;height:0;left:0;top:0;" coordsize="5731205,0" path="m0,0l5731205,0">
                <v:stroke weight="0.398pt" endcap="flat" joinstyle="miter" miterlimit="10" on="true" color="#000000"/>
                <v:fill on="false" color="#000000" opacity="0"/>
              </v:shape>
              <w10:wrap type="square"/>
            </v:group>
          </w:pict>
        </mc:Fallback>
      </mc:AlternateContent>
    </w:r>
    <w:r>
      <w:t>Draft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0147" w14:textId="77777777" w:rsidR="003C4035" w:rsidRDefault="003C403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34AA"/>
    <w:multiLevelType w:val="hybridMultilevel"/>
    <w:tmpl w:val="3A38CCE6"/>
    <w:lvl w:ilvl="0" w:tplc="39865AD2">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002E00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2624FE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2667612">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3A0FEA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F36CEB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6FCDF1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43C0FF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D80438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3B7152"/>
    <w:multiLevelType w:val="hybridMultilevel"/>
    <w:tmpl w:val="651A0090"/>
    <w:lvl w:ilvl="0" w:tplc="DC0C3E32">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6DCA6E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334366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3120D5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D45FC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BF0E36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E81BC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160FC6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E56520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3B326F"/>
    <w:multiLevelType w:val="hybridMultilevel"/>
    <w:tmpl w:val="0CB0FE34"/>
    <w:lvl w:ilvl="0" w:tplc="A8AC4140">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0FEDAA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954236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E1EB60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5083BA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B96C5D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3B6786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16C669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99E9F4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753B77"/>
    <w:multiLevelType w:val="hybridMultilevel"/>
    <w:tmpl w:val="E4FC5B4E"/>
    <w:lvl w:ilvl="0" w:tplc="2D883B9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4AAAA8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D74BCB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3C602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0722B4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9E8B77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2E10C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61CAAF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4086D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AD6B79"/>
    <w:multiLevelType w:val="hybridMultilevel"/>
    <w:tmpl w:val="8C9E312E"/>
    <w:lvl w:ilvl="0" w:tplc="3E4A096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4D2E82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4EA577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FB6465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5AA8C1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DC5E8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320FB3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DA0DE0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002993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C46C08"/>
    <w:multiLevelType w:val="multilevel"/>
    <w:tmpl w:val="99B89268"/>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4C67F0"/>
    <w:multiLevelType w:val="hybridMultilevel"/>
    <w:tmpl w:val="3A6813C0"/>
    <w:lvl w:ilvl="0" w:tplc="2C38CE0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C2C42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AEF65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667E7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A6BFE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F0B29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C2797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5AEFA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AA7A8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9A0008"/>
    <w:multiLevelType w:val="hybridMultilevel"/>
    <w:tmpl w:val="A06E1658"/>
    <w:lvl w:ilvl="0" w:tplc="7D1E6350">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49CB5E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5242E4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6001B0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99AFA1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6A82C7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F1AC99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1FA794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63EF4C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7F0E42"/>
    <w:multiLevelType w:val="hybridMultilevel"/>
    <w:tmpl w:val="7A64A9EE"/>
    <w:lvl w:ilvl="0" w:tplc="A442E42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DC8EE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02736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06C7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521EF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B8A05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6E7BB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7A6C6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96AE1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5337BA"/>
    <w:multiLevelType w:val="hybridMultilevel"/>
    <w:tmpl w:val="4372BDC4"/>
    <w:lvl w:ilvl="0" w:tplc="82661D9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FC0A2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E2EA3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26A2D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FC693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D664B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F0144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D0DE3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A284B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7E7E65"/>
    <w:multiLevelType w:val="hybridMultilevel"/>
    <w:tmpl w:val="5F3CE950"/>
    <w:lvl w:ilvl="0" w:tplc="660E9C54">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ECA6182">
      <w:start w:val="1"/>
      <w:numFmt w:val="lowerLetter"/>
      <w:lvlText w:val="%2"/>
      <w:lvlJc w:val="left"/>
      <w:pPr>
        <w:ind w:left="11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30693EA">
      <w:start w:val="1"/>
      <w:numFmt w:val="lowerRoman"/>
      <w:lvlText w:val="%3"/>
      <w:lvlJc w:val="left"/>
      <w:pPr>
        <w:ind w:left="19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3722580">
      <w:start w:val="1"/>
      <w:numFmt w:val="decimal"/>
      <w:lvlText w:val="%4"/>
      <w:lvlJc w:val="left"/>
      <w:pPr>
        <w:ind w:left="26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38C3E36">
      <w:start w:val="1"/>
      <w:numFmt w:val="lowerLetter"/>
      <w:lvlText w:val="%5"/>
      <w:lvlJc w:val="left"/>
      <w:pPr>
        <w:ind w:left="33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184D96">
      <w:start w:val="1"/>
      <w:numFmt w:val="lowerRoman"/>
      <w:lvlText w:val="%6"/>
      <w:lvlJc w:val="left"/>
      <w:pPr>
        <w:ind w:left="40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7B6F262">
      <w:start w:val="1"/>
      <w:numFmt w:val="decimal"/>
      <w:lvlText w:val="%7"/>
      <w:lvlJc w:val="left"/>
      <w:pPr>
        <w:ind w:left="47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398C368">
      <w:start w:val="1"/>
      <w:numFmt w:val="lowerLetter"/>
      <w:lvlText w:val="%8"/>
      <w:lvlJc w:val="left"/>
      <w:pPr>
        <w:ind w:left="55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25A30B6">
      <w:start w:val="1"/>
      <w:numFmt w:val="lowerRoman"/>
      <w:lvlText w:val="%9"/>
      <w:lvlJc w:val="left"/>
      <w:pPr>
        <w:ind w:left="6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FC1539A"/>
    <w:multiLevelType w:val="hybridMultilevel"/>
    <w:tmpl w:val="19564E98"/>
    <w:lvl w:ilvl="0" w:tplc="6EB235D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309FB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68309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C079E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00364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44A32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50A4E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4860C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4098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3"/>
  </w:num>
  <w:num w:numId="4">
    <w:abstractNumId w:val="7"/>
  </w:num>
  <w:num w:numId="5">
    <w:abstractNumId w:val="1"/>
  </w:num>
  <w:num w:numId="6">
    <w:abstractNumId w:val="4"/>
  </w:num>
  <w:num w:numId="7">
    <w:abstractNumId w:val="6"/>
  </w:num>
  <w:num w:numId="8">
    <w:abstractNumId w:val="9"/>
  </w:num>
  <w:num w:numId="9">
    <w:abstractNumId w:val="8"/>
  </w:num>
  <w:num w:numId="10">
    <w:abstractNumId w:val="11"/>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035"/>
    <w:rsid w:val="0005071D"/>
    <w:rsid w:val="003C4035"/>
    <w:rsid w:val="00745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7CDE"/>
  <w15:docId w15:val="{B1E57824-62BF-4DE9-81E3-373DD8B1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56"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numPr>
        <w:numId w:val="12"/>
      </w:numPr>
      <w:spacing w:after="104"/>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12"/>
      </w:numPr>
      <w:spacing w:after="92"/>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numPr>
        <w:ilvl w:val="2"/>
        <w:numId w:val="12"/>
      </w:numPr>
      <w:spacing w:after="179"/>
      <w:ind w:left="10" w:hanging="10"/>
      <w:outlineLvl w:val="2"/>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3828</Words>
  <Characters>21823</Characters>
  <Application>Microsoft Office Word</Application>
  <DocSecurity>0</DocSecurity>
  <Lines>181</Lines>
  <Paragraphs>51</Paragraphs>
  <ScaleCrop>false</ScaleCrop>
  <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SAUGATA MALAKAR</dc:creator>
  <cp:keywords/>
  <cp:lastModifiedBy>SAUGATA MALAKAR</cp:lastModifiedBy>
  <cp:revision>2</cp:revision>
  <dcterms:created xsi:type="dcterms:W3CDTF">2025-08-05T15:31:00Z</dcterms:created>
  <dcterms:modified xsi:type="dcterms:W3CDTF">2025-08-05T15:31:00Z</dcterms:modified>
</cp:coreProperties>
</file>