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Times New Roman" w:hAnsi="Times New Roman"/>
          <w:b/>
          <w:sz w:val="36"/>
        </w:rPr>
        <w:t>EXECUTIVE SUMMARY</w:t>
      </w:r>
    </w:p>
    <w:p>
      <w:pPr>
        <w:spacing w:after="240" w:line="259" w:lineRule="auto"/>
        <w:jc w:val="center"/>
      </w:pPr>
      <w:r>
        <w:rPr>
          <w:rFonts w:ascii="Times New Roman" w:hAnsi="Times New Roman"/>
          <w:b/>
          <w:sz w:val="26"/>
        </w:rPr>
        <w:t>European Bank Customer Churn Analysis and Prediction Using Machine Learning</w:t>
      </w:r>
    </w:p>
    <w:p>
      <w:pPr>
        <w:spacing w:after="280" w:line="259" w:lineRule="auto"/>
        <w:jc w:val="center"/>
      </w:pPr>
      <w:r>
        <w:rPr>
          <w:rFonts w:ascii="Times New Roman" w:hAnsi="Times New Roman"/>
          <w:b w:val="0"/>
          <w:sz w:val="20"/>
        </w:rPr>
        <w:t>Saujanya Rao</w:t>
        <w:br/>
        <w:t>Data Analyst Intern – Unified Mentor</w:t>
        <w:br/>
        <w:t>Unified Mentor</w:t>
        <w:br/>
        <w:t>Mumbai, India</w:t>
        <w:br/>
        <w:t>saujanyarao2004@gmail.com</w:t>
      </w:r>
    </w:p>
    <w:p>
      <w:pPr>
        <w:spacing w:before="160" w:after="60"/>
      </w:pPr>
      <w:r>
        <w:rPr>
          <w:rFonts w:ascii="Times New Roman" w:hAnsi="Times New Roman"/>
          <w:b/>
          <w:sz w:val="23"/>
        </w:rPr>
        <w:t>1. Project Overview</w:t>
      </w:r>
    </w:p>
    <w:p>
      <w:pPr>
        <w:spacing w:after="100" w:line="259" w:lineRule="auto"/>
        <w:jc w:val="both"/>
      </w:pPr>
      <w:r>
        <w:rPr>
          <w:rFonts w:ascii="Times New Roman" w:hAnsi="Times New Roman"/>
          <w:b w:val="0"/>
          <w:sz w:val="21"/>
        </w:rPr>
        <w:t>Customer churn is an important business challenge for banking institutions because losing existing customers can negatively affect revenue, customer relationships, and long-term growth. This project was undertaken as part of the Data Analyst internship/training program at Unified Mentor with the objective of analysing customer churn patterns and developing a machine-learning-based prediction system.</w:t>
        <w:br/>
        <w:br/>
        <w:t>The project combines exploratory data analysis, feature engineering, machine learning, model interpretation, Tableau visualization, and Streamlit application development to create an end-to-end customer churn analytics solution.</w:t>
      </w:r>
    </w:p>
    <w:p>
      <w:pPr>
        <w:spacing w:before="160" w:after="60"/>
      </w:pPr>
      <w:r>
        <w:rPr>
          <w:rFonts w:ascii="Times New Roman" w:hAnsi="Times New Roman"/>
          <w:b/>
          <w:sz w:val="23"/>
        </w:rPr>
        <w:t>2. Dataset</w:t>
      </w:r>
    </w:p>
    <w:p>
      <w:pPr>
        <w:spacing w:after="100" w:line="259" w:lineRule="auto"/>
        <w:jc w:val="both"/>
      </w:pPr>
      <w:r>
        <w:rPr>
          <w:rFonts w:ascii="Times New Roman" w:hAnsi="Times New Roman"/>
          <w:b w:val="0"/>
          <w:sz w:val="21"/>
        </w:rPr>
        <w:t>The project uses a European banking customer dataset containing 10,000 customer records and 14 variables. The dataset includes Credit Score, Geography, Gender, Age, Tenure, Balance, Number of Products, Credit Card Status, Active Membership, and Estimated Salary.</w:t>
        <w:br/>
        <w:br/>
        <w:t>The target variable is Exited, where 0 represents a customer who did not churn and 1 represents a customer who churned. No missing values and no duplicate records were identified. CustomerId and Surname were removed before model training because they were treated as identifiers rather than predictive customer characteristics.</w:t>
      </w:r>
    </w:p>
    <w:p>
      <w:pPr>
        <w:spacing w:before="160" w:after="60"/>
      </w:pPr>
      <w:r>
        <w:rPr>
          <w:rFonts w:ascii="Times New Roman" w:hAnsi="Times New Roman"/>
          <w:b/>
          <w:sz w:val="23"/>
        </w:rPr>
        <w:t>3. Exploratory Data Analysis</w:t>
      </w:r>
    </w:p>
    <w:p>
      <w:pPr>
        <w:spacing w:after="100" w:line="259" w:lineRule="auto"/>
        <w:jc w:val="both"/>
      </w:pPr>
      <w:r>
        <w:rPr>
          <w:rFonts w:ascii="Times New Roman" w:hAnsi="Times New Roman"/>
          <w:b w:val="0"/>
          <w:sz w:val="21"/>
        </w:rPr>
        <w:t>Exploratory data analysis was performed to understand customer characteristics and identify patterns associated with churn. The analysis focused on Geography, Age, Gender, Active Membership, Balance, Number of Products, customer engagement, and product utilization. A Tableau dashboard was developed to make these patterns easier to explore interactively.</w:t>
      </w:r>
    </w:p>
    <w:p>
      <w:pPr>
        <w:spacing w:before="160" w:after="60"/>
      </w:pPr>
      <w:r>
        <w:rPr>
          <w:rFonts w:ascii="Times New Roman" w:hAnsi="Times New Roman"/>
          <w:b/>
          <w:sz w:val="23"/>
        </w:rPr>
        <w:t>4. Feature Engineering</w:t>
      </w:r>
    </w:p>
    <w:p>
      <w:pPr>
        <w:spacing w:after="100" w:line="259" w:lineRule="auto"/>
        <w:jc w:val="both"/>
      </w:pPr>
      <w:r>
        <w:rPr>
          <w:rFonts w:ascii="Times New Roman" w:hAnsi="Times New Roman"/>
          <w:b w:val="0"/>
          <w:sz w:val="21"/>
        </w:rPr>
        <w:t>Additional features were created to provide alternative representations of customer behaviour and relationships: BalanceSalaryRatio, ProductDensity, EngagementProduct, and AgeTenure. These features were designed to support the analysis of financial relationships, customer engagement, and product utilization.</w:t>
      </w:r>
    </w:p>
    <w:p>
      <w:pPr>
        <w:spacing w:before="160" w:after="60"/>
      </w:pPr>
      <w:r>
        <w:rPr>
          <w:rFonts w:ascii="Times New Roman" w:hAnsi="Times New Roman"/>
          <w:b/>
          <w:sz w:val="23"/>
        </w:rPr>
        <w:t>5. Machine Learning</w:t>
      </w:r>
    </w:p>
    <w:p>
      <w:pPr>
        <w:spacing w:after="100" w:line="259" w:lineRule="auto"/>
        <w:jc w:val="both"/>
      </w:pPr>
      <w:r>
        <w:rPr>
          <w:rFonts w:ascii="Times New Roman" w:hAnsi="Times New Roman"/>
          <w:b w:val="0"/>
          <w:sz w:val="21"/>
        </w:rPr>
        <w:t>Five classification algorithms were developed and evaluated: Logistic Regression, Decision Tree, Random Forest, Gradient Boosting, and XGBoost. The models were evaluated using Accuracy, Precision, Recall, F1-Score, and ROC-AUC.</w:t>
      </w:r>
    </w:p>
    <w:p>
      <w:pPr>
        <w:spacing w:before="160" w:after="60"/>
      </w:pPr>
      <w:r>
        <w:rPr>
          <w:rFonts w:ascii="Times New Roman" w:hAnsi="Times New Roman"/>
          <w:b/>
          <w:sz w:val="23"/>
        </w:rPr>
        <w:t>6. Best Model</w:t>
      </w:r>
    </w:p>
    <w:p>
      <w:pPr>
        <w:spacing w:after="100" w:line="259" w:lineRule="auto"/>
        <w:jc w:val="both"/>
      </w:pPr>
      <w:r>
        <w:rPr>
          <w:rFonts w:ascii="Times New Roman" w:hAnsi="Times New Roman"/>
          <w:b w:val="0"/>
          <w:sz w:val="21"/>
        </w:rPr>
        <w:t>Gradient Boosting was selected for the final prediction application based on the overall evaluation results.</w:t>
      </w:r>
    </w:p>
    <w:tbl>
      <w:tblPr>
        <w:tblStyle w:val="TableGrid"/>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19"/>
              </w:rPr>
              <w:t>Metric</w:t>
            </w:r>
          </w:p>
        </w:tc>
        <w:tc>
          <w:tcPr>
            <w:tcW w:type="dxa" w:w="4968"/>
          </w:tcPr>
          <w:p>
            <w:pPr>
              <w:jc w:val="center"/>
            </w:pPr>
            <w:r>
              <w:rPr>
                <w:rFonts w:ascii="Times New Roman" w:hAnsi="Times New Roman"/>
                <w:b/>
                <w:sz w:val="19"/>
              </w:rPr>
              <w:t>Result</w:t>
            </w:r>
          </w:p>
        </w:tc>
      </w:tr>
      <w:tr>
        <w:tc>
          <w:tcPr>
            <w:tcW w:type="dxa" w:w="4968"/>
          </w:tcPr>
          <w:p>
            <w:pPr>
              <w:jc w:val="center"/>
            </w:pPr>
            <w:r>
              <w:rPr>
                <w:rFonts w:ascii="Times New Roman" w:hAnsi="Times New Roman"/>
                <w:sz w:val="19"/>
              </w:rPr>
              <w:t>Accuracy</w:t>
            </w:r>
          </w:p>
        </w:tc>
        <w:tc>
          <w:tcPr>
            <w:tcW w:type="dxa" w:w="4968"/>
          </w:tcPr>
          <w:p>
            <w:pPr>
              <w:jc w:val="center"/>
            </w:pPr>
            <w:r>
              <w:rPr>
                <w:rFonts w:ascii="Times New Roman" w:hAnsi="Times New Roman"/>
                <w:sz w:val="19"/>
              </w:rPr>
              <w:t>86.90%</w:t>
            </w:r>
          </w:p>
        </w:tc>
      </w:tr>
      <w:tr>
        <w:tc>
          <w:tcPr>
            <w:tcW w:type="dxa" w:w="4968"/>
          </w:tcPr>
          <w:p>
            <w:pPr>
              <w:jc w:val="center"/>
            </w:pPr>
            <w:r>
              <w:rPr>
                <w:rFonts w:ascii="Times New Roman" w:hAnsi="Times New Roman"/>
                <w:sz w:val="19"/>
              </w:rPr>
              <w:t>Precision</w:t>
            </w:r>
          </w:p>
        </w:tc>
        <w:tc>
          <w:tcPr>
            <w:tcW w:type="dxa" w:w="4968"/>
          </w:tcPr>
          <w:p>
            <w:pPr>
              <w:jc w:val="center"/>
            </w:pPr>
            <w:r>
              <w:rPr>
                <w:rFonts w:ascii="Times New Roman" w:hAnsi="Times New Roman"/>
                <w:sz w:val="19"/>
              </w:rPr>
              <w:t>78.66%</w:t>
            </w:r>
          </w:p>
        </w:tc>
      </w:tr>
      <w:tr>
        <w:tc>
          <w:tcPr>
            <w:tcW w:type="dxa" w:w="4968"/>
          </w:tcPr>
          <w:p>
            <w:pPr>
              <w:jc w:val="center"/>
            </w:pPr>
            <w:r>
              <w:rPr>
                <w:rFonts w:ascii="Times New Roman" w:hAnsi="Times New Roman"/>
                <w:sz w:val="19"/>
              </w:rPr>
              <w:t>Recall</w:t>
            </w:r>
          </w:p>
        </w:tc>
        <w:tc>
          <w:tcPr>
            <w:tcW w:type="dxa" w:w="4968"/>
          </w:tcPr>
          <w:p>
            <w:pPr>
              <w:jc w:val="center"/>
            </w:pPr>
            <w:r>
              <w:rPr>
                <w:rFonts w:ascii="Times New Roman" w:hAnsi="Times New Roman"/>
                <w:sz w:val="19"/>
              </w:rPr>
              <w:t>48.89%</w:t>
            </w:r>
          </w:p>
        </w:tc>
      </w:tr>
      <w:tr>
        <w:tc>
          <w:tcPr>
            <w:tcW w:type="dxa" w:w="4968"/>
          </w:tcPr>
          <w:p>
            <w:pPr>
              <w:jc w:val="center"/>
            </w:pPr>
            <w:r>
              <w:rPr>
                <w:rFonts w:ascii="Times New Roman" w:hAnsi="Times New Roman"/>
                <w:sz w:val="19"/>
              </w:rPr>
              <w:t>F1-Score</w:t>
            </w:r>
          </w:p>
        </w:tc>
        <w:tc>
          <w:tcPr>
            <w:tcW w:type="dxa" w:w="4968"/>
          </w:tcPr>
          <w:p>
            <w:pPr>
              <w:jc w:val="center"/>
            </w:pPr>
            <w:r>
              <w:rPr>
                <w:rFonts w:ascii="Times New Roman" w:hAnsi="Times New Roman"/>
                <w:sz w:val="19"/>
              </w:rPr>
              <w:t>60.30%</w:t>
            </w:r>
          </w:p>
        </w:tc>
      </w:tr>
      <w:tr>
        <w:tc>
          <w:tcPr>
            <w:tcW w:type="dxa" w:w="4968"/>
          </w:tcPr>
          <w:p>
            <w:pPr>
              <w:jc w:val="center"/>
            </w:pPr>
            <w:r>
              <w:rPr>
                <w:rFonts w:ascii="Times New Roman" w:hAnsi="Times New Roman"/>
                <w:sz w:val="19"/>
              </w:rPr>
              <w:t>ROC-AUC</w:t>
            </w:r>
          </w:p>
        </w:tc>
        <w:tc>
          <w:tcPr>
            <w:tcW w:type="dxa" w:w="4968"/>
          </w:tcPr>
          <w:p>
            <w:pPr>
              <w:jc w:val="center"/>
            </w:pPr>
            <w:r>
              <w:rPr>
                <w:rFonts w:ascii="Times New Roman" w:hAnsi="Times New Roman"/>
                <w:sz w:val="19"/>
              </w:rPr>
              <w:t>86.82%</w:t>
            </w:r>
          </w:p>
        </w:tc>
      </w:tr>
    </w:tbl>
    <w:p>
      <w:pPr>
        <w:spacing w:before="160" w:after="60"/>
      </w:pPr>
      <w:r>
        <w:rPr>
          <w:rFonts w:ascii="Times New Roman" w:hAnsi="Times New Roman"/>
          <w:b/>
          <w:sz w:val="23"/>
        </w:rPr>
        <w:t>7. Key Model Drivers</w:t>
      </w:r>
    </w:p>
    <w:p>
      <w:pPr>
        <w:spacing w:after="100" w:line="259" w:lineRule="auto"/>
        <w:jc w:val="both"/>
      </w:pPr>
      <w:r>
        <w:rPr>
          <w:rFonts w:ascii="Times New Roman" w:hAnsi="Times New Roman"/>
          <w:b w:val="0"/>
          <w:sz w:val="21"/>
        </w:rPr>
        <w:t>Feature importance analysis of the Gradient Boosting model identified the following major contributors:</w:t>
      </w:r>
    </w:p>
    <w:p>
      <w:pPr>
        <w:pStyle w:val="ListBullet"/>
        <w:spacing w:after="40"/>
        <w:ind w:left="360"/>
      </w:pPr>
      <w:r>
        <w:rPr>
          <w:rFonts w:ascii="Times New Roman" w:hAnsi="Times New Roman"/>
          <w:sz w:val="21"/>
        </w:rPr>
        <w:t>Age — 0.388299</w:t>
      </w:r>
    </w:p>
    <w:p>
      <w:pPr>
        <w:pStyle w:val="ListBullet"/>
        <w:spacing w:after="40"/>
        <w:ind w:left="360"/>
      </w:pPr>
      <w:r>
        <w:rPr>
          <w:rFonts w:ascii="Times New Roman" w:hAnsi="Times New Roman"/>
          <w:sz w:val="21"/>
        </w:rPr>
        <w:t>NumOfProducts — 0.299886</w:t>
      </w:r>
    </w:p>
    <w:p>
      <w:pPr>
        <w:pStyle w:val="ListBullet"/>
        <w:spacing w:after="40"/>
        <w:ind w:left="360"/>
      </w:pPr>
      <w:r>
        <w:rPr>
          <w:rFonts w:ascii="Times New Roman" w:hAnsi="Times New Roman"/>
          <w:sz w:val="21"/>
        </w:rPr>
        <w:t>IsActiveMember — 0.113911</w:t>
      </w:r>
    </w:p>
    <w:p>
      <w:pPr>
        <w:pStyle w:val="ListBullet"/>
        <w:spacing w:after="40"/>
        <w:ind w:left="360"/>
      </w:pPr>
      <w:r>
        <w:rPr>
          <w:rFonts w:ascii="Times New Roman" w:hAnsi="Times New Roman"/>
          <w:sz w:val="21"/>
        </w:rPr>
        <w:t>Balance — 0.089054</w:t>
      </w:r>
    </w:p>
    <w:p>
      <w:pPr>
        <w:pStyle w:val="ListBullet"/>
        <w:spacing w:after="40"/>
        <w:ind w:left="360"/>
      </w:pPr>
      <w:r>
        <w:rPr>
          <w:rFonts w:ascii="Times New Roman" w:hAnsi="Times New Roman"/>
          <w:sz w:val="21"/>
        </w:rPr>
        <w:t>Geography_Germany — 0.055604</w:t>
      </w:r>
    </w:p>
    <w:p>
      <w:pPr>
        <w:spacing w:after="100" w:line="259" w:lineRule="auto"/>
        <w:jc w:val="both"/>
      </w:pPr>
      <w:r>
        <w:rPr>
          <w:rFonts w:ascii="Times New Roman" w:hAnsi="Times New Roman"/>
          <w:b w:val="0"/>
          <w:sz w:val="21"/>
        </w:rPr>
        <w:t>Age and Number of Products were the most influential features in the trained model, followed by Active Membership and Balance. SHAP analysis and partial dependence analysis were also performed to improve model interpretability.</w:t>
      </w:r>
    </w:p>
    <w:p>
      <w:pPr>
        <w:spacing w:before="160" w:after="60"/>
      </w:pPr>
      <w:r>
        <w:rPr>
          <w:rFonts w:ascii="Times New Roman" w:hAnsi="Times New Roman"/>
          <w:b/>
          <w:sz w:val="23"/>
        </w:rPr>
        <w:t>8. Streamlit Application</w:t>
      </w:r>
    </w:p>
    <w:p>
      <w:pPr>
        <w:spacing w:after="100" w:line="259" w:lineRule="auto"/>
        <w:jc w:val="both"/>
      </w:pPr>
      <w:r>
        <w:rPr>
          <w:rFonts w:ascii="Times New Roman" w:hAnsi="Times New Roman"/>
          <w:b w:val="0"/>
          <w:sz w:val="21"/>
        </w:rPr>
        <w:t>The trained Gradient Boosting model was integrated into an interactive Streamlit application providing Customer Risk Prediction, Churn Probability, Churn Probability Distribution, Feature Importance, a What-If Scenario Simulator, Original-versus-What-If Churn Probability Comparison, and Tableau Analytics Dashboard Integration.</w:t>
      </w:r>
    </w:p>
    <w:p>
      <w:pPr>
        <w:spacing w:after="100" w:line="259" w:lineRule="auto"/>
        <w:jc w:val="both"/>
      </w:pPr>
      <w:r>
        <w:rPr>
          <w:rFonts w:ascii="Times New Roman" w:hAnsi="Times New Roman"/>
          <w:b w:val="0"/>
          <w:sz w:val="21"/>
        </w:rPr>
        <w:t>The What-If Simulator allows users to modify customer characteristics and observe how the predicted churn probability changes.</w:t>
      </w:r>
    </w:p>
    <w:p>
      <w:pPr>
        <w:spacing w:before="160" w:after="60"/>
      </w:pPr>
      <w:r>
        <w:rPr>
          <w:rFonts w:ascii="Times New Roman" w:hAnsi="Times New Roman"/>
          <w:b/>
          <w:sz w:val="23"/>
        </w:rPr>
        <w:t>9. Tableau Dashboard</w:t>
      </w:r>
    </w:p>
    <w:p>
      <w:pPr>
        <w:spacing w:after="100" w:line="259" w:lineRule="auto"/>
        <w:jc w:val="both"/>
      </w:pPr>
      <w:r>
        <w:rPr>
          <w:rFonts w:ascii="Times New Roman" w:hAnsi="Times New Roman"/>
          <w:b w:val="0"/>
          <w:sz w:val="21"/>
        </w:rPr>
        <w:t>A Tableau dashboard was developed for business-level exploratory analysis. It includes Churn by Geography, Churn by Age Group, Churn by Gender, Churn by Active Status, Churn by Balance, and Churn by Number of Products. Tableau provides the business intelligence layer, while Streamlit provides machine-learning prediction and interactive scenario analysis.</w:t>
      </w:r>
    </w:p>
    <w:p>
      <w:pPr>
        <w:spacing w:after="100" w:line="259" w:lineRule="auto"/>
      </w:pPr>
      <w:r>
        <w:rPr>
          <w:rFonts w:ascii="Times New Roman" w:hAnsi="Times New Roman"/>
          <w:b w:val="0"/>
          <w:sz w:val="21"/>
        </w:rPr>
        <w:t>The combined exploratory analysis, Tableau dashboard, and machine-learning results provided several important business insights about customer churn.</w:t>
      </w:r>
    </w:p>
    <w:p>
      <w:pPr>
        <w:spacing w:before="160" w:after="60"/>
      </w:pPr>
      <w:r>
        <w:rPr>
          <w:rFonts w:ascii="Times New Roman" w:hAnsi="Times New Roman"/>
          <w:b/>
          <w:sz w:val="23"/>
        </w:rPr>
        <w:t>11. Business Recommendations</w:t>
      </w:r>
    </w:p>
    <w:p>
      <w:pPr>
        <w:pStyle w:val="ListBullet"/>
        <w:spacing w:after="40"/>
        <w:ind w:left="360"/>
      </w:pPr>
      <w:r>
        <w:rPr>
          <w:rFonts w:ascii="Times New Roman" w:hAnsi="Times New Roman"/>
          <w:sz w:val="21"/>
        </w:rPr>
        <w:t>Monitor customers with higher predicted churn probabilities.</w:t>
      </w:r>
    </w:p>
    <w:p>
      <w:pPr>
        <w:pStyle w:val="ListBullet"/>
        <w:spacing w:after="40"/>
        <w:ind w:left="360"/>
      </w:pPr>
      <w:r>
        <w:rPr>
          <w:rFonts w:ascii="Times New Roman" w:hAnsi="Times New Roman"/>
          <w:sz w:val="21"/>
        </w:rPr>
        <w:t>Pay attention to customer engagement and active membership.</w:t>
      </w:r>
    </w:p>
    <w:p>
      <w:pPr>
        <w:pStyle w:val="ListBullet"/>
        <w:spacing w:after="40"/>
        <w:ind w:left="360"/>
      </w:pPr>
      <w:r>
        <w:rPr>
          <w:rFonts w:ascii="Times New Roman" w:hAnsi="Times New Roman"/>
          <w:sz w:val="21"/>
        </w:rPr>
        <w:t>Analyse product utilization and the number of products held by customers.</w:t>
      </w:r>
    </w:p>
    <w:p>
      <w:pPr>
        <w:pStyle w:val="ListBullet"/>
        <w:spacing w:after="40"/>
        <w:ind w:left="360"/>
      </w:pPr>
      <w:r>
        <w:rPr>
          <w:rFonts w:ascii="Times New Roman" w:hAnsi="Times New Roman"/>
          <w:sz w:val="21"/>
        </w:rPr>
        <w:t>Use customer segmentation to identify groups with different churn patterns.</w:t>
      </w:r>
    </w:p>
    <w:p>
      <w:pPr>
        <w:pStyle w:val="ListBullet"/>
        <w:spacing w:after="40"/>
        <w:ind w:left="360"/>
      </w:pPr>
      <w:r>
        <w:rPr>
          <w:rFonts w:ascii="Times New Roman" w:hAnsi="Times New Roman"/>
          <w:sz w:val="21"/>
        </w:rPr>
        <w:t>Use predictive probabilities together with business information rather than treating them as standalone decisions.</w:t>
      </w:r>
    </w:p>
    <w:p>
      <w:pPr>
        <w:pStyle w:val="ListBullet"/>
        <w:spacing w:after="40"/>
        <w:ind w:left="360"/>
      </w:pPr>
      <w:r>
        <w:rPr>
          <w:rFonts w:ascii="Times New Roman" w:hAnsi="Times New Roman"/>
          <w:sz w:val="21"/>
        </w:rPr>
        <w:t>Customers with one product have higher churn (27.71%) than those with two products (7.58%).</w:t>
      </w:r>
    </w:p>
    <w:p>
      <w:pPr>
        <w:pStyle w:val="ListBullet"/>
        <w:spacing w:after="40"/>
        <w:ind w:left="360"/>
      </w:pPr>
      <w:r>
        <w:rPr>
          <w:rFonts w:ascii="Times New Roman" w:hAnsi="Times New Roman"/>
          <w:sz w:val="21"/>
        </w:rPr>
        <w:t>Customers with 200K–250K balances have a churn rate of 55.88%.</w:t>
      </w:r>
    </w:p>
    <w:p>
      <w:pPr>
        <w:pStyle w:val="ListBullet"/>
        <w:spacing w:after="40"/>
        <w:ind w:left="360"/>
      </w:pPr>
      <w:r>
        <w:rPr>
          <w:rFonts w:ascii="Times New Roman" w:hAnsi="Times New Roman"/>
          <w:sz w:val="21"/>
        </w:rPr>
        <w:t>Non-active members have higher churn (26.85%) than active members (14.27%).</w:t>
      </w:r>
    </w:p>
    <w:p>
      <w:pPr>
        <w:pStyle w:val="ListBullet"/>
        <w:spacing w:after="40"/>
        <w:ind w:left="360"/>
      </w:pPr>
      <w:r>
        <w:rPr>
          <w:rFonts w:ascii="Times New Roman" w:hAnsi="Times New Roman"/>
          <w:sz w:val="21"/>
        </w:rPr>
        <w:t>Germany has the highest country-level churn rate at 32.44%.</w:t>
      </w:r>
    </w:p>
    <w:p>
      <w:pPr>
        <w:pStyle w:val="ListBullet"/>
        <w:spacing w:after="40"/>
        <w:ind w:left="360"/>
      </w:pPr>
      <w:r>
        <w:rPr>
          <w:rFonts w:ascii="Times New Roman" w:hAnsi="Times New Roman"/>
          <w:sz w:val="21"/>
        </w:rPr>
        <w:t>Customers aged 43–62 show the highest churn levels, with 53–57 reaching 58.96%.</w:t>
      </w:r>
    </w:p>
    <w:p>
      <w:pPr>
        <w:spacing w:after="100" w:line="259" w:lineRule="auto"/>
      </w:pPr>
      <w:r>
        <w:rPr>
          <w:rFonts w:ascii="Times New Roman" w:hAnsi="Times New Roman"/>
          <w:sz w:val="21"/>
        </w:rPr>
        <w:t>The combined exploratory analysis and dashboard findings identified the following key business insights:</w:t>
      </w:r>
    </w:p>
    <w:p>
      <w:pPr>
        <w:pStyle w:val="ListBullet"/>
        <w:spacing w:after="40"/>
        <w:ind w:left="360"/>
      </w:pPr>
      <w:r>
        <w:rPr>
          <w:rFonts w:ascii="Times New Roman" w:hAnsi="Times New Roman"/>
          <w:sz w:val="21"/>
        </w:rPr>
        <w:t>Periodically evaluate the model using new customer data.</w:t>
      </w:r>
    </w:p>
    <w:p>
      <w:pPr>
        <w:spacing w:before="160" w:after="60"/>
      </w:pPr>
      <w:r>
        <w:rPr>
          <w:rFonts w:ascii="Times New Roman" w:hAnsi="Times New Roman"/>
          <w:b/>
          <w:sz w:val="23"/>
        </w:rPr>
        <w:t>12. Project Outcome</w:t>
      </w:r>
    </w:p>
    <w:p>
      <w:pPr>
        <w:spacing w:after="100" w:line="259" w:lineRule="auto"/>
        <w:jc w:val="both"/>
      </w:pPr>
      <w:r>
        <w:rPr>
          <w:rFonts w:ascii="Times New Roman" w:hAnsi="Times New Roman"/>
          <w:b w:val="0"/>
          <w:sz w:val="21"/>
        </w:rPr>
        <w:t>The project resulted in an end-to-end customer churn analytics and prediction solution that combines Data, EDA, Feature Engineering, Machine Learning, Model Interpretation, Streamlit, and Tableau. The completed work demonstrates practical experience in Python, data preprocessing, classification modelling, model evaluation, feature engineering, SHAP-based interpretation, Tableau, and Streamlit application development.</w:t>
      </w:r>
    </w:p>
    <w:p>
      <w:pPr>
        <w:spacing w:before="160" w:after="60"/>
      </w:pPr>
      <w:r>
        <w:rPr>
          <w:rFonts w:ascii="Times New Roman" w:hAnsi="Times New Roman"/>
          <w:b/>
          <w:sz w:val="23"/>
        </w:rPr>
        <w:t>13. Final Project Deliverables</w:t>
      </w:r>
    </w:p>
    <w:p>
      <w:pPr>
        <w:pStyle w:val="ListBullet"/>
        <w:spacing w:after="40"/>
        <w:ind w:left="360"/>
      </w:pPr>
      <w:r>
        <w:rPr>
          <w:rFonts w:ascii="Times New Roman" w:hAnsi="Times New Roman"/>
          <w:sz w:val="21"/>
        </w:rPr>
        <w:t>Exploratory Data Analysis</w:t>
      </w:r>
    </w:p>
    <w:p>
      <w:pPr>
        <w:pStyle w:val="ListBullet"/>
        <w:spacing w:after="40"/>
        <w:ind w:left="360"/>
      </w:pPr>
      <w:r>
        <w:rPr>
          <w:rFonts w:ascii="Times New Roman" w:hAnsi="Times New Roman"/>
          <w:sz w:val="21"/>
        </w:rPr>
        <w:t>Tableau Customer Churn Dashboard</w:t>
      </w:r>
    </w:p>
    <w:p>
      <w:pPr>
        <w:pStyle w:val="ListBullet"/>
        <w:spacing w:after="40"/>
        <w:ind w:left="360"/>
      </w:pPr>
      <w:r>
        <w:rPr>
          <w:rFonts w:ascii="Times New Roman" w:hAnsi="Times New Roman"/>
          <w:sz w:val="21"/>
        </w:rPr>
        <w:t>Five Machine Learning Models</w:t>
      </w:r>
    </w:p>
    <w:p>
      <w:pPr>
        <w:pStyle w:val="ListBullet"/>
        <w:spacing w:after="40"/>
        <w:ind w:left="360"/>
      </w:pPr>
      <w:r>
        <w:rPr>
          <w:rFonts w:ascii="Times New Roman" w:hAnsi="Times New Roman"/>
          <w:sz w:val="21"/>
        </w:rPr>
        <w:t>Model Evaluation and Comparison</w:t>
      </w:r>
    </w:p>
    <w:p>
      <w:pPr>
        <w:pStyle w:val="ListBullet"/>
        <w:spacing w:after="40"/>
        <w:ind w:left="360"/>
      </w:pPr>
      <w:r>
        <w:rPr>
          <w:rFonts w:ascii="Times New Roman" w:hAnsi="Times New Roman"/>
          <w:sz w:val="21"/>
        </w:rPr>
        <w:t>Feature Engineering</w:t>
      </w:r>
    </w:p>
    <w:p>
      <w:pPr>
        <w:pStyle w:val="ListBullet"/>
        <w:spacing w:after="40"/>
        <w:ind w:left="360"/>
      </w:pPr>
      <w:r>
        <w:rPr>
          <w:rFonts w:ascii="Times New Roman" w:hAnsi="Times New Roman"/>
          <w:sz w:val="21"/>
        </w:rPr>
        <w:t>Feature Importance Analysis</w:t>
      </w:r>
    </w:p>
    <w:p>
      <w:pPr>
        <w:pStyle w:val="ListBullet"/>
        <w:spacing w:after="40"/>
        <w:ind w:left="360"/>
      </w:pPr>
      <w:r>
        <w:rPr>
          <w:rFonts w:ascii="Times New Roman" w:hAnsi="Times New Roman"/>
          <w:sz w:val="21"/>
        </w:rPr>
        <w:t>SHAP Analysis</w:t>
      </w:r>
    </w:p>
    <w:p>
      <w:pPr>
        <w:pStyle w:val="ListBullet"/>
        <w:spacing w:after="40"/>
        <w:ind w:left="360"/>
      </w:pPr>
      <w:r>
        <w:rPr>
          <w:rFonts w:ascii="Times New Roman" w:hAnsi="Times New Roman"/>
          <w:sz w:val="21"/>
        </w:rPr>
        <w:t>Partial Dependence Analysis</w:t>
      </w:r>
    </w:p>
    <w:p>
      <w:pPr>
        <w:pStyle w:val="ListBullet"/>
        <w:spacing w:after="40"/>
        <w:ind w:left="360"/>
      </w:pPr>
      <w:r>
        <w:rPr>
          <w:rFonts w:ascii="Times New Roman" w:hAnsi="Times New Roman"/>
          <w:sz w:val="21"/>
        </w:rPr>
        <w:t>Classification Threshold Analysis</w:t>
      </w:r>
    </w:p>
    <w:p>
      <w:pPr>
        <w:pStyle w:val="ListBullet"/>
        <w:spacing w:after="40"/>
        <w:ind w:left="360"/>
      </w:pPr>
      <w:r>
        <w:rPr>
          <w:rFonts w:ascii="Times New Roman" w:hAnsi="Times New Roman"/>
          <w:sz w:val="21"/>
        </w:rPr>
        <w:t>Gradient Boosting Churn Model</w:t>
      </w:r>
    </w:p>
    <w:p>
      <w:pPr>
        <w:pStyle w:val="ListBullet"/>
        <w:spacing w:after="40"/>
        <w:ind w:left="360"/>
      </w:pPr>
      <w:r>
        <w:rPr>
          <w:rFonts w:ascii="Times New Roman" w:hAnsi="Times New Roman"/>
          <w:sz w:val="21"/>
        </w:rPr>
        <w:t>Streamlit Prediction Application</w:t>
      </w:r>
    </w:p>
    <w:p>
      <w:pPr>
        <w:pStyle w:val="ListBullet"/>
        <w:spacing w:after="40"/>
        <w:ind w:left="360"/>
      </w:pPr>
      <w:r>
        <w:rPr>
          <w:rFonts w:ascii="Times New Roman" w:hAnsi="Times New Roman"/>
          <w:sz w:val="21"/>
        </w:rPr>
        <w:t>What-If Scenario Simulator</w:t>
      </w:r>
    </w:p>
    <w:p>
      <w:pPr>
        <w:pStyle w:val="ListBullet"/>
        <w:spacing w:after="40"/>
        <w:ind w:left="360"/>
      </w:pPr>
      <w:r>
        <w:rPr>
          <w:rFonts w:ascii="Times New Roman" w:hAnsi="Times New Roman"/>
          <w:sz w:val="21"/>
        </w:rPr>
        <w:t>Tableau + Streamlit Integration</w:t>
      </w:r>
    </w:p>
    <w:p>
      <w:pPr>
        <w:pStyle w:val="ListBullet"/>
        <w:spacing w:after="40"/>
        <w:ind w:left="360"/>
      </w:pPr>
      <w:r>
        <w:rPr>
          <w:rFonts w:ascii="Times New Roman" w:hAnsi="Times New Roman"/>
          <w:sz w:val="21"/>
        </w:rPr>
        <w:t>Research Paper</w:t>
      </w:r>
    </w:p>
    <w:p>
      <w:pPr>
        <w:pStyle w:val="ListBullet"/>
        <w:spacing w:after="40"/>
        <w:ind w:left="360"/>
      </w:pPr>
      <w:r>
        <w:rPr>
          <w:rFonts w:ascii="Times New Roman" w:hAnsi="Times New Roman"/>
          <w:sz w:val="21"/>
        </w:rPr>
        <w:t>Executive Summary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