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PRÁCTICA N.º 5 — HOJA DE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f3d5c"/>
          <w:sz w:val="30"/>
          <w:szCs w:val="30"/>
          <w:rtl w:val="0"/>
        </w:rPr>
        <w:t xml:space="preserve">Comunicación de alto rendimiento con gRPC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a6b78"/>
          <w:sz w:val="19"/>
          <w:szCs w:val="19"/>
          <w:rtl w:val="0"/>
        </w:rPr>
        <w:t xml:space="preserve">COM-600 · Microservicios · Gestión 2/2026 · Tema 4 — Comunicación entre Microservicios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0"/>
        </w:trPr>
        <w:tc>
          <w:tcPr>
            <w:shd w:fill="e7ee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Saul Osvaldo Flores Mosquera </w:t>
            </w:r>
          </w:p>
        </w:tc>
      </w:tr>
      <w:tr>
        <w:trPr>
          <w:cantSplit w:val="0"/>
          <w:tblHeader w:val="0"/>
        </w:trPr>
        <w:tc>
          <w:tcPr>
            <w:shd w:fill="e7ee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Código universitario (CU)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35-5854</w:t>
            </w:r>
          </w:p>
        </w:tc>
      </w:tr>
      <w:tr>
        <w:trPr>
          <w:cantSplit w:val="0"/>
          <w:tblHeader w:val="0"/>
        </w:trPr>
        <w:tc>
          <w:tcPr>
            <w:shd w:fill="e7ee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Carrera y paralelo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Ing. de Sistemas</w:t>
            </w:r>
          </w:p>
        </w:tc>
      </w:tr>
      <w:tr>
        <w:trPr>
          <w:cantSplit w:val="0"/>
          <w:tblHeader w:val="0"/>
        </w:trPr>
        <w:tc>
          <w:tcPr>
            <w:shd w:fill="e7ee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10-09-26</w:t>
            </w:r>
          </w:p>
        </w:tc>
      </w:tr>
      <w:tr>
        <w:trPr>
          <w:cantSplit w:val="0"/>
          <w:tblHeader w:val="0"/>
        </w:trPr>
        <w:tc>
          <w:tcPr>
            <w:shd w:fill="e7ee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Sistema operativo, versión de Node y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e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Repositorio (URL)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1f8a7a" w:space="0" w:sz="4" w:val="single"/>
          <w:left w:color="1f8a7a" w:space="0" w:sz="18" w:val="single"/>
          <w:bottom w:color="1f8a7a" w:space="0" w:sz="4" w:val="single"/>
          <w:right w:color="1f8a7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1f5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80" w:line="25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8a7a"/>
                <w:sz w:val="20"/>
                <w:szCs w:val="20"/>
                <w:rtl w:val="0"/>
              </w:rPr>
              <w:t xml:space="preserve">Cómo se llena: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Este documento se completa mientras se ejecuta la Parte 1 del enunciado. Cada captura y cada pregunta lleva el mismo número aquí y allá.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="25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Las capturas deben ser de su propia máquina: debe verse el nombre de usuario o del equipo en la terminal. Recorte solo lo necesario, pero que el comando y su salida se lean con claridad.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5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 terminar, exporte este archivo a PDF y súbalo a la plataforma junto con el enlace del repositorio.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bottom w:color="d6dee5" w:space="3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d5c"/>
          <w:sz w:val="24"/>
          <w:szCs w:val="24"/>
          <w:rtl w:val="0"/>
        </w:rPr>
        <w:t xml:space="preserve">Control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Marque con una X a medida que complete cada laboratorio.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1500"/>
        <w:gridCol w:w="1500"/>
        <w:gridCol w:w="1546"/>
        <w:tblGridChange w:id="0">
          <w:tblGrid>
            <w:gridCol w:w="5200"/>
            <w:gridCol w:w="1500"/>
            <w:gridCol w:w="1500"/>
            <w:gridCol w:w="1546"/>
          </w:tblGrid>
        </w:tblGridChange>
      </w:tblGrid>
      <w:tr>
        <w:trPr>
          <w:cantSplit w:val="0"/>
          <w:tblHeader w:val="1"/>
        </w:trPr>
        <w:tc>
          <w:tcPr>
            <w:shd w:fill="e7ee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Capturas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Laboratorio 0 — Entorno y proyecto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1, 2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Laboratorio 1 — El archivo .proto como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3, 4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Laboratorio 2 — El servidor y la primera llamada unaria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5, 6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Laboratorio 3 — El cliente y los códigos de estado de gRPC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7, 8, 9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Laboratorio 4 — Streaming: cuando una sola respuesta no alcanza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10, 11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Laboratorio 5 — Evolución del contrato: agregar sin romper, y romper a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12, 13, 14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6, 7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Laboratorio 6 — Medir contra REST y empaquetar en la red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15, 16, 17, 18, 19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top w:color="1f8a7a" w:space="6" w:sz="12" w:val="single"/>
          <w:bottom w:color="1f8a7a" w:space="6" w:sz="12" w:val="single"/>
        </w:pBdr>
        <w:spacing w:after="14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4"/>
          <w:szCs w:val="24"/>
          <w:rtl w:val="0"/>
        </w:rPr>
        <w:t xml:space="preserve">PARTE 1 — EVIDENCIAS DE LOS LABORATORIOS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d6dee5" w:space="3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d5c"/>
          <w:sz w:val="24"/>
          <w:szCs w:val="24"/>
          <w:rtl w:val="0"/>
        </w:rPr>
        <w:t xml:space="preserve">Laboratorio 0 — Entorno y proyecto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salida de los cuatro comandos anteriores en su terminal, incluido el código 200 del servicio REST.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816347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8163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f3d5c"/>
          <w:sz w:val="20"/>
          <w:szCs w:val="20"/>
          <w:rtl w:val="0"/>
        </w:rPr>
        <w:t xml:space="preserve">Pregunta N.º 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Ya cuenta con un servicio REST y con una capa GraphQL. Describa una situación concreta de su proyecto integrador —quién llama a quién, cada cuánto y con qué volumen de datos— en la que agregar un tercer estilo de comunicación estaría justificado. Si no encuentra ninguna, dígalo y explique por qué.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gRPC es un marco RPC de alto rendimiento desarrollado por Google que utiliza HTTP/2 para el transporte y Protocol Buffers (Protobuf) para la serialización binaria de datos, a diferencia de REST que emplea HTTP/1.1 y formato JSON.</w:t>
            </w:r>
          </w:p>
        </w:tc>
      </w:tr>
    </w:tbl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salida de npm install mostrando los dos paquetes instalados y la estructura de carpetas creada.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800" w:before="8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5803900"/>
                  <wp:effectExtent b="0" l="0" r="0" t="0"/>
                  <wp:docPr id="1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580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d6dee5" w:space="3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d5c"/>
          <w:sz w:val="24"/>
          <w:szCs w:val="24"/>
          <w:rtl w:val="0"/>
        </w:rPr>
        <w:t xml:space="preserve">Laboratorio 1 — El archivo .proto como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salida de node src/inspeccionar.js con los tipos declarados y la ruta de los dos métodos.</w:t>
      </w: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6070600"/>
                  <wp:effectExtent b="0" l="0" r="0" t="0"/>
                  <wp:docPr id="1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607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salida de node src/bytes.js mostrando los dos tamaños y el volcado hexadecimal del mensaje protobuf.</w:t>
      </w: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4737100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473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f3d5c"/>
          <w:sz w:val="20"/>
          <w:szCs w:val="20"/>
          <w:rtl w:val="0"/>
        </w:rPr>
        <w:t xml:space="preserve">Pregunta N.º 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En el volcado hexadecimal no aparece ninguno de los nombres de campo, solo sus números. Enuncie dos consecuencias prácticas de ese hecho para el equipo que mantiene el .proto: una favorable y una peligrosa.</w:t>
      </w: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 un mecanismo neutro de lenguaje e independiente de la plataforma para serializar datos estructurados de forma binaria, ligera y eficiente.</w:t>
            </w:r>
          </w:p>
        </w:tc>
      </w:tr>
    </w:tbl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d6dee5" w:space="3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d5c"/>
          <w:sz w:val="24"/>
          <w:szCs w:val="24"/>
          <w:rtl w:val="0"/>
        </w:rPr>
        <w:t xml:space="preserve">Laboratorio 2 — El servidor y la primera llamada unaria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 terminal con el mensaje «Servicio gRPC escuchando en el puerto 50051».</w:t>
      </w: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6464672"/>
                  <wp:effectExtent b="0" l="0" r="0" t="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64646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las dos llamadas de grpcurl con sus respuestas en la segunda terminal.</w:t>
      </w: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711200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711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f3d5c"/>
          <w:sz w:val="20"/>
          <w:szCs w:val="20"/>
          <w:rtl w:val="0"/>
        </w:rPr>
        <w:t xml:space="preserve">Pregunta N.º 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A la API REST de la Práctica 3 le pudo hablar con curl sin darle ningún archivo adicional; a este servicio hay que pasarle el .proto. Explique a qué se debe esa diferencia y qué gana y qué pierde un equipo por ella.</w:t>
      </w: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de la diferencia:</w:t>
            </w:r>
            <w:r w:rsidDel="00000000" w:rsidR="00000000" w:rsidRPr="00000000">
              <w:rPr>
                <w:rtl w:val="0"/>
              </w:rPr>
              <w:t xml:space="preserve"> REST utiliza JSON (texto plano), mientras que gRPC utiliza Protocol Buffers (formato binario). El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.proto</w:t>
            </w:r>
            <w:r w:rsidDel="00000000" w:rsidR="00000000" w:rsidRPr="00000000">
              <w:rPr>
                <w:rtl w:val="0"/>
              </w:rPr>
              <w:t xml:space="preserve"> es indispensable para que el cliente sepa cómo codificar y decodificar la información.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que se gana: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Menor tamaño de datos y mayor velocidad de transmisión.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Tipado estricto y contrato claro de la interfaz.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que se pierde: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Facilidad de depuración directa con herramientas comunes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Flexibilidad, al depender siempre del esquema del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.proto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d6dee5" w:space="3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d5c"/>
          <w:sz w:val="24"/>
          <w:szCs w:val="24"/>
          <w:rtl w:val="0"/>
        </w:rPr>
        <w:t xml:space="preserve">Laboratorio 3 — El cliente y los códigos de estado de gRPC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7: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salida de node src/cliente.js con el estudiante agregado y luego obtenido.</w:t>
      </w: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7112000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711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8: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las dos ejecuciones de buscar.js: la que devuelve NOT_FOUND con su código 5 y la que encuentra al estudiante.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56769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567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f3d5c"/>
          <w:sz w:val="20"/>
          <w:szCs w:val="20"/>
          <w:rtl w:val="0"/>
        </w:rPr>
        <w:t xml:space="preserve">Pregunta N.º 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Su servicio A llama a su servicio B y recibe un error. Explique por qué la decisión de reintentar la llamada no puede ser la misma si el código es UNAVAILABLE (14) que si es DEADLINE_EXCEEDED (4). Use un ejemplo de su proyecto integrador en el que reintentar por error causaría un daño real.</w:t>
      </w: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la arquitectura gRPC de esta práctica, el componente que realiza el rol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Servidor REST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 gRPC</w:t>
            </w:r>
            <w:r w:rsidDel="00000000" w:rsidR="00000000" w:rsidRPr="00000000">
              <w:rPr>
                <w:rtl w:val="0"/>
              </w:rPr>
              <w:t xml:space="preserve"> al mismo tiempo es el archivo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src/cliente.js</w:t>
            </w:r>
            <w:r w:rsidDel="00000000" w:rsidR="00000000" w:rsidRPr="00000000">
              <w:rPr>
                <w:rtl w:val="0"/>
              </w:rPr>
              <w:t xml:space="preserve"> (o servicio REST API).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Servidor REST:</w:t>
            </w:r>
            <w:r w:rsidDel="00000000" w:rsidR="00000000" w:rsidRPr="00000000">
              <w:rPr>
                <w:rtl w:val="0"/>
              </w:rPr>
              <w:t xml:space="preserve"> Expone un puerto HTTP (puerto 3000) mediante la librería Express y recibe las peticiones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  <w:t xml:space="preserve"> o del navegador desde el cliente exterior.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Cliente gRPC:</w:t>
            </w:r>
            <w:r w:rsidDel="00000000" w:rsidR="00000000" w:rsidRPr="00000000">
              <w:rPr>
                <w:rtl w:val="0"/>
              </w:rPr>
              <w:t xml:space="preserve"> Recibe la petición HTTP, la transforma y la reenvía mediante la librería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@grpc/grpc-js</w:t>
            </w:r>
            <w:r w:rsidDel="00000000" w:rsidR="00000000" w:rsidRPr="00000000">
              <w:rPr>
                <w:rtl w:val="0"/>
              </w:rPr>
              <w:t xml:space="preserve"> hacia el servicio gRPC interno (puerto 50051) para obtener los datos.</w:t>
            </w:r>
          </w:p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9: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las dos llamadas fallidas mostrando los códigos Unimplemented y DeadlineExceeded.</w:t>
      </w: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97790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d6dee5" w:space="3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d5c"/>
          <w:sz w:val="24"/>
          <w:szCs w:val="24"/>
          <w:rtl w:val="0"/>
        </w:rPr>
        <w:t xml:space="preserve">Laboratorio 4 — Streaming: cuando una sola respuesta no alcanza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10: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salida de node src/listar.js mostrando el estudiante recibido por el flujo y el mensaje «fin del flujo».</w:t>
      </w: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800" w:before="80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6102722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61027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salida de node src/listar.js Sistemas con los tiempos del primer y del último estudiante recibidos.</w:t>
      </w:r>
      <w:r w:rsidDel="00000000" w:rsidR="00000000" w:rsidRPr="00000000">
        <w:rPr>
          <w:rtl w:val="0"/>
        </w:rPr>
      </w:r>
    </w:p>
    <w:tbl>
      <w:tblPr>
        <w:tblStyle w:val="Table18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800" w:before="800" w:lineRule="auto"/>
              <w:jc w:val="left"/>
              <w:rPr>
                <w:i w:val="1"/>
                <w:iCs w:val="1"/>
                <w:color w:val="8f9eaa"/>
              </w:rPr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224790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f3d5c"/>
          <w:sz w:val="20"/>
          <w:szCs w:val="20"/>
          <w:rtl w:val="0"/>
        </w:rPr>
        <w:t xml:space="preserve">Pregunta N.º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Describa una operación de su proyecto integrador en la que el flujo del servidor sería una mejora real frente a devolver el arreglo completo, y otra en la que sería una complicación sin beneficio. Justifique cada caso con el volumen de datos y con lo que el cliente hace mientras espera.</w:t>
      </w: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 que gRPC permite comunicación en streaming en ambas direcciones (cliente y servidor) en tiempo real gracias a multiplexación HTTP/2, mientras que REST (HTTP/1.1) funciona mediante el modelo tradicional de petición/respuesta individual.</w:t>
            </w:r>
          </w:p>
        </w:tc>
      </w:tr>
    </w:tbl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d6dee5" w:space="3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d5c"/>
          <w:sz w:val="24"/>
          <w:szCs w:val="24"/>
          <w:rtl w:val="0"/>
        </w:rPr>
        <w:t xml:space="preserve">Laboratorio 5 — Evolución del contrato: agregar sin romper, y romper a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las dos ejecuciones seguidas: el cliente nuevo mostrando el correo y el cliente viejo respondiendo bien sin ese campo.</w:t>
      </w:r>
      <w:r w:rsidDel="00000000" w:rsidR="00000000" w:rsidRPr="00000000">
        <w:rPr>
          <w:rtl w:val="0"/>
        </w:rPr>
      </w:r>
    </w:p>
    <w:tbl>
      <w:tblPr>
        <w:tblStyle w:val="Table20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8509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 salida del cliente viejo mostrando el valor equivocado en el campo carrera, sin ningún mensaje de error.</w:t>
      </w:r>
      <w:r w:rsidDel="00000000" w:rsidR="00000000" w:rsidRPr="00000000">
        <w:rPr>
          <w:rtl w:val="0"/>
        </w:rPr>
      </w:r>
    </w:p>
    <w:tbl>
      <w:tblPr>
        <w:tblStyle w:val="Table21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4864472"/>
                  <wp:effectExtent b="0" l="0" r="0" t="0"/>
                  <wp:docPr id="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48644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f3d5c"/>
          <w:sz w:val="20"/>
          <w:szCs w:val="20"/>
          <w:rtl w:val="0"/>
        </w:rPr>
        <w:t xml:space="preserve">Pregunta N.º 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Este cambio no produjo ningún error: produjo un dato incorrecto que parece correcto. Compárelo con lo que habría pasado en la API REST de la Práctica 3 si alguien renombra un campo del JSON. ¿Cuál de las dos fallas es más fácil de detectar y por qué?</w:t>
      </w:r>
      <w:r w:rsidDel="00000000" w:rsidR="00000000" w:rsidRPr="00000000">
        <w:rPr>
          <w:rtl w:val="0"/>
        </w:rPr>
      </w:r>
    </w:p>
    <w:tbl>
      <w:tblPr>
        <w:tblStyle w:val="Table22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Servidor:</w:t>
            </w:r>
            <w:r w:rsidDel="00000000" w:rsidR="00000000" w:rsidRPr="00000000">
              <w:rPr>
                <w:rtl w:val="0"/>
              </w:rPr>
              <w:t xml:space="preserve"> Lee los datos del archivo local o base de datos y los envía al cliente convertidos al formato binario definido en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.proto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  <w:t xml:space="preserve"> Recibe el stream binario, reconstruye las estructuras de datos y procesa cada elemento incrementalmente a medida que llega.</w:t>
            </w:r>
          </w:p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el error de carga del .proto al intentar reutilizar un número reservado, y el arranque correcto una vez corregido.</w:t>
      </w: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100330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f3d5c"/>
          <w:sz w:val="20"/>
          <w:szCs w:val="20"/>
          <w:rtl w:val="0"/>
        </w:rPr>
        <w:t xml:space="preserve">Pregunta N.º 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Formule, en una sola frase y con sus palabras, la regla que su equipo debería escribir en el README del repositorio para que nadie vuelva a reutilizar el número de un campo. Indique además quién debería revisarla y en qué momento del trabajo.</w:t>
      </w:r>
      <w:r w:rsidDel="00000000" w:rsidR="00000000" w:rsidRPr="00000000">
        <w:rPr>
          <w:rtl w:val="0"/>
        </w:rPr>
      </w:r>
    </w:p>
    <w:tbl>
      <w:tblPr>
        <w:tblStyle w:val="Table24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Permite enviar grandes volúmenes de información en fragmentos (chunks) progresivos, evitando saturar la memoria RAM del servidor y reduciendo la latencia de respuesta inicial.</w:t>
            </w:r>
          </w:p>
        </w:tc>
      </w:tr>
    </w:tbl>
    <w:p w:rsidR="00000000" w:rsidDel="00000000" w:rsidP="00000000" w:rsidRDefault="00000000" w:rsidRPr="00000000" w14:paraId="000000C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d6dee5" w:space="3" w:sz="6" w:val="single"/>
        </w:pBdr>
        <w:spacing w:after="120" w:before="300" w:lineRule="auto"/>
        <w:rPr>
          <w:b w:val="1"/>
          <w:bCs w:val="1"/>
          <w:color w:val="0f3d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d6dee5" w:space="3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d5c"/>
          <w:sz w:val="24"/>
          <w:szCs w:val="24"/>
          <w:rtl w:val="0"/>
        </w:rPr>
        <w:t xml:space="preserve">Laboratorio 6 — Medir contra REST y empaquetar en la red de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las mediciones con curl del servicio REST, con el tamaño en bytes y el tiempo de cada llamada.</w:t>
      </w:r>
      <w:r w:rsidDel="00000000" w:rsidR="00000000" w:rsidRPr="00000000">
        <w:rPr>
          <w:rtl w:val="0"/>
        </w:rPr>
      </w:r>
    </w:p>
    <w:tbl>
      <w:tblPr>
        <w:tblStyle w:val="Table25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10033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salida de node src/medir.js con el promedio de las diez llamadas y los dos tamaños de la respuesta.</w:t>
      </w:r>
      <w:r w:rsidDel="00000000" w:rsidR="00000000" w:rsidRPr="00000000">
        <w:rPr>
          <w:rtl w:val="0"/>
        </w:rPr>
      </w:r>
    </w:p>
    <w:tbl>
      <w:tblPr>
        <w:tblStyle w:val="Table26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33655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17: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 tabla de comparación completada con sus propias mediciones de las Prácticas 3, 4 y 5.</w:t>
      </w:r>
      <w:r w:rsidDel="00000000" w:rsidR="00000000" w:rsidRPr="00000000">
        <w:rPr>
          <w:rtl w:val="0"/>
        </w:rPr>
      </w:r>
    </w:p>
    <w:tbl>
      <w:tblPr>
        <w:tblStyle w:val="Table27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685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f3d5c"/>
          <w:sz w:val="20"/>
          <w:szCs w:val="20"/>
          <w:rtl w:val="0"/>
        </w:rPr>
        <w:t xml:space="preserve">Pregunta N.º 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Con sus tres columnas a la vista: ¿por qué sería un error exponer este servicio gRPC directamente al navegador de un usuario final, aunque sea el más rápido de los tres? Y a la inversa: ¿por qué sería un error que sus servicios internos se hablen entre ellos por REST si ya tienen este contrato?</w:t>
      </w:r>
      <w:r w:rsidDel="00000000" w:rsidR="00000000" w:rsidRPr="00000000">
        <w:rPr>
          <w:rtl w:val="0"/>
        </w:rPr>
      </w:r>
    </w:p>
    <w:tbl>
      <w:tblPr>
        <w:tblStyle w:val="Table28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.proto</w:t>
            </w:r>
            <w:r w:rsidDel="00000000" w:rsidR="00000000" w:rsidRPr="00000000">
              <w:rPr>
                <w:rtl w:val="0"/>
              </w:rPr>
              <w:t xml:space="preserve"> sirve como el contrato de interfaz independiente del lenguaje que define las estructuras de los mensajes y los métodos gRPC que expone el servidor.</w:t>
            </w:r>
          </w:p>
        </w:tc>
      </w:tr>
    </w:tbl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0" w:line="260" w:lineRule="auto"/>
        <w:jc w:val="both"/>
        <w:rPr>
          <w:b w:val="1"/>
          <w:bCs w:val="1"/>
          <w:color w:val="1f8a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18: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 respuesta de curl al servicio REST devolviendo datos que vinieron por gRPC, junto a la salida de docker compose ps con los dos contenedores.</w:t>
      </w:r>
      <w:r w:rsidDel="00000000" w:rsidR="00000000" w:rsidRPr="00000000">
        <w:rPr>
          <w:rtl w:val="0"/>
        </w:rPr>
      </w:r>
    </w:p>
    <w:tbl>
      <w:tblPr>
        <w:tblStyle w:val="Table29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f9eaa"/>
              </w:rPr>
              <w:drawing>
                <wp:inline distB="114300" distT="114300" distL="114300" distR="114300">
                  <wp:extent cx="6057900" cy="35687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356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8a7a"/>
          <w:sz w:val="20"/>
          <w:szCs w:val="20"/>
          <w:rtl w:val="0"/>
        </w:rPr>
        <w:t xml:space="preserve">Captura N.º 19: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 página del repositorio en GitHub mostrando la carpeta practica5-grpc con proto/, proto-v1/, src/, el Dockerfile y el README.</w:t>
      </w:r>
      <w:r w:rsidDel="00000000" w:rsidR="00000000" w:rsidRPr="00000000">
        <w:rPr>
          <w:rtl w:val="0"/>
        </w:rPr>
      </w:r>
    </w:p>
    <w:tbl>
      <w:tblPr>
        <w:tblStyle w:val="Table30"/>
        <w:tblW w:w="9746.0" w:type="dxa"/>
        <w:jc w:val="left"/>
        <w:tblBorders>
          <w:top w:color="d6dee5" w:space="0" w:sz="4" w:val="dashed"/>
          <w:left w:color="d6dee5" w:space="0" w:sz="4" w:val="dashed"/>
          <w:bottom w:color="d6dee5" w:space="0" w:sz="4" w:val="dashed"/>
          <w:right w:color="d6dee5" w:space="0" w:sz="4" w:val="dashed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800" w:before="8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f9eaa"/>
                <w:sz w:val="20"/>
                <w:szCs w:val="20"/>
                <w:rtl w:val="0"/>
              </w:rPr>
              <w:t xml:space="preserve">[ Pegue aquí la captura de pantalla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d6dee5" w:space="3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d5c"/>
          <w:sz w:val="24"/>
          <w:szCs w:val="24"/>
          <w:rtl w:val="0"/>
        </w:rPr>
        <w:t xml:space="preserve">Cierre de la Parte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0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Responda brevemente antes de entregar: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¿Qué parte de la práctica le resultó más difícil y por qué?</w:t>
      </w: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 orquestación con Docker Compose. Se complicó sincronizar las rutas del proyecto, exponer los puertos (3000 y 50051) y conectar la API REST con el servidor gRPC dentro de una red de contenedores aislada.</w:t>
            </w:r>
          </w:p>
        </w:tc>
      </w:tr>
    </w:tbl>
    <w:p w:rsidR="00000000" w:rsidDel="00000000" w:rsidP="00000000" w:rsidRDefault="00000000" w:rsidRPr="00000000" w14:paraId="00000103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¿Qué error tuvo que resolver por su cuenta y cómo lo resolvió?</w:t>
      </w:r>
      <w:r w:rsidDel="00000000" w:rsidR="00000000" w:rsidRPr="00000000">
        <w:rPr>
          <w:rtl w:val="0"/>
        </w:rPr>
      </w:r>
    </w:p>
    <w:tbl>
      <w:tblPr>
        <w:tblStyle w:val="Table32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 falla por el puerto 3000 ocupado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 is already allocated</w:t>
            </w:r>
            <w:r w:rsidDel="00000000" w:rsidR="00000000" w:rsidRPr="00000000">
              <w:rPr>
                <w:rtl w:val="0"/>
              </w:rPr>
              <w:t xml:space="preserve">) y la ausencia del módulo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</w:t>
            </w:r>
            <w:r w:rsidDel="00000000" w:rsidR="00000000" w:rsidRPr="00000000">
              <w:rPr>
                <w:rtl w:val="0"/>
              </w:rPr>
              <w:t xml:space="preserve">. Se resolvió liberando el puerto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fuser -k 3000/tcp</w:t>
            </w:r>
            <w:r w:rsidDel="00000000" w:rsidR="00000000" w:rsidRPr="00000000">
              <w:rPr>
                <w:rtl w:val="0"/>
              </w:rPr>
              <w:t xml:space="preserve">, instalando la dependencia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express</w:t>
            </w:r>
            <w:r w:rsidDel="00000000" w:rsidR="00000000" w:rsidRPr="00000000">
              <w:rPr>
                <w:rtl w:val="0"/>
              </w:rPr>
              <w:t xml:space="preserve"> y recompilando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 -d --build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6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0" w:line="2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¿Qué haría distinto si tuviera que repetir esta práctica?</w:t>
      </w:r>
      <w:r w:rsidDel="00000000" w:rsidR="00000000" w:rsidRPr="00000000">
        <w:rPr>
          <w:rtl w:val="0"/>
        </w:rPr>
      </w:r>
    </w:p>
    <w:tbl>
      <w:tblPr>
        <w:tblStyle w:val="Table33"/>
        <w:tblW w:w="9746.0" w:type="dxa"/>
        <w:jc w:val="left"/>
        <w:tblBorders>
          <w:top w:color="d6dee5" w:space="0" w:sz="4" w:val="single"/>
          <w:left w:color="d6dee5" w:space="0" w:sz="4" w:val="single"/>
          <w:bottom w:color="d6dee5" w:space="0" w:sz="4" w:val="single"/>
          <w:right w:color="d6de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Definir la estructura de carpetas,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  <w:t xml:space="preserve"> y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 desde el primer paso, agregando un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.dockerignore</w:t>
            </w:r>
            <w:r w:rsidDel="00000000" w:rsidR="00000000" w:rsidRPr="00000000">
              <w:rPr>
                <w:rtl w:val="0"/>
              </w:rPr>
              <w:t xml:space="preserve"> para optimizar el tiempo de construcción de las imágenes.</w:t>
            </w:r>
          </w:p>
        </w:tc>
      </w:tr>
    </w:tbl>
    <w:p w:rsidR="00000000" w:rsidDel="00000000" w:rsidP="00000000" w:rsidRDefault="00000000" w:rsidRPr="00000000" w14:paraId="0000010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46.0" w:type="dxa"/>
        <w:jc w:val="left"/>
        <w:tblBorders>
          <w:top w:color="b3261e" w:space="0" w:sz="4" w:val="single"/>
          <w:left w:color="b3261e" w:space="0" w:sz="18" w:val="single"/>
          <w:bottom w:color="b3261e" w:space="0" w:sz="4" w:val="single"/>
          <w:right w:color="b326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1f5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5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3261e"/>
                <w:sz w:val="20"/>
                <w:szCs w:val="20"/>
                <w:rtl w:val="0"/>
              </w:rPr>
              <w:t xml:space="preserve">Declaración de autoría: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Declaro que las capturas presentadas fueron tomadas en mi propio equipo y que las respuestas son de mi autoría. Entiendo que presentar evidencias de otra persona anula la Parte 1 de esta práctica.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a6b78"/>
                <w:sz w:val="18"/>
                <w:szCs w:val="18"/>
                <w:rtl w:val="0"/>
              </w:rPr>
              <w:t xml:space="preserve">Firma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a6b78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8" w:w="11906" w:orient="portrait"/>
      <w:pgMar w:bottom="1080" w:top="1400" w:left="1080" w:right="1080" w:header="560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Bdr>
        <w:top w:color="d6dee5" w:space="3" w:sz="4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f9eaa"/>
        <w:sz w:val="15"/>
        <w:szCs w:val="15"/>
        <w:rtl w:val="0"/>
      </w:rPr>
      <w:t xml:space="preserve">COM-600 Microservicios · Práctica N.º 5 · Hoja de Evidencias</w:t>
    </w:r>
    <w:r w:rsidDel="00000000" w:rsidR="00000000" w:rsidRPr="00000000">
      <w:rPr>
        <w:rFonts w:ascii="Arial" w:cs="Arial" w:eastAsia="Arial" w:hAnsi="Arial"/>
        <w:color w:val="8f9eaa"/>
        <w:sz w:val="15"/>
        <w:szCs w:val="15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f9eaa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f9eaa"/>
        <w:sz w:val="15"/>
        <w:szCs w:val="15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f9eaa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6"/>
      <w:tblW w:w="9746.0" w:type="dxa"/>
      <w:jc w:val="left"/>
      <w:tblBorders>
        <w:top w:color="000000" w:space="0" w:sz="0" w:val="nil"/>
        <w:left w:color="000000" w:space="0" w:sz="0" w:val="nil"/>
        <w:bottom w:color="d6dee5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400"/>
      <w:gridCol w:w="3346"/>
      <w:tblGridChange w:id="0">
        <w:tblGrid>
          <w:gridCol w:w="6400"/>
          <w:gridCol w:w="3346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13">
          <w:pPr>
            <w:spacing w:after="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0f3d5c"/>
              <w:sz w:val="15"/>
              <w:szCs w:val="15"/>
              <w:rtl w:val="0"/>
            </w:rPr>
            <w:t xml:space="preserve">UNIVERSIDAD MAYOR REAL Y PONTIFICIA DE SAN FRANCISCO XAVIER DE CHUQUISACA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4">
          <w:pPr>
            <w:spacing w:after="40" w:lineRule="auto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5a6b78"/>
              <w:sz w:val="15"/>
              <w:szCs w:val="15"/>
              <w:rtl w:val="0"/>
            </w:rPr>
            <w:t xml:space="preserve">Facultad de Ciencia y Tecnología · COM-600 Microservicios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15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f8a7a"/>
              <w:sz w:val="15"/>
              <w:szCs w:val="15"/>
              <w:rtl w:val="0"/>
            </w:rPr>
            <w:t xml:space="preserve">PRÁCTICA N.º 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6">
    <w:pPr>
      <w:spacing w:after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.png"/><Relationship Id="rId21" Type="http://schemas.openxmlformats.org/officeDocument/2006/relationships/image" Target="media/image6.png"/><Relationship Id="rId24" Type="http://schemas.openxmlformats.org/officeDocument/2006/relationships/header" Target="header1.xm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4.png"/><Relationship Id="rId11" Type="http://schemas.openxmlformats.org/officeDocument/2006/relationships/image" Target="media/image11.png"/><Relationship Id="rId10" Type="http://schemas.openxmlformats.org/officeDocument/2006/relationships/image" Target="media/image17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19" Type="http://schemas.openxmlformats.org/officeDocument/2006/relationships/image" Target="media/image5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