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69F99A" w14:textId="77777777" w:rsidR="00023854" w:rsidRPr="00023854" w:rsidRDefault="00023854">
      <w:pPr>
        <w:rPr>
          <w:sz w:val="32"/>
          <w:szCs w:val="32"/>
          <w:lang w:val="es-VE"/>
        </w:rPr>
      </w:pPr>
    </w:p>
    <w:p w14:paraId="179963B0" w14:textId="77777777" w:rsidR="000217A9" w:rsidRPr="001C2E65" w:rsidRDefault="00091931" w:rsidP="000217A9">
      <w:pPr>
        <w:adjustRightInd w:val="0"/>
        <w:snapToGrid w:val="0"/>
        <w:jc w:val="both"/>
        <w:outlineLvl w:val="0"/>
        <w:rPr>
          <w:rFonts w:ascii="Arial" w:hAnsi="Arial" w:cs="Arial"/>
          <w:b/>
          <w:bCs/>
          <w:kern w:val="36"/>
          <w:sz w:val="44"/>
          <w:szCs w:val="44"/>
        </w:rPr>
      </w:pPr>
      <w:r>
        <w:rPr>
          <w:rFonts w:ascii="Arial" w:hAnsi="Arial" w:cs="Arial"/>
          <w:b/>
          <w:bCs/>
          <w:kern w:val="36"/>
          <w:sz w:val="44"/>
          <w:szCs w:val="44"/>
        </w:rPr>
        <w:t xml:space="preserve">EL ACUERDO PETROLERO </w:t>
      </w:r>
      <w:r w:rsidRPr="001C2E65">
        <w:rPr>
          <w:rFonts w:ascii="Arial" w:hAnsi="Arial" w:cs="Arial"/>
          <w:b/>
          <w:bCs/>
          <w:kern w:val="36"/>
          <w:sz w:val="44"/>
          <w:szCs w:val="44"/>
        </w:rPr>
        <w:t>ENTRE ESTADOS UNIDOS Y VENEZUELA</w:t>
      </w:r>
      <w:r>
        <w:rPr>
          <w:rFonts w:ascii="Arial" w:hAnsi="Arial" w:cs="Arial"/>
          <w:b/>
          <w:bCs/>
          <w:kern w:val="36"/>
          <w:sz w:val="44"/>
          <w:szCs w:val="44"/>
        </w:rPr>
        <w:t xml:space="preserve">: 4,2 BILLONES DE DÓLARES </w:t>
      </w:r>
    </w:p>
    <w:p w14:paraId="72920923" w14:textId="77777777" w:rsidR="00023854" w:rsidRPr="007C6E77" w:rsidRDefault="00023854" w:rsidP="00023854">
      <w:pPr>
        <w:adjustRightInd w:val="0"/>
        <w:snapToGrid w:val="0"/>
        <w:jc w:val="both"/>
        <w:outlineLvl w:val="0"/>
        <w:rPr>
          <w:rFonts w:ascii="Arial" w:hAnsi="Arial" w:cs="Arial"/>
          <w:i/>
          <w:iCs/>
          <w:kern w:val="36"/>
        </w:rPr>
      </w:pPr>
    </w:p>
    <w:p w14:paraId="67757860" w14:textId="77777777" w:rsidR="007C6E77" w:rsidRPr="007C6E77" w:rsidRDefault="007C6E77" w:rsidP="007C6E77">
      <w:pPr>
        <w:adjustRightInd w:val="0"/>
        <w:snapToGrid w:val="0"/>
        <w:jc w:val="both"/>
        <w:rPr>
          <w:rFonts w:ascii="Arial" w:hAnsi="Arial" w:cs="Arial"/>
          <w:i/>
          <w:iCs/>
        </w:rPr>
      </w:pPr>
      <w:r w:rsidRPr="00023854">
        <w:rPr>
          <w:rFonts w:ascii="Arial" w:hAnsi="Arial" w:cs="Arial"/>
          <w:i/>
          <w:iCs/>
        </w:rPr>
        <w:t>A través de una lente</w:t>
      </w:r>
      <w:r w:rsidRPr="007C6E77">
        <w:rPr>
          <w:rFonts w:ascii="Arial" w:hAnsi="Arial" w:cs="Arial"/>
          <w:i/>
          <w:iCs/>
        </w:rPr>
        <w:t xml:space="preserve"> económica </w:t>
      </w:r>
      <w:r w:rsidR="00091931">
        <w:rPr>
          <w:rFonts w:ascii="Arial" w:hAnsi="Arial" w:cs="Arial"/>
          <w:i/>
          <w:iCs/>
        </w:rPr>
        <w:t xml:space="preserve">y financiera </w:t>
      </w:r>
      <w:r w:rsidRPr="00023854">
        <w:rPr>
          <w:rFonts w:ascii="Arial" w:hAnsi="Arial" w:cs="Arial"/>
          <w:i/>
          <w:iCs/>
        </w:rPr>
        <w:t>pragmática se deconstruye</w:t>
      </w:r>
      <w:r w:rsidRPr="007C6E77">
        <w:rPr>
          <w:rFonts w:ascii="Arial" w:hAnsi="Arial" w:cs="Arial"/>
          <w:i/>
          <w:iCs/>
        </w:rPr>
        <w:t xml:space="preserve"> </w:t>
      </w:r>
      <w:r w:rsidRPr="00023854">
        <w:rPr>
          <w:rFonts w:ascii="Arial" w:hAnsi="Arial" w:cs="Arial"/>
          <w:i/>
          <w:iCs/>
        </w:rPr>
        <w:t xml:space="preserve">el que ha sido catalogado como el mayor </w:t>
      </w:r>
      <w:r w:rsidR="00091931">
        <w:rPr>
          <w:rFonts w:ascii="Arial" w:hAnsi="Arial" w:cs="Arial"/>
          <w:i/>
          <w:iCs/>
        </w:rPr>
        <w:t>pacto</w:t>
      </w:r>
      <w:r w:rsidRPr="00023854">
        <w:rPr>
          <w:rFonts w:ascii="Arial" w:hAnsi="Arial" w:cs="Arial"/>
          <w:i/>
          <w:iCs/>
        </w:rPr>
        <w:t xml:space="preserve"> petrolero de la historia</w:t>
      </w:r>
      <w:r w:rsidRPr="007C6E77">
        <w:rPr>
          <w:rFonts w:ascii="Arial" w:hAnsi="Arial" w:cs="Arial"/>
          <w:i/>
          <w:iCs/>
        </w:rPr>
        <w:t xml:space="preserve">, firmado entre </w:t>
      </w:r>
      <w:r w:rsidR="008F56CF">
        <w:rPr>
          <w:rFonts w:ascii="Arial" w:hAnsi="Arial" w:cs="Arial"/>
          <w:i/>
          <w:iCs/>
        </w:rPr>
        <w:t>Estados Unidos</w:t>
      </w:r>
      <w:r w:rsidRPr="007C6E77">
        <w:rPr>
          <w:rFonts w:ascii="Arial" w:hAnsi="Arial" w:cs="Arial"/>
          <w:i/>
          <w:iCs/>
        </w:rPr>
        <w:t xml:space="preserve"> y Venezuela. </w:t>
      </w:r>
    </w:p>
    <w:p w14:paraId="2097F409" w14:textId="77777777" w:rsidR="007C6E77" w:rsidRDefault="007C6E77" w:rsidP="00023854">
      <w:pPr>
        <w:adjustRightInd w:val="0"/>
        <w:snapToGrid w:val="0"/>
        <w:jc w:val="both"/>
        <w:outlineLvl w:val="0"/>
        <w:rPr>
          <w:rFonts w:ascii="Arial" w:hAnsi="Arial" w:cs="Arial"/>
          <w:kern w:val="36"/>
        </w:rPr>
      </w:pPr>
    </w:p>
    <w:p w14:paraId="0079CC19" w14:textId="77777777" w:rsidR="00023854" w:rsidRPr="00023854" w:rsidRDefault="00023854" w:rsidP="00023854">
      <w:pPr>
        <w:adjustRightInd w:val="0"/>
        <w:snapToGrid w:val="0"/>
        <w:jc w:val="both"/>
        <w:outlineLvl w:val="0"/>
        <w:rPr>
          <w:rFonts w:ascii="Arial" w:hAnsi="Arial" w:cs="Arial"/>
          <w:kern w:val="36"/>
        </w:rPr>
      </w:pPr>
      <w:r w:rsidRPr="00023854">
        <w:rPr>
          <w:rFonts w:ascii="Arial" w:hAnsi="Arial" w:cs="Arial"/>
          <w:kern w:val="36"/>
        </w:rPr>
        <w:t>Oscar Doval</w:t>
      </w:r>
    </w:p>
    <w:p w14:paraId="5B9791DA" w14:textId="77777777" w:rsidR="00023854" w:rsidRPr="00023854" w:rsidRDefault="00023854" w:rsidP="00023854">
      <w:pPr>
        <w:adjustRightInd w:val="0"/>
        <w:snapToGrid w:val="0"/>
        <w:jc w:val="both"/>
        <w:outlineLvl w:val="0"/>
        <w:rPr>
          <w:rFonts w:ascii="Arial" w:hAnsi="Arial" w:cs="Arial"/>
          <w:kern w:val="36"/>
        </w:rPr>
      </w:pPr>
      <w:r w:rsidRPr="00023854">
        <w:rPr>
          <w:rFonts w:ascii="Arial" w:hAnsi="Arial" w:cs="Arial"/>
          <w:kern w:val="36"/>
        </w:rPr>
        <w:t>31 de agosto de 2026</w:t>
      </w:r>
    </w:p>
    <w:p w14:paraId="60C34FEE" w14:textId="77777777" w:rsidR="00023854" w:rsidRPr="00023854" w:rsidRDefault="00023854" w:rsidP="00023854">
      <w:pPr>
        <w:adjustRightInd w:val="0"/>
        <w:snapToGrid w:val="0"/>
        <w:jc w:val="both"/>
        <w:rPr>
          <w:rFonts w:ascii="Arial" w:hAnsi="Arial" w:cs="Arial"/>
        </w:rPr>
      </w:pPr>
    </w:p>
    <w:p w14:paraId="3FDE4CCE" w14:textId="77777777" w:rsidR="00091931" w:rsidRDefault="00023854" w:rsidP="00023854">
      <w:pPr>
        <w:adjustRightInd w:val="0"/>
        <w:snapToGrid w:val="0"/>
        <w:jc w:val="both"/>
        <w:rPr>
          <w:rFonts w:ascii="Arial" w:hAnsi="Arial" w:cs="Arial"/>
        </w:rPr>
      </w:pPr>
      <w:r w:rsidRPr="00023854">
        <w:rPr>
          <w:rFonts w:ascii="Arial" w:hAnsi="Arial" w:cs="Arial"/>
        </w:rPr>
        <w:t>El pasado</w:t>
      </w:r>
      <w:r w:rsidR="00C8588F">
        <w:rPr>
          <w:rFonts w:ascii="Arial" w:hAnsi="Arial" w:cs="Arial"/>
        </w:rPr>
        <w:t xml:space="preserve"> viernes</w:t>
      </w:r>
      <w:r w:rsidRPr="00023854">
        <w:rPr>
          <w:rFonts w:ascii="Arial" w:hAnsi="Arial" w:cs="Arial"/>
        </w:rPr>
        <w:t xml:space="preserve"> 28 de agosto</w:t>
      </w:r>
      <w:r>
        <w:rPr>
          <w:rFonts w:ascii="Arial" w:hAnsi="Arial" w:cs="Arial"/>
        </w:rPr>
        <w:t xml:space="preserve">, fue revelado </w:t>
      </w:r>
      <w:r w:rsidRPr="00023854">
        <w:rPr>
          <w:rFonts w:ascii="Arial" w:hAnsi="Arial" w:cs="Arial"/>
        </w:rPr>
        <w:t xml:space="preserve">un pacto energético de proporciones históricas entre la administración de los Estados Unidos y el gobierno de Venezuela. </w:t>
      </w:r>
    </w:p>
    <w:p w14:paraId="4E355187" w14:textId="77777777" w:rsidR="00023854" w:rsidRPr="00023854" w:rsidRDefault="00023854" w:rsidP="00023854">
      <w:pPr>
        <w:adjustRightInd w:val="0"/>
        <w:snapToGrid w:val="0"/>
        <w:jc w:val="both"/>
        <w:rPr>
          <w:rFonts w:ascii="Arial" w:hAnsi="Arial" w:cs="Arial"/>
        </w:rPr>
      </w:pPr>
      <w:r w:rsidRPr="00023854">
        <w:rPr>
          <w:rFonts w:ascii="Arial" w:hAnsi="Arial" w:cs="Arial"/>
        </w:rPr>
        <w:t xml:space="preserve">Tras una prolongada etapa de desgaste diplomático, paralización industrial y un régimen de sanciones </w:t>
      </w:r>
      <w:r w:rsidR="00C8588F">
        <w:rPr>
          <w:rFonts w:ascii="Arial" w:hAnsi="Arial" w:cs="Arial"/>
        </w:rPr>
        <w:t xml:space="preserve">de la OFAC </w:t>
      </w:r>
      <w:r w:rsidRPr="00023854">
        <w:rPr>
          <w:rFonts w:ascii="Arial" w:hAnsi="Arial" w:cs="Arial"/>
        </w:rPr>
        <w:t xml:space="preserve">que asfixió </w:t>
      </w:r>
      <w:r w:rsidR="007C6E77">
        <w:rPr>
          <w:rFonts w:ascii="Arial" w:hAnsi="Arial" w:cs="Arial"/>
        </w:rPr>
        <w:t>a Venezuela</w:t>
      </w:r>
      <w:r w:rsidRPr="00023854">
        <w:rPr>
          <w:rFonts w:ascii="Arial" w:hAnsi="Arial" w:cs="Arial"/>
        </w:rPr>
        <w:t>, el acuerdo anunciado por el presidente estadounidense Donald Trump y la presidenta encargada de Venezuela, Delcy Rodríguez, redibuja la arquitectura de la seguridad energética global.</w:t>
      </w:r>
    </w:p>
    <w:p w14:paraId="6E8587F3" w14:textId="77777777" w:rsidR="00023854" w:rsidRPr="00023854" w:rsidRDefault="00023854" w:rsidP="00023854">
      <w:pPr>
        <w:adjustRightInd w:val="0"/>
        <w:snapToGrid w:val="0"/>
        <w:jc w:val="both"/>
        <w:rPr>
          <w:rFonts w:ascii="Arial" w:hAnsi="Arial" w:cs="Arial"/>
        </w:rPr>
      </w:pPr>
    </w:p>
    <w:p w14:paraId="13BD624D" w14:textId="77777777" w:rsidR="007C6E77" w:rsidRDefault="00023854" w:rsidP="00023854">
      <w:pPr>
        <w:adjustRightInd w:val="0"/>
        <w:snapToGrid w:val="0"/>
        <w:jc w:val="both"/>
        <w:rPr>
          <w:rFonts w:ascii="Arial" w:hAnsi="Arial" w:cs="Arial"/>
        </w:rPr>
      </w:pPr>
      <w:r w:rsidRPr="00023854">
        <w:rPr>
          <w:rFonts w:ascii="Arial" w:hAnsi="Arial" w:cs="Arial"/>
        </w:rPr>
        <w:t>Este convenio transaccional, confiere a Estados Unidos y a un consorcio de operadores corporativos privados el control mayoritario sobre la explotación de 65.000 millones de barriles de reservas venezolanas durante un lapso de 25 años</w:t>
      </w:r>
      <w:r w:rsidR="00091931">
        <w:rPr>
          <w:rFonts w:ascii="Arial" w:hAnsi="Arial" w:cs="Arial"/>
        </w:rPr>
        <w:t>, lo que, a precio promedio del crudo de 65 dólares por barril, puede traducirse en un monto de 4,2</w:t>
      </w:r>
      <w:r w:rsidR="0026412C">
        <w:rPr>
          <w:rFonts w:ascii="Arial" w:hAnsi="Arial" w:cs="Arial"/>
        </w:rPr>
        <w:t>2</w:t>
      </w:r>
      <w:r w:rsidR="00091931">
        <w:rPr>
          <w:rFonts w:ascii="Arial" w:hAnsi="Arial" w:cs="Arial"/>
        </w:rPr>
        <w:t>5 billones de dólares.</w:t>
      </w:r>
    </w:p>
    <w:p w14:paraId="6370E289" w14:textId="77777777" w:rsidR="007C6E77" w:rsidRDefault="007C6E77" w:rsidP="00023854">
      <w:pPr>
        <w:adjustRightInd w:val="0"/>
        <w:snapToGrid w:val="0"/>
        <w:jc w:val="both"/>
        <w:rPr>
          <w:rFonts w:ascii="Arial" w:hAnsi="Arial" w:cs="Arial"/>
        </w:rPr>
      </w:pPr>
    </w:p>
    <w:p w14:paraId="7CAF954E" w14:textId="77777777" w:rsidR="00C8588F" w:rsidRDefault="007C6E77" w:rsidP="00023854">
      <w:pPr>
        <w:adjustRightInd w:val="0"/>
        <w:snapToGrid w:val="0"/>
        <w:jc w:val="both"/>
        <w:rPr>
          <w:rFonts w:ascii="Arial" w:hAnsi="Arial" w:cs="Arial"/>
        </w:rPr>
      </w:pPr>
      <w:r>
        <w:rPr>
          <w:rFonts w:ascii="Arial" w:hAnsi="Arial" w:cs="Arial"/>
        </w:rPr>
        <w:t>No se trata</w:t>
      </w:r>
      <w:r w:rsidR="00023854" w:rsidRPr="00023854">
        <w:rPr>
          <w:rFonts w:ascii="Arial" w:hAnsi="Arial" w:cs="Arial"/>
        </w:rPr>
        <w:t xml:space="preserve"> meramente</w:t>
      </w:r>
      <w:r>
        <w:rPr>
          <w:rFonts w:ascii="Arial" w:hAnsi="Arial" w:cs="Arial"/>
        </w:rPr>
        <w:t xml:space="preserve"> de</w:t>
      </w:r>
      <w:r w:rsidR="00023854" w:rsidRPr="00023854">
        <w:rPr>
          <w:rFonts w:ascii="Arial" w:hAnsi="Arial" w:cs="Arial"/>
        </w:rPr>
        <w:t xml:space="preserve"> un contrato de suministro</w:t>
      </w:r>
      <w:r>
        <w:rPr>
          <w:rFonts w:ascii="Arial" w:hAnsi="Arial" w:cs="Arial"/>
        </w:rPr>
        <w:t>, sino de</w:t>
      </w:r>
      <w:r w:rsidR="00023854" w:rsidRPr="00023854">
        <w:rPr>
          <w:rFonts w:ascii="Arial" w:hAnsi="Arial" w:cs="Arial"/>
        </w:rPr>
        <w:t xml:space="preserve"> una reingeniería completa del </w:t>
      </w:r>
      <w:r>
        <w:rPr>
          <w:rFonts w:ascii="Arial" w:hAnsi="Arial" w:cs="Arial"/>
        </w:rPr>
        <w:t>negocio petrolero</w:t>
      </w:r>
      <w:r w:rsidR="00023854" w:rsidRPr="00023854">
        <w:rPr>
          <w:rFonts w:ascii="Arial" w:hAnsi="Arial" w:cs="Arial"/>
        </w:rPr>
        <w:t xml:space="preserve"> del Estado venezolano</w:t>
      </w:r>
      <w:r>
        <w:rPr>
          <w:rFonts w:ascii="Arial" w:hAnsi="Arial" w:cs="Arial"/>
        </w:rPr>
        <w:t xml:space="preserve"> y</w:t>
      </w:r>
      <w:r w:rsidR="00023854" w:rsidRPr="00023854">
        <w:rPr>
          <w:rFonts w:ascii="Arial" w:hAnsi="Arial" w:cs="Arial"/>
        </w:rPr>
        <w:t xml:space="preserve"> una maniobra de blindaje estratégico por parte de Washington frente a la volatilidad </w:t>
      </w:r>
      <w:r w:rsidR="00C8588F">
        <w:rPr>
          <w:rFonts w:ascii="Arial" w:hAnsi="Arial" w:cs="Arial"/>
        </w:rPr>
        <w:t xml:space="preserve">geopolítica </w:t>
      </w:r>
      <w:r w:rsidR="00023854" w:rsidRPr="00023854">
        <w:rPr>
          <w:rFonts w:ascii="Arial" w:hAnsi="Arial" w:cs="Arial"/>
        </w:rPr>
        <w:t>del Medio Oriente</w:t>
      </w:r>
      <w:r>
        <w:rPr>
          <w:rFonts w:ascii="Arial" w:hAnsi="Arial" w:cs="Arial"/>
        </w:rPr>
        <w:t>.</w:t>
      </w:r>
      <w:r w:rsidR="00023854" w:rsidRPr="00023854">
        <w:rPr>
          <w:rFonts w:ascii="Arial" w:hAnsi="Arial" w:cs="Arial"/>
        </w:rPr>
        <w:t xml:space="preserve"> </w:t>
      </w:r>
    </w:p>
    <w:p w14:paraId="76FFD4FB" w14:textId="77777777" w:rsidR="00C8588F" w:rsidRDefault="00C8588F" w:rsidP="00023854">
      <w:pPr>
        <w:adjustRightInd w:val="0"/>
        <w:snapToGrid w:val="0"/>
        <w:jc w:val="both"/>
        <w:rPr>
          <w:rFonts w:ascii="Arial" w:hAnsi="Arial" w:cs="Arial"/>
        </w:rPr>
      </w:pPr>
    </w:p>
    <w:p w14:paraId="4F9AA6EE" w14:textId="77777777" w:rsidR="00023854" w:rsidRDefault="007C6E77" w:rsidP="00023854">
      <w:pPr>
        <w:adjustRightInd w:val="0"/>
        <w:snapToGrid w:val="0"/>
        <w:jc w:val="both"/>
        <w:rPr>
          <w:rFonts w:ascii="Arial" w:hAnsi="Arial" w:cs="Arial"/>
        </w:rPr>
      </w:pPr>
      <w:r>
        <w:rPr>
          <w:rFonts w:ascii="Arial" w:hAnsi="Arial" w:cs="Arial"/>
        </w:rPr>
        <w:t>Además, el</w:t>
      </w:r>
      <w:r w:rsidR="00C8588F">
        <w:rPr>
          <w:rFonts w:ascii="Arial" w:hAnsi="Arial" w:cs="Arial"/>
        </w:rPr>
        <w:t xml:space="preserve"> nuevo</w:t>
      </w:r>
      <w:r>
        <w:rPr>
          <w:rFonts w:ascii="Arial" w:hAnsi="Arial" w:cs="Arial"/>
        </w:rPr>
        <w:t xml:space="preserve"> acuerdo petrolero bien puede entenderse como </w:t>
      </w:r>
      <w:r w:rsidR="00023854" w:rsidRPr="00023854">
        <w:rPr>
          <w:rFonts w:ascii="Arial" w:hAnsi="Arial" w:cs="Arial"/>
        </w:rPr>
        <w:t>un experimento macroeconómico que definirá si Venezuela puede sortear la trampa de la desindustrialización que históricamente ha acompañado a sus bonanzas petroleras.</w:t>
      </w:r>
    </w:p>
    <w:p w14:paraId="7B02DB23" w14:textId="77777777" w:rsidR="007C6E77" w:rsidRPr="00023854" w:rsidRDefault="007C6E77" w:rsidP="00023854">
      <w:pPr>
        <w:adjustRightInd w:val="0"/>
        <w:snapToGrid w:val="0"/>
        <w:jc w:val="both"/>
        <w:rPr>
          <w:rFonts w:ascii="Arial" w:hAnsi="Arial" w:cs="Arial"/>
        </w:rPr>
      </w:pPr>
    </w:p>
    <w:p w14:paraId="379DD663" w14:textId="77777777" w:rsidR="00023854" w:rsidRPr="001C2E65" w:rsidRDefault="007C6E77" w:rsidP="00023854">
      <w:pPr>
        <w:adjustRightInd w:val="0"/>
        <w:snapToGrid w:val="0"/>
        <w:jc w:val="both"/>
        <w:outlineLvl w:val="1"/>
        <w:rPr>
          <w:rFonts w:ascii="Arial" w:hAnsi="Arial" w:cs="Arial"/>
          <w:b/>
          <w:bCs/>
          <w:sz w:val="40"/>
          <w:szCs w:val="40"/>
        </w:rPr>
      </w:pPr>
      <w:r w:rsidRPr="001C2E65">
        <w:rPr>
          <w:rFonts w:ascii="Arial" w:hAnsi="Arial" w:cs="Arial"/>
          <w:b/>
          <w:bCs/>
          <w:sz w:val="40"/>
          <w:szCs w:val="40"/>
        </w:rPr>
        <w:t>Características fundamentales y arquitectura financiera del acuerdo</w:t>
      </w:r>
    </w:p>
    <w:p w14:paraId="3D36536E" w14:textId="77777777" w:rsidR="007C6E77" w:rsidRPr="00023854" w:rsidRDefault="007C6E77" w:rsidP="00023854">
      <w:pPr>
        <w:adjustRightInd w:val="0"/>
        <w:snapToGrid w:val="0"/>
        <w:jc w:val="both"/>
        <w:outlineLvl w:val="1"/>
        <w:rPr>
          <w:rFonts w:ascii="Arial" w:hAnsi="Arial" w:cs="Arial"/>
          <w:b/>
          <w:bCs/>
          <w:sz w:val="36"/>
          <w:szCs w:val="36"/>
        </w:rPr>
      </w:pPr>
    </w:p>
    <w:p w14:paraId="682B7707" w14:textId="77777777" w:rsidR="00023854" w:rsidRDefault="007C6E77" w:rsidP="00023854">
      <w:pPr>
        <w:adjustRightInd w:val="0"/>
        <w:snapToGrid w:val="0"/>
        <w:jc w:val="both"/>
        <w:rPr>
          <w:rFonts w:ascii="Arial" w:hAnsi="Arial" w:cs="Arial"/>
        </w:rPr>
      </w:pPr>
      <w:r>
        <w:rPr>
          <w:rFonts w:ascii="Arial" w:hAnsi="Arial" w:cs="Arial"/>
        </w:rPr>
        <w:t xml:space="preserve">El acuerdo comprende </w:t>
      </w:r>
      <w:r w:rsidR="00023854" w:rsidRPr="00023854">
        <w:rPr>
          <w:rFonts w:ascii="Arial" w:hAnsi="Arial" w:cs="Arial"/>
        </w:rPr>
        <w:t xml:space="preserve">un diseño contractual que </w:t>
      </w:r>
      <w:r>
        <w:rPr>
          <w:rFonts w:ascii="Arial" w:hAnsi="Arial" w:cs="Arial"/>
        </w:rPr>
        <w:t xml:space="preserve">reemplaza </w:t>
      </w:r>
      <w:r w:rsidR="00023854" w:rsidRPr="00023854">
        <w:rPr>
          <w:rFonts w:ascii="Arial" w:hAnsi="Arial" w:cs="Arial"/>
        </w:rPr>
        <w:t xml:space="preserve">el modelo tradicional de empresa </w:t>
      </w:r>
      <w:r>
        <w:rPr>
          <w:rFonts w:ascii="Arial" w:hAnsi="Arial" w:cs="Arial"/>
        </w:rPr>
        <w:t>mixta</w:t>
      </w:r>
      <w:r w:rsidR="00023854" w:rsidRPr="00023854">
        <w:rPr>
          <w:rFonts w:ascii="Arial" w:hAnsi="Arial" w:cs="Arial"/>
        </w:rPr>
        <w:t xml:space="preserve"> a favor de una asociación estratégica de riesgo compartido.</w:t>
      </w:r>
    </w:p>
    <w:p w14:paraId="6682401A" w14:textId="77777777" w:rsidR="007C6E77" w:rsidRPr="00023854" w:rsidRDefault="007C6E77" w:rsidP="00023854">
      <w:pPr>
        <w:adjustRightInd w:val="0"/>
        <w:snapToGrid w:val="0"/>
        <w:jc w:val="both"/>
        <w:rPr>
          <w:rFonts w:ascii="Arial" w:hAnsi="Arial" w:cs="Arial"/>
        </w:rPr>
      </w:pPr>
    </w:p>
    <w:p w14:paraId="2DE20940" w14:textId="77777777" w:rsidR="00023854" w:rsidRPr="00023854" w:rsidRDefault="00023854" w:rsidP="00023854">
      <w:pPr>
        <w:adjustRightInd w:val="0"/>
        <w:snapToGrid w:val="0"/>
        <w:jc w:val="both"/>
        <w:outlineLvl w:val="2"/>
        <w:rPr>
          <w:rFonts w:ascii="Arial" w:hAnsi="Arial" w:cs="Arial"/>
          <w:b/>
          <w:bCs/>
          <w:sz w:val="27"/>
          <w:szCs w:val="27"/>
        </w:rPr>
      </w:pPr>
      <w:r w:rsidRPr="00023854">
        <w:rPr>
          <w:rFonts w:ascii="Arial" w:hAnsi="Arial" w:cs="Arial"/>
          <w:b/>
          <w:bCs/>
          <w:sz w:val="27"/>
          <w:szCs w:val="27"/>
        </w:rPr>
        <w:t xml:space="preserve">Magnitud </w:t>
      </w:r>
      <w:r w:rsidR="007C6E77" w:rsidRPr="00023854">
        <w:rPr>
          <w:rFonts w:ascii="Arial" w:hAnsi="Arial" w:cs="Arial"/>
          <w:b/>
          <w:bCs/>
          <w:sz w:val="27"/>
          <w:szCs w:val="27"/>
        </w:rPr>
        <w:t>de las reservas y control operativo</w:t>
      </w:r>
    </w:p>
    <w:p w14:paraId="5389B3FD" w14:textId="77777777" w:rsidR="007C6E77" w:rsidRDefault="007C6E77" w:rsidP="00023854">
      <w:pPr>
        <w:adjustRightInd w:val="0"/>
        <w:snapToGrid w:val="0"/>
        <w:jc w:val="both"/>
        <w:rPr>
          <w:rFonts w:ascii="Arial" w:hAnsi="Arial" w:cs="Arial"/>
        </w:rPr>
      </w:pPr>
    </w:p>
    <w:p w14:paraId="64CAE5A6" w14:textId="77777777" w:rsidR="008F56CF" w:rsidRDefault="00023854" w:rsidP="00023854">
      <w:pPr>
        <w:adjustRightInd w:val="0"/>
        <w:snapToGrid w:val="0"/>
        <w:jc w:val="both"/>
        <w:rPr>
          <w:rFonts w:ascii="Arial" w:hAnsi="Arial" w:cs="Arial"/>
        </w:rPr>
      </w:pPr>
      <w:r w:rsidRPr="00023854">
        <w:rPr>
          <w:rFonts w:ascii="Arial" w:hAnsi="Arial" w:cs="Arial"/>
        </w:rPr>
        <w:t xml:space="preserve">El epicentro geográfico e industrial del acuerdo abarca 17 campos petroleros estratégicos, localizados predominantemente en la Faja Petrolífera del Orinoco y la cuenca del Lago de Maracaibo. </w:t>
      </w:r>
      <w:r w:rsidR="00C8588F">
        <w:rPr>
          <w:rFonts w:ascii="Arial" w:hAnsi="Arial" w:cs="Arial"/>
        </w:rPr>
        <w:t xml:space="preserve"> </w:t>
      </w:r>
      <w:r w:rsidRPr="00023854">
        <w:rPr>
          <w:rFonts w:ascii="Arial" w:hAnsi="Arial" w:cs="Arial"/>
        </w:rPr>
        <w:t>Estos bloques contienen un potencial probado de más de 65.000 millones de barriles de crudo</w:t>
      </w:r>
      <w:r w:rsidR="008F56CF">
        <w:rPr>
          <w:rFonts w:ascii="Arial" w:hAnsi="Arial" w:cs="Arial"/>
        </w:rPr>
        <w:t xml:space="preserve"> a lo largo de 25 años, lo que representa un </w:t>
      </w:r>
      <w:r w:rsidR="008F56CF" w:rsidRPr="00023854">
        <w:rPr>
          <w:rFonts w:ascii="Arial" w:hAnsi="Arial" w:cs="Arial"/>
        </w:rPr>
        <w:t>21,5% de</w:t>
      </w:r>
      <w:r w:rsidR="008F56CF">
        <w:rPr>
          <w:rFonts w:ascii="Arial" w:hAnsi="Arial" w:cs="Arial"/>
        </w:rPr>
        <w:t xml:space="preserve"> las reservas petroleras venezolanas </w:t>
      </w:r>
      <w:r w:rsidRPr="00023854">
        <w:rPr>
          <w:rFonts w:ascii="Arial" w:hAnsi="Arial" w:cs="Arial"/>
        </w:rPr>
        <w:t>estimadas en aproximadamente 303.000 millones de barriles.</w:t>
      </w:r>
    </w:p>
    <w:p w14:paraId="56D8EAFE" w14:textId="77777777" w:rsidR="00023854" w:rsidRPr="00023854" w:rsidRDefault="00023854" w:rsidP="00023854">
      <w:pPr>
        <w:adjustRightInd w:val="0"/>
        <w:snapToGrid w:val="0"/>
        <w:jc w:val="both"/>
        <w:rPr>
          <w:rFonts w:ascii="Arial" w:hAnsi="Arial" w:cs="Arial"/>
        </w:rPr>
      </w:pPr>
    </w:p>
    <w:p w14:paraId="5ABBFC5F" w14:textId="77777777" w:rsidR="00023854" w:rsidRDefault="00023854" w:rsidP="00023854">
      <w:pPr>
        <w:adjustRightInd w:val="0"/>
        <w:snapToGrid w:val="0"/>
        <w:jc w:val="both"/>
        <w:rPr>
          <w:rFonts w:ascii="Arial" w:hAnsi="Arial" w:cs="Arial"/>
        </w:rPr>
      </w:pPr>
      <w:r w:rsidRPr="00023854">
        <w:rPr>
          <w:rFonts w:ascii="Arial" w:hAnsi="Arial" w:cs="Arial"/>
        </w:rPr>
        <w:t xml:space="preserve">Desde </w:t>
      </w:r>
      <w:r w:rsidR="008F56CF">
        <w:rPr>
          <w:rFonts w:ascii="Arial" w:hAnsi="Arial" w:cs="Arial"/>
        </w:rPr>
        <w:t>una</w:t>
      </w:r>
      <w:r w:rsidRPr="00023854">
        <w:rPr>
          <w:rFonts w:ascii="Arial" w:hAnsi="Arial" w:cs="Arial"/>
        </w:rPr>
        <w:t xml:space="preserve"> óptica de seguridad nacional estadounidense</w:t>
      </w:r>
      <w:r w:rsidR="008F56CF">
        <w:rPr>
          <w:rFonts w:ascii="Arial" w:hAnsi="Arial" w:cs="Arial"/>
        </w:rPr>
        <w:t xml:space="preserve">, el acuerdo </w:t>
      </w:r>
      <w:r w:rsidR="00C8588F">
        <w:rPr>
          <w:rFonts w:ascii="Arial" w:hAnsi="Arial" w:cs="Arial"/>
        </w:rPr>
        <w:t xml:space="preserve">sin duda </w:t>
      </w:r>
      <w:r w:rsidR="008F56CF">
        <w:rPr>
          <w:rFonts w:ascii="Arial" w:hAnsi="Arial" w:cs="Arial"/>
        </w:rPr>
        <w:t xml:space="preserve">es </w:t>
      </w:r>
      <w:r w:rsidR="00C8588F">
        <w:rPr>
          <w:rFonts w:ascii="Arial" w:hAnsi="Arial" w:cs="Arial"/>
        </w:rPr>
        <w:t>muy significativo para Washington</w:t>
      </w:r>
      <w:r w:rsidR="008F56CF">
        <w:rPr>
          <w:rFonts w:ascii="Arial" w:hAnsi="Arial" w:cs="Arial"/>
        </w:rPr>
        <w:t>, ya que, a</w:t>
      </w:r>
      <w:r w:rsidRPr="00023854">
        <w:rPr>
          <w:rFonts w:ascii="Arial" w:hAnsi="Arial" w:cs="Arial"/>
        </w:rPr>
        <w:t xml:space="preserve">l cierre de 2024, la Administración de Información Energética (EIA) cifró las reservas domésticas probadas de Estados Unidos en 46.000 millones de barriles. El acceso a los 65.000 millones de barriles venezolanos equivale a un 141% de las reservas soberanas estadounidenses, </w:t>
      </w:r>
      <w:r w:rsidR="008F56CF">
        <w:rPr>
          <w:rFonts w:ascii="Arial" w:hAnsi="Arial" w:cs="Arial"/>
        </w:rPr>
        <w:t>lo que explica</w:t>
      </w:r>
      <w:r w:rsidRPr="00023854">
        <w:rPr>
          <w:rFonts w:ascii="Arial" w:hAnsi="Arial" w:cs="Arial"/>
        </w:rPr>
        <w:t xml:space="preserve"> la declaración del presidente Trump de que el acuerdo</w:t>
      </w:r>
      <w:r w:rsidR="00C8588F">
        <w:rPr>
          <w:rFonts w:ascii="Arial" w:hAnsi="Arial" w:cs="Arial"/>
        </w:rPr>
        <w:t xml:space="preserve"> aumenta a más del doble</w:t>
      </w:r>
      <w:r w:rsidRPr="00023854">
        <w:rPr>
          <w:rFonts w:ascii="Arial" w:hAnsi="Arial" w:cs="Arial"/>
        </w:rPr>
        <w:t xml:space="preserve"> </w:t>
      </w:r>
      <w:r w:rsidR="00C8588F">
        <w:rPr>
          <w:rFonts w:ascii="Arial" w:hAnsi="Arial" w:cs="Arial"/>
        </w:rPr>
        <w:t>“</w:t>
      </w:r>
      <w:r w:rsidRPr="00023854">
        <w:rPr>
          <w:rFonts w:ascii="Arial" w:hAnsi="Arial" w:cs="Arial"/>
        </w:rPr>
        <w:t>el colchón energético</w:t>
      </w:r>
      <w:r w:rsidR="00C8588F">
        <w:rPr>
          <w:rFonts w:ascii="Arial" w:hAnsi="Arial" w:cs="Arial"/>
        </w:rPr>
        <w:t>”</w:t>
      </w:r>
      <w:r w:rsidRPr="00023854">
        <w:rPr>
          <w:rFonts w:ascii="Arial" w:hAnsi="Arial" w:cs="Arial"/>
        </w:rPr>
        <w:t xml:space="preserve"> de su nación.</w:t>
      </w:r>
    </w:p>
    <w:p w14:paraId="78CDAA24" w14:textId="77777777" w:rsidR="008F56CF" w:rsidRPr="00023854" w:rsidRDefault="008F56CF" w:rsidP="00023854">
      <w:pPr>
        <w:adjustRightInd w:val="0"/>
        <w:snapToGrid w:val="0"/>
        <w:jc w:val="both"/>
        <w:rPr>
          <w:rFonts w:ascii="Arial" w:hAnsi="Arial" w:cs="Arial"/>
        </w:rPr>
      </w:pPr>
    </w:p>
    <w:p w14:paraId="05051AEC" w14:textId="77777777" w:rsidR="00023854" w:rsidRDefault="00023854" w:rsidP="00023854">
      <w:pPr>
        <w:adjustRightInd w:val="0"/>
        <w:snapToGrid w:val="0"/>
        <w:jc w:val="both"/>
        <w:rPr>
          <w:rFonts w:ascii="Arial" w:hAnsi="Arial" w:cs="Arial"/>
        </w:rPr>
      </w:pPr>
      <w:r w:rsidRPr="00023854">
        <w:rPr>
          <w:rFonts w:ascii="Arial" w:hAnsi="Arial" w:cs="Arial"/>
        </w:rPr>
        <w:t xml:space="preserve">La gobernanza de esta asociación establece que </w:t>
      </w:r>
      <w:r w:rsidR="00C8588F">
        <w:rPr>
          <w:rFonts w:ascii="Arial" w:hAnsi="Arial" w:cs="Arial"/>
        </w:rPr>
        <w:t>Estados Unidos</w:t>
      </w:r>
      <w:r w:rsidRPr="00023854">
        <w:rPr>
          <w:rFonts w:ascii="Arial" w:hAnsi="Arial" w:cs="Arial"/>
        </w:rPr>
        <w:t>, a través de vehículos societarios mixtos con el sector privado internacional, ejercerá un control operativo mayoritario del 55% sobre los proyectos, garantizando a las empresas la gestión técnica, operativa y los derechos de comercialización del hidrocarburo extraído.</w:t>
      </w:r>
    </w:p>
    <w:p w14:paraId="2FE67C2B" w14:textId="77777777" w:rsidR="00C8588F" w:rsidRPr="00023854" w:rsidRDefault="00C8588F" w:rsidP="00023854">
      <w:pPr>
        <w:adjustRightInd w:val="0"/>
        <w:snapToGrid w:val="0"/>
        <w:jc w:val="both"/>
        <w:rPr>
          <w:rFonts w:ascii="Arial" w:hAnsi="Arial" w:cs="Arial"/>
        </w:rPr>
      </w:pPr>
    </w:p>
    <w:p w14:paraId="38364C72" w14:textId="77777777" w:rsidR="00023854" w:rsidRDefault="00023854" w:rsidP="00023854">
      <w:pPr>
        <w:adjustRightInd w:val="0"/>
        <w:snapToGrid w:val="0"/>
        <w:jc w:val="both"/>
        <w:outlineLvl w:val="2"/>
        <w:rPr>
          <w:rFonts w:ascii="Arial" w:hAnsi="Arial" w:cs="Arial"/>
          <w:b/>
          <w:bCs/>
          <w:sz w:val="27"/>
          <w:szCs w:val="27"/>
        </w:rPr>
      </w:pPr>
      <w:r w:rsidRPr="00023854">
        <w:rPr>
          <w:rFonts w:ascii="Arial" w:hAnsi="Arial" w:cs="Arial"/>
          <w:b/>
          <w:bCs/>
          <w:sz w:val="27"/>
          <w:szCs w:val="27"/>
        </w:rPr>
        <w:t xml:space="preserve">Proyecciones </w:t>
      </w:r>
      <w:r w:rsidR="00C8588F" w:rsidRPr="00023854">
        <w:rPr>
          <w:rFonts w:ascii="Arial" w:hAnsi="Arial" w:cs="Arial"/>
          <w:b/>
          <w:bCs/>
          <w:sz w:val="27"/>
          <w:szCs w:val="27"/>
        </w:rPr>
        <w:t>fiscales, inversión de capital y rentabilidad</w:t>
      </w:r>
    </w:p>
    <w:p w14:paraId="161F8E8E" w14:textId="77777777" w:rsidR="00C8588F" w:rsidRPr="00023854" w:rsidRDefault="00C8588F" w:rsidP="00023854">
      <w:pPr>
        <w:adjustRightInd w:val="0"/>
        <w:snapToGrid w:val="0"/>
        <w:jc w:val="both"/>
        <w:outlineLvl w:val="2"/>
        <w:rPr>
          <w:rFonts w:ascii="Arial" w:hAnsi="Arial" w:cs="Arial"/>
          <w:b/>
          <w:bCs/>
          <w:sz w:val="27"/>
          <w:szCs w:val="27"/>
        </w:rPr>
      </w:pPr>
    </w:p>
    <w:p w14:paraId="53AC8898" w14:textId="77777777" w:rsidR="00C8588F" w:rsidRDefault="00023854" w:rsidP="00023854">
      <w:pPr>
        <w:adjustRightInd w:val="0"/>
        <w:snapToGrid w:val="0"/>
        <w:jc w:val="both"/>
        <w:rPr>
          <w:rFonts w:ascii="Arial" w:hAnsi="Arial" w:cs="Arial"/>
        </w:rPr>
      </w:pPr>
      <w:r w:rsidRPr="00023854">
        <w:rPr>
          <w:rFonts w:ascii="Arial" w:hAnsi="Arial" w:cs="Arial"/>
        </w:rPr>
        <w:t>La viabilidad del acuerdo descansa sobre la inyección de capital en</w:t>
      </w:r>
      <w:r w:rsidR="00C8588F">
        <w:rPr>
          <w:rFonts w:ascii="Arial" w:hAnsi="Arial" w:cs="Arial"/>
        </w:rPr>
        <w:t xml:space="preserve"> </w:t>
      </w:r>
      <w:r w:rsidR="00C8588F" w:rsidRPr="00C8588F">
        <w:rPr>
          <w:rFonts w:ascii="Arial" w:hAnsi="Arial" w:cs="Arial"/>
          <w:i/>
          <w:iCs/>
        </w:rPr>
        <w:t>brownfields</w:t>
      </w:r>
      <w:r w:rsidR="00C8588F">
        <w:rPr>
          <w:rFonts w:ascii="Arial" w:hAnsi="Arial" w:cs="Arial"/>
        </w:rPr>
        <w:t xml:space="preserve"> </w:t>
      </w:r>
      <w:r w:rsidR="00C8588F" w:rsidRPr="00023854">
        <w:rPr>
          <w:rFonts w:ascii="Arial" w:hAnsi="Arial" w:cs="Arial"/>
        </w:rPr>
        <w:t>(</w:t>
      </w:r>
      <w:r w:rsidRPr="00023854">
        <w:rPr>
          <w:rFonts w:ascii="Arial" w:hAnsi="Arial" w:cs="Arial"/>
        </w:rPr>
        <w:t>campos maduros</w:t>
      </w:r>
      <w:r w:rsidR="00C8588F">
        <w:rPr>
          <w:rFonts w:ascii="Arial" w:hAnsi="Arial" w:cs="Arial"/>
        </w:rPr>
        <w:t xml:space="preserve">) y </w:t>
      </w:r>
      <w:r w:rsidR="00C8588F" w:rsidRPr="00C8588F">
        <w:rPr>
          <w:rFonts w:ascii="Arial" w:hAnsi="Arial" w:cs="Arial"/>
          <w:i/>
          <w:iCs/>
        </w:rPr>
        <w:t>greenflields</w:t>
      </w:r>
      <w:r w:rsidR="00C8588F">
        <w:rPr>
          <w:rFonts w:ascii="Arial" w:hAnsi="Arial" w:cs="Arial"/>
        </w:rPr>
        <w:t xml:space="preserve"> (</w:t>
      </w:r>
      <w:r w:rsidRPr="00023854">
        <w:rPr>
          <w:rFonts w:ascii="Arial" w:hAnsi="Arial" w:cs="Arial"/>
        </w:rPr>
        <w:t xml:space="preserve">campos </w:t>
      </w:r>
      <w:r w:rsidR="00C8588F">
        <w:rPr>
          <w:rFonts w:ascii="Arial" w:hAnsi="Arial" w:cs="Arial"/>
        </w:rPr>
        <w:t xml:space="preserve">no explotados) </w:t>
      </w:r>
      <w:r w:rsidRPr="00023854">
        <w:rPr>
          <w:rFonts w:ascii="Arial" w:hAnsi="Arial" w:cs="Arial"/>
        </w:rPr>
        <w:t>que requieren tecnologías intensivas de recuperación mejorada</w:t>
      </w:r>
      <w:r w:rsidR="00C8588F">
        <w:rPr>
          <w:rFonts w:ascii="Arial" w:hAnsi="Arial" w:cs="Arial"/>
        </w:rPr>
        <w:t xml:space="preserve">, así como operaciones de exploración y exploración </w:t>
      </w:r>
      <w:r w:rsidR="00C8588F" w:rsidRPr="00C8588F">
        <w:rPr>
          <w:rFonts w:ascii="Arial" w:hAnsi="Arial" w:cs="Arial"/>
          <w:i/>
          <w:iCs/>
        </w:rPr>
        <w:t>de novo</w:t>
      </w:r>
      <w:r w:rsidR="00C8588F">
        <w:rPr>
          <w:rFonts w:ascii="Arial" w:hAnsi="Arial" w:cs="Arial"/>
        </w:rPr>
        <w:t>.</w:t>
      </w:r>
      <w:r w:rsidRPr="00023854">
        <w:rPr>
          <w:rFonts w:ascii="Arial" w:hAnsi="Arial" w:cs="Arial"/>
        </w:rPr>
        <w:t xml:space="preserve"> </w:t>
      </w:r>
    </w:p>
    <w:p w14:paraId="1D01131A" w14:textId="77777777" w:rsidR="00C8588F" w:rsidRDefault="00C8588F" w:rsidP="00023854">
      <w:pPr>
        <w:adjustRightInd w:val="0"/>
        <w:snapToGrid w:val="0"/>
        <w:jc w:val="both"/>
        <w:rPr>
          <w:rFonts w:ascii="Arial" w:hAnsi="Arial" w:cs="Arial"/>
        </w:rPr>
      </w:pPr>
    </w:p>
    <w:p w14:paraId="4D4684CA" w14:textId="77777777" w:rsidR="00023854" w:rsidRDefault="00023854" w:rsidP="00023854">
      <w:pPr>
        <w:adjustRightInd w:val="0"/>
        <w:snapToGrid w:val="0"/>
        <w:jc w:val="both"/>
        <w:rPr>
          <w:rFonts w:ascii="Arial" w:hAnsi="Arial" w:cs="Arial"/>
        </w:rPr>
      </w:pPr>
      <w:r w:rsidRPr="00023854">
        <w:rPr>
          <w:rFonts w:ascii="Arial" w:hAnsi="Arial" w:cs="Arial"/>
        </w:rPr>
        <w:t>El plan de negocios bilateral tiene como meta productiva alcanzar un piso superior a 1,5 millones de barriles diarios (bpd) sostenidos en el tiempo, revirtiendo la caída estructural que, previo a la flexibilización</w:t>
      </w:r>
      <w:r w:rsidR="00C8588F">
        <w:rPr>
          <w:rFonts w:ascii="Arial" w:hAnsi="Arial" w:cs="Arial"/>
        </w:rPr>
        <w:t xml:space="preserve"> de sanciones de la OFAC</w:t>
      </w:r>
      <w:r w:rsidRPr="00023854">
        <w:rPr>
          <w:rFonts w:ascii="Arial" w:hAnsi="Arial" w:cs="Arial"/>
        </w:rPr>
        <w:t xml:space="preserve">, </w:t>
      </w:r>
      <w:r w:rsidR="00C8588F">
        <w:rPr>
          <w:rFonts w:ascii="Arial" w:hAnsi="Arial" w:cs="Arial"/>
        </w:rPr>
        <w:t xml:space="preserve">ha </w:t>
      </w:r>
      <w:r w:rsidRPr="00023854">
        <w:rPr>
          <w:rFonts w:ascii="Arial" w:hAnsi="Arial" w:cs="Arial"/>
        </w:rPr>
        <w:t>manten</w:t>
      </w:r>
      <w:r w:rsidR="00C8588F">
        <w:rPr>
          <w:rFonts w:ascii="Arial" w:hAnsi="Arial" w:cs="Arial"/>
        </w:rPr>
        <w:t>ido</w:t>
      </w:r>
      <w:r w:rsidRPr="00023854">
        <w:rPr>
          <w:rFonts w:ascii="Arial" w:hAnsi="Arial" w:cs="Arial"/>
        </w:rPr>
        <w:t xml:space="preserve"> la </w:t>
      </w:r>
      <w:r w:rsidR="00C8588F">
        <w:rPr>
          <w:rFonts w:ascii="Arial" w:hAnsi="Arial" w:cs="Arial"/>
        </w:rPr>
        <w:t>producción</w:t>
      </w:r>
      <w:r w:rsidRPr="00023854">
        <w:rPr>
          <w:rFonts w:ascii="Arial" w:hAnsi="Arial" w:cs="Arial"/>
        </w:rPr>
        <w:t xml:space="preserve"> nacional </w:t>
      </w:r>
      <w:r w:rsidR="00C8588F">
        <w:rPr>
          <w:rFonts w:ascii="Arial" w:hAnsi="Arial" w:cs="Arial"/>
        </w:rPr>
        <w:t xml:space="preserve">de crudo </w:t>
      </w:r>
      <w:r w:rsidRPr="00023854">
        <w:rPr>
          <w:rFonts w:ascii="Arial" w:hAnsi="Arial" w:cs="Arial"/>
        </w:rPr>
        <w:t>en márgenes de 900.000 a 1,</w:t>
      </w:r>
      <w:r w:rsidR="00C8588F">
        <w:rPr>
          <w:rFonts w:ascii="Arial" w:hAnsi="Arial" w:cs="Arial"/>
        </w:rPr>
        <w:t>2</w:t>
      </w:r>
      <w:r w:rsidRPr="00023854">
        <w:rPr>
          <w:rFonts w:ascii="Arial" w:hAnsi="Arial" w:cs="Arial"/>
        </w:rPr>
        <w:t xml:space="preserve"> millones de bpd.</w:t>
      </w:r>
    </w:p>
    <w:p w14:paraId="25612A01" w14:textId="77777777" w:rsidR="00C8588F" w:rsidRPr="00023854" w:rsidRDefault="00C8588F" w:rsidP="00023854">
      <w:pPr>
        <w:adjustRightInd w:val="0"/>
        <w:snapToGrid w:val="0"/>
        <w:jc w:val="both"/>
        <w:rPr>
          <w:rFonts w:ascii="Arial" w:hAnsi="Arial" w:cs="Arial"/>
        </w:rPr>
      </w:pPr>
    </w:p>
    <w:p w14:paraId="1B951C11" w14:textId="77777777" w:rsidR="00C8588F" w:rsidRDefault="00023854" w:rsidP="00023854">
      <w:pPr>
        <w:adjustRightInd w:val="0"/>
        <w:snapToGrid w:val="0"/>
        <w:jc w:val="both"/>
        <w:rPr>
          <w:rFonts w:ascii="Arial" w:hAnsi="Arial" w:cs="Arial"/>
        </w:rPr>
      </w:pPr>
      <w:r w:rsidRPr="00023854">
        <w:rPr>
          <w:rFonts w:ascii="Arial" w:hAnsi="Arial" w:cs="Arial"/>
        </w:rPr>
        <w:t>El modelo fiscal acordado presenta un giro hacia la competitividad del mercado. A diferencia de las cargas impositivas punitivas del pasado reciente, el nuevo esquema establece una regalía mínima (piso) del 16% y mantiene una tasa de Impuesto Sobre la Renta (ISLR) corporativa del 34%</w:t>
      </w:r>
      <w:r w:rsidR="00C8588F">
        <w:rPr>
          <w:rFonts w:ascii="Arial" w:hAnsi="Arial" w:cs="Arial"/>
        </w:rPr>
        <w:t>, lo que en conjunto es mucho menor de lo que establecían lo contratos tradicionales de las empresas mixtas.</w:t>
      </w:r>
    </w:p>
    <w:p w14:paraId="42627864" w14:textId="77777777" w:rsidR="00C8588F" w:rsidRDefault="00C8588F" w:rsidP="00023854">
      <w:pPr>
        <w:adjustRightInd w:val="0"/>
        <w:snapToGrid w:val="0"/>
        <w:jc w:val="both"/>
        <w:rPr>
          <w:rFonts w:ascii="Arial" w:hAnsi="Arial" w:cs="Arial"/>
        </w:rPr>
      </w:pPr>
    </w:p>
    <w:p w14:paraId="56B1615A" w14:textId="77777777" w:rsidR="00023854" w:rsidRDefault="00023854" w:rsidP="00023854">
      <w:pPr>
        <w:adjustRightInd w:val="0"/>
        <w:snapToGrid w:val="0"/>
        <w:jc w:val="both"/>
        <w:rPr>
          <w:rFonts w:ascii="Arial" w:hAnsi="Arial" w:cs="Arial"/>
        </w:rPr>
      </w:pPr>
      <w:r w:rsidRPr="00023854">
        <w:rPr>
          <w:rFonts w:ascii="Arial" w:hAnsi="Arial" w:cs="Arial"/>
        </w:rPr>
        <w:t>Según las precisiones de la administración venezolana, la arquitectura financiera se modeló utilizando un precio de referencia conservador de 65 dólares por barril de crudo venezolano. Bajo esta premisa, la estructura garantiza que, libre de deducciones operativas, un promedio de 19 dólares por cada barril comercializado ingresará directamente a la liquidez del tesoro nacional.</w:t>
      </w:r>
    </w:p>
    <w:p w14:paraId="6DF0AF68" w14:textId="77777777" w:rsidR="00986591" w:rsidRPr="00023854" w:rsidRDefault="00986591" w:rsidP="00023854">
      <w:pPr>
        <w:adjustRightInd w:val="0"/>
        <w:snapToGrid w:val="0"/>
        <w:jc w:val="both"/>
        <w:rPr>
          <w:rFonts w:ascii="Arial" w:hAnsi="Arial" w:cs="Arial"/>
        </w:rPr>
      </w:pPr>
    </w:p>
    <w:p w14:paraId="45861055" w14:textId="77777777" w:rsidR="00986591" w:rsidRDefault="00023854" w:rsidP="00023854">
      <w:pPr>
        <w:adjustRightInd w:val="0"/>
        <w:snapToGrid w:val="0"/>
        <w:jc w:val="both"/>
        <w:rPr>
          <w:rFonts w:ascii="Arial" w:hAnsi="Arial" w:cs="Arial"/>
        </w:rPr>
      </w:pPr>
      <w:r w:rsidRPr="00023854">
        <w:rPr>
          <w:rFonts w:ascii="Arial" w:hAnsi="Arial" w:cs="Arial"/>
        </w:rPr>
        <w:lastRenderedPageBreak/>
        <w:t xml:space="preserve">El ciclo de vida de 25 años del proyecto requiere un esfuerzo de inversión masivo. Las estimaciones oficiales proyectan que los costos totales alcanzarán aproximadamente los 542.000 millones de dólares en ingresos brutos consolidados a lo largo de las décadas, requiriendo un gasto de capital (Capex) privado en el orden de los 88.000 a 100.000 millones de dólares y un gasto operativo (Opex) cercano a los 135.000 millones de dólares. </w:t>
      </w:r>
    </w:p>
    <w:p w14:paraId="432D67C4" w14:textId="77777777" w:rsidR="00986591" w:rsidRDefault="00986591" w:rsidP="00023854">
      <w:pPr>
        <w:adjustRightInd w:val="0"/>
        <w:snapToGrid w:val="0"/>
        <w:jc w:val="both"/>
        <w:rPr>
          <w:rFonts w:ascii="Arial" w:hAnsi="Arial" w:cs="Arial"/>
        </w:rPr>
      </w:pPr>
    </w:p>
    <w:p w14:paraId="3FF2B0B5" w14:textId="77777777" w:rsidR="00023854" w:rsidRDefault="00023854" w:rsidP="00023854">
      <w:pPr>
        <w:adjustRightInd w:val="0"/>
        <w:snapToGrid w:val="0"/>
        <w:jc w:val="both"/>
        <w:rPr>
          <w:rFonts w:ascii="Arial" w:hAnsi="Arial" w:cs="Arial"/>
        </w:rPr>
      </w:pPr>
      <w:r w:rsidRPr="00023854">
        <w:rPr>
          <w:rFonts w:ascii="Arial" w:hAnsi="Arial" w:cs="Arial"/>
        </w:rPr>
        <w:t>La recaudación fiscal neta estimada para el Estado venezolano asciende a la astronómica cifra de 209.335 millones de dólares, de los cuales la petrolera estatal Petróleos de Venezuela S.A. (PDVSA) retendría alrededor de 22.000 millones de dólares en calidad de socia e ingresos directos.</w:t>
      </w:r>
    </w:p>
    <w:p w14:paraId="5C71D5CF" w14:textId="77777777" w:rsidR="00AB284D" w:rsidRDefault="00AB284D" w:rsidP="00023854">
      <w:pPr>
        <w:adjustRightInd w:val="0"/>
        <w:snapToGrid w:val="0"/>
        <w:jc w:val="both"/>
        <w:rPr>
          <w:rFonts w:ascii="Arial" w:hAnsi="Arial" w:cs="Arial"/>
        </w:rPr>
      </w:pPr>
    </w:p>
    <w:tbl>
      <w:tblPr>
        <w:tblStyle w:val="Tablaconcuadrcula"/>
        <w:tblW w:w="0" w:type="auto"/>
        <w:tblLook w:val="04A0" w:firstRow="1" w:lastRow="0" w:firstColumn="1" w:lastColumn="0" w:noHBand="0" w:noVBand="1"/>
      </w:tblPr>
      <w:tblGrid>
        <w:gridCol w:w="4815"/>
        <w:gridCol w:w="4013"/>
      </w:tblGrid>
      <w:tr w:rsidR="00AB284D" w14:paraId="647AD609" w14:textId="77777777" w:rsidTr="00AB284D">
        <w:trPr>
          <w:trHeight w:val="345"/>
        </w:trPr>
        <w:tc>
          <w:tcPr>
            <w:tcW w:w="4815" w:type="dxa"/>
          </w:tcPr>
          <w:p w14:paraId="16246009" w14:textId="77777777" w:rsidR="00AB284D" w:rsidRDefault="00AB284D" w:rsidP="00023854">
            <w:pPr>
              <w:adjustRightInd w:val="0"/>
              <w:snapToGrid w:val="0"/>
              <w:jc w:val="both"/>
              <w:rPr>
                <w:rFonts w:ascii="Arial" w:hAnsi="Arial" w:cs="Arial"/>
              </w:rPr>
            </w:pPr>
            <w:r w:rsidRPr="00023854">
              <w:rPr>
                <w:rFonts w:ascii="Arial" w:hAnsi="Arial" w:cs="Arial"/>
                <w:b/>
                <w:bCs/>
              </w:rPr>
              <w:t>Indicador</w:t>
            </w:r>
          </w:p>
        </w:tc>
        <w:tc>
          <w:tcPr>
            <w:tcW w:w="4013" w:type="dxa"/>
          </w:tcPr>
          <w:p w14:paraId="0C84FA16" w14:textId="77777777" w:rsidR="00AB284D" w:rsidRDefault="00AB284D" w:rsidP="00023854">
            <w:pPr>
              <w:adjustRightInd w:val="0"/>
              <w:snapToGrid w:val="0"/>
              <w:jc w:val="both"/>
              <w:rPr>
                <w:rFonts w:ascii="Arial" w:hAnsi="Arial" w:cs="Arial"/>
              </w:rPr>
            </w:pPr>
            <w:r w:rsidRPr="00023854">
              <w:rPr>
                <w:rFonts w:ascii="Arial" w:hAnsi="Arial" w:cs="Arial"/>
                <w:b/>
                <w:bCs/>
              </w:rPr>
              <w:t xml:space="preserve">Valor </w:t>
            </w:r>
            <w:r>
              <w:rPr>
                <w:rFonts w:ascii="Arial" w:hAnsi="Arial" w:cs="Arial"/>
                <w:b/>
                <w:bCs/>
              </w:rPr>
              <w:t>p</w:t>
            </w:r>
            <w:r w:rsidRPr="00023854">
              <w:rPr>
                <w:rFonts w:ascii="Arial" w:hAnsi="Arial" w:cs="Arial"/>
                <w:b/>
                <w:bCs/>
              </w:rPr>
              <w:t>royectado</w:t>
            </w:r>
          </w:p>
        </w:tc>
      </w:tr>
      <w:tr w:rsidR="00AB284D" w14:paraId="4F502F50" w14:textId="77777777" w:rsidTr="00AB284D">
        <w:trPr>
          <w:trHeight w:val="408"/>
        </w:trPr>
        <w:tc>
          <w:tcPr>
            <w:tcW w:w="4815" w:type="dxa"/>
            <w:vAlign w:val="center"/>
          </w:tcPr>
          <w:p w14:paraId="57721260" w14:textId="77777777" w:rsidR="00AB284D" w:rsidRDefault="00AB284D" w:rsidP="00AB284D">
            <w:pPr>
              <w:adjustRightInd w:val="0"/>
              <w:snapToGrid w:val="0"/>
              <w:jc w:val="both"/>
              <w:rPr>
                <w:rFonts w:ascii="Arial" w:hAnsi="Arial" w:cs="Arial"/>
              </w:rPr>
            </w:pPr>
            <w:r w:rsidRPr="00023854">
              <w:rPr>
                <w:rFonts w:ascii="Arial" w:hAnsi="Arial" w:cs="Arial"/>
              </w:rPr>
              <w:t>Campos petroleros involucrados</w:t>
            </w:r>
          </w:p>
        </w:tc>
        <w:tc>
          <w:tcPr>
            <w:tcW w:w="4013" w:type="dxa"/>
            <w:vAlign w:val="center"/>
          </w:tcPr>
          <w:p w14:paraId="4E37D76C" w14:textId="77777777" w:rsidR="00AB284D" w:rsidRDefault="00AB284D" w:rsidP="00AB284D">
            <w:pPr>
              <w:adjustRightInd w:val="0"/>
              <w:snapToGrid w:val="0"/>
              <w:jc w:val="both"/>
              <w:rPr>
                <w:rFonts w:ascii="Arial" w:hAnsi="Arial" w:cs="Arial"/>
              </w:rPr>
            </w:pPr>
            <w:r w:rsidRPr="00023854">
              <w:rPr>
                <w:rFonts w:ascii="Arial" w:hAnsi="Arial" w:cs="Arial"/>
              </w:rPr>
              <w:t>17 bloques</w:t>
            </w:r>
          </w:p>
        </w:tc>
      </w:tr>
      <w:tr w:rsidR="00AB284D" w14:paraId="0D4CC664" w14:textId="77777777" w:rsidTr="00AB284D">
        <w:trPr>
          <w:trHeight w:val="414"/>
        </w:trPr>
        <w:tc>
          <w:tcPr>
            <w:tcW w:w="4815" w:type="dxa"/>
            <w:vAlign w:val="center"/>
          </w:tcPr>
          <w:p w14:paraId="5233EB2D" w14:textId="77777777" w:rsidR="00AB284D" w:rsidRDefault="00AB284D" w:rsidP="00AB284D">
            <w:pPr>
              <w:adjustRightInd w:val="0"/>
              <w:snapToGrid w:val="0"/>
              <w:jc w:val="both"/>
              <w:rPr>
                <w:rFonts w:ascii="Arial" w:hAnsi="Arial" w:cs="Arial"/>
              </w:rPr>
            </w:pPr>
            <w:r w:rsidRPr="00023854">
              <w:rPr>
                <w:rFonts w:ascii="Arial" w:hAnsi="Arial" w:cs="Arial"/>
              </w:rPr>
              <w:t>Vigencia del acuerdo</w:t>
            </w:r>
          </w:p>
        </w:tc>
        <w:tc>
          <w:tcPr>
            <w:tcW w:w="4013" w:type="dxa"/>
            <w:vAlign w:val="center"/>
          </w:tcPr>
          <w:p w14:paraId="2CD1F265" w14:textId="77777777" w:rsidR="00AB284D" w:rsidRDefault="00AB284D" w:rsidP="00AB284D">
            <w:pPr>
              <w:adjustRightInd w:val="0"/>
              <w:snapToGrid w:val="0"/>
              <w:jc w:val="both"/>
              <w:rPr>
                <w:rFonts w:ascii="Arial" w:hAnsi="Arial" w:cs="Arial"/>
              </w:rPr>
            </w:pPr>
            <w:r w:rsidRPr="00023854">
              <w:rPr>
                <w:rFonts w:ascii="Arial" w:hAnsi="Arial" w:cs="Arial"/>
              </w:rPr>
              <w:t>25 años</w:t>
            </w:r>
          </w:p>
        </w:tc>
      </w:tr>
      <w:tr w:rsidR="00AB284D" w14:paraId="07FD9546" w14:textId="77777777" w:rsidTr="00AB284D">
        <w:trPr>
          <w:trHeight w:val="419"/>
        </w:trPr>
        <w:tc>
          <w:tcPr>
            <w:tcW w:w="4815" w:type="dxa"/>
            <w:vAlign w:val="center"/>
          </w:tcPr>
          <w:p w14:paraId="5563988F" w14:textId="77777777" w:rsidR="00AB284D" w:rsidRDefault="00AB284D" w:rsidP="00AB284D">
            <w:pPr>
              <w:adjustRightInd w:val="0"/>
              <w:snapToGrid w:val="0"/>
              <w:jc w:val="both"/>
              <w:rPr>
                <w:rFonts w:ascii="Arial" w:hAnsi="Arial" w:cs="Arial"/>
              </w:rPr>
            </w:pPr>
            <w:r w:rsidRPr="00023854">
              <w:rPr>
                <w:rFonts w:ascii="Arial" w:hAnsi="Arial" w:cs="Arial"/>
              </w:rPr>
              <w:t>Meta de producción diaria</w:t>
            </w:r>
            <w:r>
              <w:rPr>
                <w:rFonts w:ascii="Arial" w:hAnsi="Arial" w:cs="Arial"/>
              </w:rPr>
              <w:t xml:space="preserve"> del acuerdo</w:t>
            </w:r>
          </w:p>
        </w:tc>
        <w:tc>
          <w:tcPr>
            <w:tcW w:w="4013" w:type="dxa"/>
            <w:vAlign w:val="center"/>
          </w:tcPr>
          <w:p w14:paraId="68E0828F" w14:textId="77777777" w:rsidR="00AB284D" w:rsidRDefault="00AB284D" w:rsidP="00AB284D">
            <w:pPr>
              <w:adjustRightInd w:val="0"/>
              <w:snapToGrid w:val="0"/>
              <w:jc w:val="both"/>
              <w:rPr>
                <w:rFonts w:ascii="Arial" w:hAnsi="Arial" w:cs="Arial"/>
              </w:rPr>
            </w:pPr>
            <w:r w:rsidRPr="00023854">
              <w:rPr>
                <w:rFonts w:ascii="Arial" w:hAnsi="Arial" w:cs="Arial"/>
              </w:rPr>
              <w:t>&gt; 1,5 millones bpd</w:t>
            </w:r>
          </w:p>
        </w:tc>
      </w:tr>
      <w:tr w:rsidR="00AB284D" w14:paraId="56860943" w14:textId="77777777" w:rsidTr="00AB284D">
        <w:trPr>
          <w:trHeight w:val="426"/>
        </w:trPr>
        <w:tc>
          <w:tcPr>
            <w:tcW w:w="4815" w:type="dxa"/>
            <w:vAlign w:val="center"/>
          </w:tcPr>
          <w:p w14:paraId="2654526F" w14:textId="77777777" w:rsidR="00AB284D" w:rsidRDefault="00AB284D" w:rsidP="00AB284D">
            <w:pPr>
              <w:adjustRightInd w:val="0"/>
              <w:snapToGrid w:val="0"/>
              <w:jc w:val="both"/>
              <w:rPr>
                <w:rFonts w:ascii="Arial" w:hAnsi="Arial" w:cs="Arial"/>
              </w:rPr>
            </w:pPr>
            <w:r w:rsidRPr="00023854">
              <w:rPr>
                <w:rFonts w:ascii="Arial" w:hAnsi="Arial" w:cs="Arial"/>
              </w:rPr>
              <w:t>Inversión de capital (Capex)</w:t>
            </w:r>
          </w:p>
        </w:tc>
        <w:tc>
          <w:tcPr>
            <w:tcW w:w="4013" w:type="dxa"/>
            <w:vAlign w:val="center"/>
          </w:tcPr>
          <w:p w14:paraId="0BEB220D" w14:textId="77777777" w:rsidR="00AB284D" w:rsidRDefault="00AB284D" w:rsidP="00AB284D">
            <w:pPr>
              <w:adjustRightInd w:val="0"/>
              <w:snapToGrid w:val="0"/>
              <w:jc w:val="both"/>
              <w:rPr>
                <w:rFonts w:ascii="Arial" w:hAnsi="Arial" w:cs="Arial"/>
              </w:rPr>
            </w:pPr>
            <w:r w:rsidRPr="00023854">
              <w:rPr>
                <w:rFonts w:ascii="Arial" w:hAnsi="Arial" w:cs="Arial"/>
              </w:rPr>
              <w:t>~$100.000 millones</w:t>
            </w:r>
          </w:p>
        </w:tc>
      </w:tr>
      <w:tr w:rsidR="00AB284D" w14:paraId="540DFD21" w14:textId="77777777" w:rsidTr="00AB284D">
        <w:trPr>
          <w:trHeight w:val="404"/>
        </w:trPr>
        <w:tc>
          <w:tcPr>
            <w:tcW w:w="4815" w:type="dxa"/>
            <w:vAlign w:val="center"/>
          </w:tcPr>
          <w:p w14:paraId="6F1E468C" w14:textId="77777777" w:rsidR="00AB284D" w:rsidRDefault="00AB284D" w:rsidP="00AB284D">
            <w:pPr>
              <w:adjustRightInd w:val="0"/>
              <w:snapToGrid w:val="0"/>
              <w:jc w:val="both"/>
              <w:rPr>
                <w:rFonts w:ascii="Arial" w:hAnsi="Arial" w:cs="Arial"/>
              </w:rPr>
            </w:pPr>
            <w:r w:rsidRPr="00023854">
              <w:rPr>
                <w:rFonts w:ascii="Arial" w:hAnsi="Arial" w:cs="Arial"/>
              </w:rPr>
              <w:t>Costos operativos acumulados (</w:t>
            </w:r>
            <w:r>
              <w:rPr>
                <w:rFonts w:ascii="Arial" w:hAnsi="Arial" w:cs="Arial"/>
              </w:rPr>
              <w:t>O</w:t>
            </w:r>
            <w:r w:rsidRPr="00023854">
              <w:rPr>
                <w:rFonts w:ascii="Arial" w:hAnsi="Arial" w:cs="Arial"/>
              </w:rPr>
              <w:t>pex)</w:t>
            </w:r>
          </w:p>
        </w:tc>
        <w:tc>
          <w:tcPr>
            <w:tcW w:w="4013" w:type="dxa"/>
            <w:vAlign w:val="center"/>
          </w:tcPr>
          <w:p w14:paraId="778568AF" w14:textId="77777777" w:rsidR="00AB284D" w:rsidRDefault="00AB284D" w:rsidP="00AB284D">
            <w:pPr>
              <w:adjustRightInd w:val="0"/>
              <w:snapToGrid w:val="0"/>
              <w:jc w:val="both"/>
              <w:rPr>
                <w:rFonts w:ascii="Arial" w:hAnsi="Arial" w:cs="Arial"/>
              </w:rPr>
            </w:pPr>
            <w:r w:rsidRPr="00023854">
              <w:rPr>
                <w:rFonts w:ascii="Arial" w:hAnsi="Arial" w:cs="Arial"/>
              </w:rPr>
              <w:t>~$135.000 millones</w:t>
            </w:r>
          </w:p>
        </w:tc>
      </w:tr>
      <w:tr w:rsidR="00AB284D" w14:paraId="58A6B9CE" w14:textId="77777777" w:rsidTr="00AB284D">
        <w:trPr>
          <w:trHeight w:val="410"/>
        </w:trPr>
        <w:tc>
          <w:tcPr>
            <w:tcW w:w="4815" w:type="dxa"/>
            <w:vAlign w:val="center"/>
          </w:tcPr>
          <w:p w14:paraId="37B4C90F" w14:textId="77777777" w:rsidR="00AB284D" w:rsidRDefault="00AB284D" w:rsidP="00AB284D">
            <w:pPr>
              <w:adjustRightInd w:val="0"/>
              <w:snapToGrid w:val="0"/>
              <w:jc w:val="both"/>
              <w:rPr>
                <w:rFonts w:ascii="Arial" w:hAnsi="Arial" w:cs="Arial"/>
              </w:rPr>
            </w:pPr>
            <w:r w:rsidRPr="00023854">
              <w:rPr>
                <w:rFonts w:ascii="Arial" w:hAnsi="Arial" w:cs="Arial"/>
              </w:rPr>
              <w:t>Ingresos brutos globales estimados</w:t>
            </w:r>
          </w:p>
        </w:tc>
        <w:tc>
          <w:tcPr>
            <w:tcW w:w="4013" w:type="dxa"/>
            <w:vAlign w:val="center"/>
          </w:tcPr>
          <w:p w14:paraId="2D9217C5" w14:textId="77777777" w:rsidR="00AB284D" w:rsidRDefault="00AB284D" w:rsidP="00AB284D">
            <w:pPr>
              <w:adjustRightInd w:val="0"/>
              <w:snapToGrid w:val="0"/>
              <w:jc w:val="both"/>
              <w:rPr>
                <w:rFonts w:ascii="Arial" w:hAnsi="Arial" w:cs="Arial"/>
              </w:rPr>
            </w:pPr>
            <w:r w:rsidRPr="00023854">
              <w:rPr>
                <w:rFonts w:ascii="Arial" w:hAnsi="Arial" w:cs="Arial"/>
              </w:rPr>
              <w:t>~$542.000 millones</w:t>
            </w:r>
          </w:p>
        </w:tc>
      </w:tr>
      <w:tr w:rsidR="00AB284D" w14:paraId="3C659E03" w14:textId="77777777" w:rsidTr="00AB284D">
        <w:trPr>
          <w:trHeight w:val="415"/>
        </w:trPr>
        <w:tc>
          <w:tcPr>
            <w:tcW w:w="4815" w:type="dxa"/>
            <w:vAlign w:val="center"/>
          </w:tcPr>
          <w:p w14:paraId="0F32FA7E" w14:textId="77777777" w:rsidR="00AB284D" w:rsidRDefault="00AB284D" w:rsidP="00AB284D">
            <w:pPr>
              <w:adjustRightInd w:val="0"/>
              <w:snapToGrid w:val="0"/>
              <w:jc w:val="both"/>
              <w:rPr>
                <w:rFonts w:ascii="Arial" w:hAnsi="Arial" w:cs="Arial"/>
              </w:rPr>
            </w:pPr>
            <w:r w:rsidRPr="00023854">
              <w:rPr>
                <w:rFonts w:ascii="Arial" w:hAnsi="Arial" w:cs="Arial"/>
              </w:rPr>
              <w:t>Recaudación fiscal para Venezuela</w:t>
            </w:r>
          </w:p>
        </w:tc>
        <w:tc>
          <w:tcPr>
            <w:tcW w:w="4013" w:type="dxa"/>
            <w:vAlign w:val="center"/>
          </w:tcPr>
          <w:p w14:paraId="31C06168" w14:textId="77777777" w:rsidR="00AB284D" w:rsidRDefault="00AB284D" w:rsidP="00AB284D">
            <w:pPr>
              <w:adjustRightInd w:val="0"/>
              <w:snapToGrid w:val="0"/>
              <w:jc w:val="both"/>
              <w:rPr>
                <w:rFonts w:ascii="Arial" w:hAnsi="Arial" w:cs="Arial"/>
              </w:rPr>
            </w:pPr>
            <w:r w:rsidRPr="00023854">
              <w:rPr>
                <w:rFonts w:ascii="Arial" w:hAnsi="Arial" w:cs="Arial"/>
              </w:rPr>
              <w:t>&gt; $209.000 millones</w:t>
            </w:r>
          </w:p>
        </w:tc>
      </w:tr>
      <w:tr w:rsidR="00AB284D" w14:paraId="2AF1BB2B" w14:textId="77777777" w:rsidTr="00AB284D">
        <w:trPr>
          <w:trHeight w:val="421"/>
        </w:trPr>
        <w:tc>
          <w:tcPr>
            <w:tcW w:w="4815" w:type="dxa"/>
            <w:vAlign w:val="center"/>
          </w:tcPr>
          <w:p w14:paraId="216B9AA7" w14:textId="77777777" w:rsidR="00AB284D" w:rsidRDefault="00AB284D" w:rsidP="00AB284D">
            <w:pPr>
              <w:adjustRightInd w:val="0"/>
              <w:snapToGrid w:val="0"/>
              <w:jc w:val="both"/>
              <w:rPr>
                <w:rFonts w:ascii="Arial" w:hAnsi="Arial" w:cs="Arial"/>
              </w:rPr>
            </w:pPr>
            <w:r w:rsidRPr="00023854">
              <w:rPr>
                <w:rFonts w:ascii="Arial" w:hAnsi="Arial" w:cs="Arial"/>
              </w:rPr>
              <w:t xml:space="preserve">Beneficio </w:t>
            </w:r>
            <w:r>
              <w:rPr>
                <w:rFonts w:ascii="Arial" w:hAnsi="Arial" w:cs="Arial"/>
              </w:rPr>
              <w:t>d</w:t>
            </w:r>
            <w:r w:rsidRPr="00023854">
              <w:rPr>
                <w:rFonts w:ascii="Arial" w:hAnsi="Arial" w:cs="Arial"/>
              </w:rPr>
              <w:t>irecto a PDVSA (</w:t>
            </w:r>
            <w:r>
              <w:rPr>
                <w:rFonts w:ascii="Arial" w:hAnsi="Arial" w:cs="Arial"/>
              </w:rPr>
              <w:t>s</w:t>
            </w:r>
            <w:r w:rsidRPr="00023854">
              <w:rPr>
                <w:rFonts w:ascii="Arial" w:hAnsi="Arial" w:cs="Arial"/>
              </w:rPr>
              <w:t>ocia)</w:t>
            </w:r>
          </w:p>
        </w:tc>
        <w:tc>
          <w:tcPr>
            <w:tcW w:w="4013" w:type="dxa"/>
            <w:vAlign w:val="center"/>
          </w:tcPr>
          <w:p w14:paraId="3818D009" w14:textId="77777777" w:rsidR="00AB284D" w:rsidRDefault="00AB284D" w:rsidP="00AB284D">
            <w:pPr>
              <w:adjustRightInd w:val="0"/>
              <w:snapToGrid w:val="0"/>
              <w:jc w:val="both"/>
              <w:rPr>
                <w:rFonts w:ascii="Arial" w:hAnsi="Arial" w:cs="Arial"/>
              </w:rPr>
            </w:pPr>
            <w:r w:rsidRPr="00023854">
              <w:rPr>
                <w:rFonts w:ascii="Arial" w:hAnsi="Arial" w:cs="Arial"/>
              </w:rPr>
              <w:t>~$22.000 millones</w:t>
            </w:r>
          </w:p>
        </w:tc>
      </w:tr>
      <w:tr w:rsidR="00AB284D" w14:paraId="4FCEB5A7" w14:textId="77777777" w:rsidTr="00AB284D">
        <w:trPr>
          <w:trHeight w:val="414"/>
        </w:trPr>
        <w:tc>
          <w:tcPr>
            <w:tcW w:w="4815" w:type="dxa"/>
            <w:vAlign w:val="center"/>
          </w:tcPr>
          <w:p w14:paraId="16A6288E" w14:textId="77777777" w:rsidR="00AB284D" w:rsidRDefault="00AB284D" w:rsidP="00AB284D">
            <w:pPr>
              <w:adjustRightInd w:val="0"/>
              <w:snapToGrid w:val="0"/>
              <w:jc w:val="both"/>
              <w:rPr>
                <w:rFonts w:ascii="Arial" w:hAnsi="Arial" w:cs="Arial"/>
              </w:rPr>
            </w:pPr>
            <w:r w:rsidRPr="00023854">
              <w:rPr>
                <w:rFonts w:ascii="Arial" w:hAnsi="Arial" w:cs="Arial"/>
              </w:rPr>
              <w:t xml:space="preserve">Ingreso </w:t>
            </w:r>
            <w:r>
              <w:rPr>
                <w:rFonts w:ascii="Arial" w:hAnsi="Arial" w:cs="Arial"/>
              </w:rPr>
              <w:t>d</w:t>
            </w:r>
            <w:r w:rsidRPr="00023854">
              <w:rPr>
                <w:rFonts w:ascii="Arial" w:hAnsi="Arial" w:cs="Arial"/>
              </w:rPr>
              <w:t xml:space="preserve">irecto por </w:t>
            </w:r>
            <w:r>
              <w:rPr>
                <w:rFonts w:ascii="Arial" w:hAnsi="Arial" w:cs="Arial"/>
              </w:rPr>
              <w:t>b</w:t>
            </w:r>
            <w:r w:rsidRPr="00023854">
              <w:rPr>
                <w:rFonts w:ascii="Arial" w:hAnsi="Arial" w:cs="Arial"/>
              </w:rPr>
              <w:t>arril al Estado</w:t>
            </w:r>
          </w:p>
        </w:tc>
        <w:tc>
          <w:tcPr>
            <w:tcW w:w="4013" w:type="dxa"/>
            <w:vAlign w:val="center"/>
          </w:tcPr>
          <w:p w14:paraId="7F6E9172" w14:textId="77777777" w:rsidR="00AB284D" w:rsidRDefault="00AB284D" w:rsidP="00AB284D">
            <w:pPr>
              <w:adjustRightInd w:val="0"/>
              <w:snapToGrid w:val="0"/>
              <w:jc w:val="both"/>
              <w:rPr>
                <w:rFonts w:ascii="Arial" w:hAnsi="Arial" w:cs="Arial"/>
              </w:rPr>
            </w:pPr>
            <w:r w:rsidRPr="00023854">
              <w:rPr>
                <w:rFonts w:ascii="Arial" w:hAnsi="Arial" w:cs="Arial"/>
              </w:rPr>
              <w:t>~$19 dólares (referencia a $65/b)</w:t>
            </w:r>
          </w:p>
        </w:tc>
      </w:tr>
      <w:tr w:rsidR="00AB284D" w14:paraId="02EA459D" w14:textId="77777777" w:rsidTr="00AB284D">
        <w:trPr>
          <w:trHeight w:val="402"/>
        </w:trPr>
        <w:tc>
          <w:tcPr>
            <w:tcW w:w="4815" w:type="dxa"/>
            <w:vAlign w:val="center"/>
          </w:tcPr>
          <w:p w14:paraId="481BAF72" w14:textId="77777777" w:rsidR="00AB284D" w:rsidRDefault="00AB284D" w:rsidP="00AB284D">
            <w:pPr>
              <w:adjustRightInd w:val="0"/>
              <w:snapToGrid w:val="0"/>
              <w:jc w:val="both"/>
              <w:rPr>
                <w:rFonts w:ascii="Arial" w:hAnsi="Arial" w:cs="Arial"/>
              </w:rPr>
            </w:pPr>
            <w:r w:rsidRPr="00023854">
              <w:rPr>
                <w:rFonts w:ascii="Arial" w:hAnsi="Arial" w:cs="Arial"/>
              </w:rPr>
              <w:t xml:space="preserve">Tasas </w:t>
            </w:r>
            <w:r>
              <w:rPr>
                <w:rFonts w:ascii="Arial" w:hAnsi="Arial" w:cs="Arial"/>
              </w:rPr>
              <w:t>f</w:t>
            </w:r>
            <w:r w:rsidRPr="00023854">
              <w:rPr>
                <w:rFonts w:ascii="Arial" w:hAnsi="Arial" w:cs="Arial"/>
              </w:rPr>
              <w:t xml:space="preserve">iscales </w:t>
            </w:r>
            <w:r>
              <w:rPr>
                <w:rFonts w:ascii="Arial" w:hAnsi="Arial" w:cs="Arial"/>
              </w:rPr>
              <w:t>a</w:t>
            </w:r>
            <w:r w:rsidRPr="00023854">
              <w:rPr>
                <w:rFonts w:ascii="Arial" w:hAnsi="Arial" w:cs="Arial"/>
              </w:rPr>
              <w:t>plicables</w:t>
            </w:r>
          </w:p>
        </w:tc>
        <w:tc>
          <w:tcPr>
            <w:tcW w:w="4013" w:type="dxa"/>
            <w:vAlign w:val="center"/>
          </w:tcPr>
          <w:p w14:paraId="692671D7" w14:textId="77777777" w:rsidR="00AB284D" w:rsidRDefault="00AB284D" w:rsidP="00AB284D">
            <w:pPr>
              <w:adjustRightInd w:val="0"/>
              <w:snapToGrid w:val="0"/>
              <w:jc w:val="both"/>
              <w:rPr>
                <w:rFonts w:ascii="Arial" w:hAnsi="Arial" w:cs="Arial"/>
              </w:rPr>
            </w:pPr>
            <w:r w:rsidRPr="00023854">
              <w:rPr>
                <w:rFonts w:ascii="Arial" w:hAnsi="Arial" w:cs="Arial"/>
              </w:rPr>
              <w:t>Regalía base 16%, ISLR 34%</w:t>
            </w:r>
          </w:p>
        </w:tc>
      </w:tr>
    </w:tbl>
    <w:p w14:paraId="707D38DA" w14:textId="77777777" w:rsidR="00AB284D" w:rsidRDefault="00AB284D" w:rsidP="00023854">
      <w:pPr>
        <w:adjustRightInd w:val="0"/>
        <w:snapToGrid w:val="0"/>
        <w:jc w:val="both"/>
        <w:rPr>
          <w:rFonts w:ascii="Arial" w:hAnsi="Arial" w:cs="Arial"/>
        </w:rPr>
      </w:pPr>
    </w:p>
    <w:p w14:paraId="0EFAF278" w14:textId="77777777" w:rsidR="00023854" w:rsidRPr="00023854" w:rsidRDefault="00023854" w:rsidP="00023854">
      <w:pPr>
        <w:adjustRightInd w:val="0"/>
        <w:snapToGrid w:val="0"/>
        <w:jc w:val="both"/>
        <w:outlineLvl w:val="1"/>
        <w:rPr>
          <w:rFonts w:ascii="Arial" w:hAnsi="Arial" w:cs="Arial"/>
          <w:b/>
          <w:bCs/>
          <w:sz w:val="40"/>
          <w:szCs w:val="40"/>
        </w:rPr>
      </w:pPr>
      <w:r w:rsidRPr="00023854">
        <w:rPr>
          <w:rFonts w:ascii="Arial" w:hAnsi="Arial" w:cs="Arial"/>
          <w:b/>
          <w:bCs/>
          <w:sz w:val="40"/>
          <w:szCs w:val="40"/>
        </w:rPr>
        <w:t xml:space="preserve">La </w:t>
      </w:r>
      <w:r w:rsidR="00AB284D" w:rsidRPr="001C2E65">
        <w:rPr>
          <w:rFonts w:ascii="Arial" w:hAnsi="Arial" w:cs="Arial"/>
          <w:b/>
          <w:bCs/>
          <w:sz w:val="40"/>
          <w:szCs w:val="40"/>
        </w:rPr>
        <w:t>r</w:t>
      </w:r>
      <w:r w:rsidRPr="00023854">
        <w:rPr>
          <w:rFonts w:ascii="Arial" w:hAnsi="Arial" w:cs="Arial"/>
          <w:b/>
          <w:bCs/>
          <w:sz w:val="40"/>
          <w:szCs w:val="40"/>
        </w:rPr>
        <w:t xml:space="preserve">eforma de la Ley de Hidrocarburos y el </w:t>
      </w:r>
      <w:r w:rsidR="00AB284D" w:rsidRPr="001C2E65">
        <w:rPr>
          <w:rFonts w:ascii="Arial" w:hAnsi="Arial" w:cs="Arial"/>
          <w:b/>
          <w:bCs/>
          <w:sz w:val="40"/>
          <w:szCs w:val="40"/>
        </w:rPr>
        <w:t>paradigma de la seguridad jurídica</w:t>
      </w:r>
    </w:p>
    <w:p w14:paraId="4C34A5F5" w14:textId="77777777" w:rsidR="00AB284D" w:rsidRDefault="00AB284D" w:rsidP="00023854">
      <w:pPr>
        <w:adjustRightInd w:val="0"/>
        <w:snapToGrid w:val="0"/>
        <w:jc w:val="both"/>
        <w:rPr>
          <w:rFonts w:ascii="Arial" w:hAnsi="Arial" w:cs="Arial"/>
        </w:rPr>
      </w:pPr>
    </w:p>
    <w:p w14:paraId="1ACF82F8" w14:textId="77777777" w:rsidR="001C2E65" w:rsidRDefault="00023854" w:rsidP="00023854">
      <w:pPr>
        <w:adjustRightInd w:val="0"/>
        <w:snapToGrid w:val="0"/>
        <w:jc w:val="both"/>
        <w:rPr>
          <w:rFonts w:ascii="Arial" w:hAnsi="Arial" w:cs="Arial"/>
        </w:rPr>
      </w:pPr>
      <w:r w:rsidRPr="00023854">
        <w:rPr>
          <w:rFonts w:ascii="Arial" w:hAnsi="Arial" w:cs="Arial"/>
        </w:rPr>
        <w:t xml:space="preserve">La materialización de un acuerdo que cede el 55% de la participación operativa a entidades foráneas habría sido inviable bajo el marco normativo heredado de la administración de Hugo Chávez. </w:t>
      </w:r>
    </w:p>
    <w:p w14:paraId="25E02B34" w14:textId="77777777" w:rsidR="001C2E65" w:rsidRDefault="001C2E65" w:rsidP="00023854">
      <w:pPr>
        <w:adjustRightInd w:val="0"/>
        <w:snapToGrid w:val="0"/>
        <w:jc w:val="both"/>
        <w:rPr>
          <w:rFonts w:ascii="Arial" w:hAnsi="Arial" w:cs="Arial"/>
        </w:rPr>
      </w:pPr>
    </w:p>
    <w:p w14:paraId="23E62BD4" w14:textId="77777777" w:rsidR="001C2E65" w:rsidRDefault="00023854" w:rsidP="00023854">
      <w:pPr>
        <w:adjustRightInd w:val="0"/>
        <w:snapToGrid w:val="0"/>
        <w:jc w:val="both"/>
        <w:rPr>
          <w:rFonts w:ascii="Arial" w:hAnsi="Arial" w:cs="Arial"/>
        </w:rPr>
      </w:pPr>
      <w:r w:rsidRPr="00023854">
        <w:rPr>
          <w:rFonts w:ascii="Arial" w:hAnsi="Arial" w:cs="Arial"/>
        </w:rPr>
        <w:t xml:space="preserve">La Constitución de la República Bolivariana de Venezuela, en sus artículos 12, 302 y 303, consagra el dominio inalienable del Estado sobre los yacimientos de hidrocarburos y reserva la actividad petrolera como un bien público inembargable. </w:t>
      </w:r>
    </w:p>
    <w:p w14:paraId="502C37DC" w14:textId="77777777" w:rsidR="001C2E65" w:rsidRDefault="001C2E65" w:rsidP="00023854">
      <w:pPr>
        <w:adjustRightInd w:val="0"/>
        <w:snapToGrid w:val="0"/>
        <w:jc w:val="both"/>
        <w:rPr>
          <w:rFonts w:ascii="Arial" w:hAnsi="Arial" w:cs="Arial"/>
        </w:rPr>
      </w:pPr>
    </w:p>
    <w:p w14:paraId="4B67D693" w14:textId="77777777" w:rsidR="00023854" w:rsidRDefault="00023854" w:rsidP="00023854">
      <w:pPr>
        <w:adjustRightInd w:val="0"/>
        <w:snapToGrid w:val="0"/>
        <w:jc w:val="both"/>
        <w:rPr>
          <w:rFonts w:ascii="Arial" w:hAnsi="Arial" w:cs="Arial"/>
        </w:rPr>
      </w:pPr>
      <w:r w:rsidRPr="00023854">
        <w:rPr>
          <w:rFonts w:ascii="Arial" w:hAnsi="Arial" w:cs="Arial"/>
        </w:rPr>
        <w:t>Para disolver este nudo gordiano sin requerir una reforma constitucional, la Asamblea Nacional venezolana aprobó de manera expedita en enero de 2026 una Reforma a la Ley Orgánica de Hidrocarburos que redefine conceptualmente el negocio petrolero en la nación.</w:t>
      </w:r>
    </w:p>
    <w:p w14:paraId="699FB591" w14:textId="77777777" w:rsidR="001C2E65" w:rsidRPr="00023854" w:rsidRDefault="001C2E65" w:rsidP="00023854">
      <w:pPr>
        <w:adjustRightInd w:val="0"/>
        <w:snapToGrid w:val="0"/>
        <w:jc w:val="both"/>
        <w:rPr>
          <w:rFonts w:ascii="Arial" w:hAnsi="Arial" w:cs="Arial"/>
        </w:rPr>
      </w:pPr>
    </w:p>
    <w:p w14:paraId="2F0578A8" w14:textId="77777777" w:rsidR="00023854" w:rsidRDefault="00023854" w:rsidP="00023854">
      <w:pPr>
        <w:adjustRightInd w:val="0"/>
        <w:snapToGrid w:val="0"/>
        <w:jc w:val="both"/>
        <w:outlineLvl w:val="2"/>
        <w:rPr>
          <w:rFonts w:ascii="Arial" w:hAnsi="Arial" w:cs="Arial"/>
          <w:b/>
          <w:bCs/>
          <w:sz w:val="27"/>
          <w:szCs w:val="27"/>
        </w:rPr>
      </w:pPr>
      <w:r w:rsidRPr="00023854">
        <w:rPr>
          <w:rFonts w:ascii="Arial" w:hAnsi="Arial" w:cs="Arial"/>
          <w:b/>
          <w:bCs/>
          <w:sz w:val="27"/>
          <w:szCs w:val="27"/>
        </w:rPr>
        <w:lastRenderedPageBreak/>
        <w:t>Transición hacia los Contratos de Participación Productiva (CPP)</w:t>
      </w:r>
    </w:p>
    <w:p w14:paraId="7FF29DF8" w14:textId="77777777" w:rsidR="001C2E65" w:rsidRDefault="001C2E65" w:rsidP="00023854">
      <w:pPr>
        <w:adjustRightInd w:val="0"/>
        <w:snapToGrid w:val="0"/>
        <w:jc w:val="both"/>
        <w:rPr>
          <w:rFonts w:ascii="Arial" w:hAnsi="Arial" w:cs="Arial"/>
        </w:rPr>
      </w:pPr>
    </w:p>
    <w:p w14:paraId="19A3243D" w14:textId="77777777" w:rsidR="00023854" w:rsidRDefault="00023854" w:rsidP="00023854">
      <w:pPr>
        <w:adjustRightInd w:val="0"/>
        <w:snapToGrid w:val="0"/>
        <w:jc w:val="both"/>
        <w:rPr>
          <w:rFonts w:ascii="Arial" w:hAnsi="Arial" w:cs="Arial"/>
        </w:rPr>
      </w:pPr>
      <w:r w:rsidRPr="00023854">
        <w:rPr>
          <w:rFonts w:ascii="Arial" w:hAnsi="Arial" w:cs="Arial"/>
        </w:rPr>
        <w:t>La legislación de 2001 (y sus sucesivas modificaciones) obligaba al Estado, a través de PDVSA, a mantener una participación accionaria superior al 50% en cualquier asociación, obligándolo a asumir financieramente la mayoría de los costos de capital, una exigencia matemáticamente imposible para una corporación estatal asfixiada por la deuda y la desinversión.</w:t>
      </w:r>
    </w:p>
    <w:p w14:paraId="22B1F647" w14:textId="77777777" w:rsidR="001C2E65" w:rsidRPr="00023854" w:rsidRDefault="001C2E65" w:rsidP="00023854">
      <w:pPr>
        <w:adjustRightInd w:val="0"/>
        <w:snapToGrid w:val="0"/>
        <w:jc w:val="both"/>
        <w:rPr>
          <w:rFonts w:ascii="Arial" w:hAnsi="Arial" w:cs="Arial"/>
        </w:rPr>
      </w:pPr>
    </w:p>
    <w:p w14:paraId="2041CB86" w14:textId="77777777" w:rsidR="00023854" w:rsidRDefault="00023854" w:rsidP="00023854">
      <w:pPr>
        <w:adjustRightInd w:val="0"/>
        <w:snapToGrid w:val="0"/>
        <w:jc w:val="both"/>
        <w:rPr>
          <w:rFonts w:ascii="Arial" w:hAnsi="Arial" w:cs="Arial"/>
        </w:rPr>
      </w:pPr>
      <w:r w:rsidRPr="00023854">
        <w:rPr>
          <w:rFonts w:ascii="Arial" w:hAnsi="Arial" w:cs="Arial"/>
        </w:rPr>
        <w:t>La nueva ley de 2026 introduce la figura de los Contratos de Participación Productiva (CPP), un instrumento contractual adaptado a la</w:t>
      </w:r>
      <w:r w:rsidR="001C2E65">
        <w:rPr>
          <w:rFonts w:ascii="Arial" w:hAnsi="Arial" w:cs="Arial"/>
        </w:rPr>
        <w:t>s</w:t>
      </w:r>
      <w:r w:rsidRPr="00023854">
        <w:rPr>
          <w:rFonts w:ascii="Arial" w:hAnsi="Arial" w:cs="Arial"/>
        </w:rPr>
        <w:t xml:space="preserve"> </w:t>
      </w:r>
      <w:r w:rsidR="001C2E65">
        <w:rPr>
          <w:rFonts w:ascii="Arial" w:hAnsi="Arial" w:cs="Arial"/>
        </w:rPr>
        <w:t xml:space="preserve">complejidades </w:t>
      </w:r>
      <w:r w:rsidR="001C2E65" w:rsidRPr="00023854">
        <w:rPr>
          <w:rFonts w:ascii="Arial" w:hAnsi="Arial" w:cs="Arial"/>
        </w:rPr>
        <w:t>de</w:t>
      </w:r>
      <w:r w:rsidRPr="00023854">
        <w:rPr>
          <w:rFonts w:ascii="Arial" w:hAnsi="Arial" w:cs="Arial"/>
        </w:rPr>
        <w:t xml:space="preserve"> la industria actual. Esta figura establece que el sector privado asume el 100% del riesgo financiero, los costos de exploración y la responsabilidad operativa. El Estado venezolano no contrae deudas ni emite garantías soberanas para el desarrollo de estos proyectos. A cambio de esta absorción de riesgo, se autoriza al accionista privado (ya sea el socio mayoritario internacional o un prestador de servicios especializado) a ejercer la gestión técnica y operativa de la sociedad de manera autónoma.</w:t>
      </w:r>
    </w:p>
    <w:p w14:paraId="1729A355" w14:textId="77777777" w:rsidR="001C2E65" w:rsidRPr="00023854" w:rsidRDefault="001C2E65" w:rsidP="00023854">
      <w:pPr>
        <w:adjustRightInd w:val="0"/>
        <w:snapToGrid w:val="0"/>
        <w:jc w:val="both"/>
        <w:rPr>
          <w:rFonts w:ascii="Arial" w:hAnsi="Arial" w:cs="Arial"/>
        </w:rPr>
      </w:pPr>
    </w:p>
    <w:p w14:paraId="336BAA94" w14:textId="77777777" w:rsidR="00023854" w:rsidRDefault="00023854" w:rsidP="00023854">
      <w:pPr>
        <w:adjustRightInd w:val="0"/>
        <w:snapToGrid w:val="0"/>
        <w:jc w:val="both"/>
        <w:rPr>
          <w:rFonts w:ascii="Arial" w:hAnsi="Arial" w:cs="Arial"/>
        </w:rPr>
      </w:pPr>
      <w:r w:rsidRPr="00023854">
        <w:rPr>
          <w:rFonts w:ascii="Arial" w:hAnsi="Arial" w:cs="Arial"/>
        </w:rPr>
        <w:t>El cambio más radical desde la nacionalización de 1976 es la habilitación de las empresas operadoras para realizar la comercialización directa de la totalidad o una cuota significativa de los hidrocarburos producidos. Esta delegación de la facultad de venta permite a las transnacionales sortear las ineficiencias y pasivos heredados de PDVSA, colocando directamente el crudo en refinerías de la Costa del Golfo de Estados Unidos, logrando retornos de inversión inmediatos y precios de mercado sin los descuentos que Venezuela sufría históricamente en el mercado asiático.</w:t>
      </w:r>
    </w:p>
    <w:p w14:paraId="447BBA2B" w14:textId="77777777" w:rsidR="001C2E65" w:rsidRPr="00023854" w:rsidRDefault="001C2E65" w:rsidP="00023854">
      <w:pPr>
        <w:adjustRightInd w:val="0"/>
        <w:snapToGrid w:val="0"/>
        <w:jc w:val="both"/>
        <w:rPr>
          <w:rFonts w:ascii="Arial" w:hAnsi="Arial" w:cs="Arial"/>
        </w:rPr>
      </w:pPr>
    </w:p>
    <w:p w14:paraId="59A1EB9F" w14:textId="77777777" w:rsidR="001C2E65" w:rsidRDefault="00023854" w:rsidP="00023854">
      <w:pPr>
        <w:adjustRightInd w:val="0"/>
        <w:snapToGrid w:val="0"/>
        <w:jc w:val="both"/>
        <w:rPr>
          <w:rFonts w:ascii="Arial" w:hAnsi="Arial" w:cs="Arial"/>
        </w:rPr>
      </w:pPr>
      <w:r w:rsidRPr="00023854">
        <w:rPr>
          <w:rFonts w:ascii="Arial" w:hAnsi="Arial" w:cs="Arial"/>
        </w:rPr>
        <w:t xml:space="preserve">Aunque el discurso gubernamental insiste en que Venezuela retiene la soberanía absoluta sobre los yacimientos subterráneos, la transferencia del control de superficie, la extracción y la comercialización ha sido calificada por analistas legales y figuras opositoras como una privatización </w:t>
      </w:r>
      <w:r w:rsidR="001C2E65">
        <w:rPr>
          <w:rFonts w:ascii="Arial" w:hAnsi="Arial" w:cs="Arial"/>
        </w:rPr>
        <w:t>parcial (de facto)</w:t>
      </w:r>
      <w:r w:rsidRPr="00023854">
        <w:rPr>
          <w:rFonts w:ascii="Arial" w:hAnsi="Arial" w:cs="Arial"/>
        </w:rPr>
        <w:t xml:space="preserve"> y la liquidación del modelo de soberanía petrolera estatista, retrocediendo hacia un esquema análogo a la "Apertura Petrolera" de la década de 1990 o incluso a </w:t>
      </w:r>
      <w:r w:rsidR="001C2E65">
        <w:rPr>
          <w:rFonts w:ascii="Arial" w:hAnsi="Arial" w:cs="Arial"/>
        </w:rPr>
        <w:t xml:space="preserve">los </w:t>
      </w:r>
      <w:r w:rsidRPr="00023854">
        <w:rPr>
          <w:rFonts w:ascii="Arial" w:hAnsi="Arial" w:cs="Arial"/>
        </w:rPr>
        <w:t>modelos concesionarios</w:t>
      </w:r>
      <w:r w:rsidR="001C2E65">
        <w:rPr>
          <w:rFonts w:ascii="Arial" w:hAnsi="Arial" w:cs="Arial"/>
        </w:rPr>
        <w:t xml:space="preserve"> vistos durante el período gomecista.</w:t>
      </w:r>
    </w:p>
    <w:p w14:paraId="33D91119" w14:textId="77777777" w:rsidR="00023854" w:rsidRPr="00023854" w:rsidRDefault="001C2E65" w:rsidP="00023854">
      <w:pPr>
        <w:adjustRightInd w:val="0"/>
        <w:snapToGrid w:val="0"/>
        <w:jc w:val="both"/>
        <w:rPr>
          <w:rFonts w:ascii="Arial" w:hAnsi="Arial" w:cs="Arial"/>
        </w:rPr>
      </w:pPr>
      <w:r>
        <w:rPr>
          <w:rFonts w:ascii="Arial" w:hAnsi="Arial" w:cs="Arial"/>
        </w:rPr>
        <w:t xml:space="preserve"> </w:t>
      </w:r>
    </w:p>
    <w:p w14:paraId="2971B9DC" w14:textId="77777777" w:rsidR="00023854" w:rsidRDefault="00023854" w:rsidP="00023854">
      <w:pPr>
        <w:adjustRightInd w:val="0"/>
        <w:snapToGrid w:val="0"/>
        <w:jc w:val="both"/>
        <w:outlineLvl w:val="2"/>
        <w:rPr>
          <w:rFonts w:ascii="Arial" w:hAnsi="Arial" w:cs="Arial"/>
          <w:b/>
          <w:bCs/>
          <w:sz w:val="27"/>
          <w:szCs w:val="27"/>
        </w:rPr>
      </w:pPr>
      <w:r w:rsidRPr="00023854">
        <w:rPr>
          <w:rFonts w:ascii="Arial" w:hAnsi="Arial" w:cs="Arial"/>
          <w:b/>
          <w:bCs/>
          <w:sz w:val="27"/>
          <w:szCs w:val="27"/>
        </w:rPr>
        <w:t xml:space="preserve">Resolución de </w:t>
      </w:r>
      <w:r w:rsidR="001C2E65" w:rsidRPr="00023854">
        <w:rPr>
          <w:rFonts w:ascii="Arial" w:hAnsi="Arial" w:cs="Arial"/>
          <w:b/>
          <w:bCs/>
          <w:sz w:val="27"/>
          <w:szCs w:val="27"/>
        </w:rPr>
        <w:t>controversias y arbitraje internacional</w:t>
      </w:r>
    </w:p>
    <w:p w14:paraId="0AF3F53B" w14:textId="77777777" w:rsidR="001C2E65" w:rsidRPr="00023854" w:rsidRDefault="001C2E65" w:rsidP="00023854">
      <w:pPr>
        <w:adjustRightInd w:val="0"/>
        <w:snapToGrid w:val="0"/>
        <w:jc w:val="both"/>
        <w:outlineLvl w:val="2"/>
        <w:rPr>
          <w:rFonts w:ascii="Arial" w:hAnsi="Arial" w:cs="Arial"/>
          <w:b/>
          <w:bCs/>
          <w:sz w:val="27"/>
          <w:szCs w:val="27"/>
        </w:rPr>
      </w:pPr>
    </w:p>
    <w:p w14:paraId="4C1396C6" w14:textId="77777777" w:rsidR="00023854" w:rsidRDefault="00023854" w:rsidP="00023854">
      <w:pPr>
        <w:adjustRightInd w:val="0"/>
        <w:snapToGrid w:val="0"/>
        <w:jc w:val="both"/>
        <w:rPr>
          <w:rFonts w:ascii="Arial" w:hAnsi="Arial" w:cs="Arial"/>
        </w:rPr>
      </w:pPr>
      <w:r w:rsidRPr="00023854">
        <w:rPr>
          <w:rFonts w:ascii="Arial" w:hAnsi="Arial" w:cs="Arial"/>
        </w:rPr>
        <w:t>El colapso de la confianza foránea en Venezuela tiene su origen en las expropiaciones unilaterales decretadas entre 2007 y 2010 contra gigantes como ExxonMobil y ConocoPhillips. Ningún capital institucional, ni los 100.000 millones de dólares requeridos por el nuevo pacto, fluiría hacia Caracas sin garantías blindadas contra el riesgo de nacionalización.</w:t>
      </w:r>
    </w:p>
    <w:p w14:paraId="268C0891" w14:textId="77777777" w:rsidR="001C2E65" w:rsidRPr="00023854" w:rsidRDefault="001C2E65" w:rsidP="00023854">
      <w:pPr>
        <w:adjustRightInd w:val="0"/>
        <w:snapToGrid w:val="0"/>
        <w:jc w:val="both"/>
        <w:rPr>
          <w:rFonts w:ascii="Arial" w:hAnsi="Arial" w:cs="Arial"/>
        </w:rPr>
      </w:pPr>
    </w:p>
    <w:p w14:paraId="653165F6" w14:textId="77777777" w:rsidR="00023854" w:rsidRDefault="00023854" w:rsidP="00023854">
      <w:pPr>
        <w:adjustRightInd w:val="0"/>
        <w:snapToGrid w:val="0"/>
        <w:jc w:val="both"/>
        <w:rPr>
          <w:rFonts w:ascii="Arial" w:hAnsi="Arial" w:cs="Arial"/>
        </w:rPr>
      </w:pPr>
      <w:r w:rsidRPr="00023854">
        <w:rPr>
          <w:rFonts w:ascii="Arial" w:hAnsi="Arial" w:cs="Arial"/>
        </w:rPr>
        <w:t xml:space="preserve">La nueva estructura legal resuelve este dilema al permitir que los contratos relativos a la exportación de crudo y las asociaciones operativas se rijan por las leyes de los Estados Unidos o jurisdicciones comerciales de primer orden (Reino Unido, Francia, Singapur). Asimismo, el Estado venezolano consiente someter cualquier disputa </w:t>
      </w:r>
      <w:r w:rsidRPr="00023854">
        <w:rPr>
          <w:rFonts w:ascii="Arial" w:hAnsi="Arial" w:cs="Arial"/>
        </w:rPr>
        <w:lastRenderedPageBreak/>
        <w:t>futura al arbitraje internacional independiente, renunciando a la inmunidad soberana en el ámbito comercial de estos acuerdos específicos. Esta cesión de jurisdicción local es el pilar maestro que dota de viabilidad jurídica a la inversión, transformando a la industria venezolana en una de las más reguladas por el derecho internacional privado de toda América Latina.</w:t>
      </w:r>
    </w:p>
    <w:p w14:paraId="33216C8E" w14:textId="77777777" w:rsidR="001C2E65" w:rsidRPr="00023854" w:rsidRDefault="001C2E65" w:rsidP="00023854">
      <w:pPr>
        <w:adjustRightInd w:val="0"/>
        <w:snapToGrid w:val="0"/>
        <w:jc w:val="both"/>
        <w:rPr>
          <w:rFonts w:ascii="Arial" w:hAnsi="Arial" w:cs="Arial"/>
        </w:rPr>
      </w:pPr>
    </w:p>
    <w:p w14:paraId="244E436D" w14:textId="77777777" w:rsidR="00023854" w:rsidRPr="00D7230E" w:rsidRDefault="00023854" w:rsidP="00023854">
      <w:pPr>
        <w:adjustRightInd w:val="0"/>
        <w:snapToGrid w:val="0"/>
        <w:jc w:val="both"/>
        <w:outlineLvl w:val="1"/>
        <w:rPr>
          <w:rFonts w:ascii="Arial" w:hAnsi="Arial" w:cs="Arial"/>
          <w:b/>
          <w:bCs/>
          <w:i/>
          <w:iCs/>
          <w:sz w:val="40"/>
          <w:szCs w:val="40"/>
        </w:rPr>
      </w:pPr>
      <w:r w:rsidRPr="00023854">
        <w:rPr>
          <w:rFonts w:ascii="Arial" w:hAnsi="Arial" w:cs="Arial"/>
          <w:b/>
          <w:bCs/>
          <w:sz w:val="40"/>
          <w:szCs w:val="40"/>
        </w:rPr>
        <w:t xml:space="preserve">La </w:t>
      </w:r>
      <w:r w:rsidR="001C2E65" w:rsidRPr="001C2E65">
        <w:rPr>
          <w:rFonts w:ascii="Arial" w:hAnsi="Arial" w:cs="Arial"/>
          <w:b/>
          <w:bCs/>
          <w:sz w:val="40"/>
          <w:szCs w:val="40"/>
        </w:rPr>
        <w:t xml:space="preserve">arquitectura sancionatoria </w:t>
      </w:r>
      <w:r w:rsidRPr="00023854">
        <w:rPr>
          <w:rFonts w:ascii="Arial" w:hAnsi="Arial" w:cs="Arial"/>
          <w:b/>
          <w:bCs/>
          <w:sz w:val="40"/>
          <w:szCs w:val="40"/>
        </w:rPr>
        <w:t xml:space="preserve">de la OFAC: </w:t>
      </w:r>
      <w:r w:rsidR="001C2E65" w:rsidRPr="001C2E65">
        <w:rPr>
          <w:rFonts w:ascii="Arial" w:hAnsi="Arial" w:cs="Arial"/>
          <w:b/>
          <w:bCs/>
          <w:sz w:val="40"/>
          <w:szCs w:val="40"/>
        </w:rPr>
        <w:t xml:space="preserve">del aislamiento al </w:t>
      </w:r>
      <w:r w:rsidRPr="00023854">
        <w:rPr>
          <w:rFonts w:ascii="Arial" w:hAnsi="Arial" w:cs="Arial"/>
          <w:b/>
          <w:bCs/>
          <w:i/>
          <w:iCs/>
          <w:sz w:val="40"/>
          <w:szCs w:val="40"/>
        </w:rPr>
        <w:t>"</w:t>
      </w:r>
      <w:r w:rsidR="007861D2">
        <w:rPr>
          <w:rFonts w:ascii="Arial" w:hAnsi="Arial" w:cs="Arial"/>
          <w:b/>
          <w:bCs/>
          <w:i/>
          <w:iCs/>
          <w:sz w:val="40"/>
          <w:szCs w:val="40"/>
        </w:rPr>
        <w:t>r</w:t>
      </w:r>
      <w:r w:rsidRPr="00023854">
        <w:rPr>
          <w:rFonts w:ascii="Arial" w:hAnsi="Arial" w:cs="Arial"/>
          <w:b/>
          <w:bCs/>
          <w:i/>
          <w:iCs/>
          <w:sz w:val="40"/>
          <w:szCs w:val="40"/>
        </w:rPr>
        <w:t>ing-</w:t>
      </w:r>
      <w:r w:rsidR="007861D2">
        <w:rPr>
          <w:rFonts w:ascii="Arial" w:hAnsi="Arial" w:cs="Arial"/>
          <w:b/>
          <w:bCs/>
          <w:i/>
          <w:iCs/>
          <w:sz w:val="40"/>
          <w:szCs w:val="40"/>
        </w:rPr>
        <w:t>f</w:t>
      </w:r>
      <w:r w:rsidRPr="00023854">
        <w:rPr>
          <w:rFonts w:ascii="Arial" w:hAnsi="Arial" w:cs="Arial"/>
          <w:b/>
          <w:bCs/>
          <w:i/>
          <w:iCs/>
          <w:sz w:val="40"/>
          <w:szCs w:val="40"/>
        </w:rPr>
        <w:t>encing"</w:t>
      </w:r>
    </w:p>
    <w:p w14:paraId="697D7D25" w14:textId="77777777" w:rsidR="001C2E65" w:rsidRPr="00023854" w:rsidRDefault="001C2E65" w:rsidP="00023854">
      <w:pPr>
        <w:adjustRightInd w:val="0"/>
        <w:snapToGrid w:val="0"/>
        <w:jc w:val="both"/>
        <w:outlineLvl w:val="1"/>
        <w:rPr>
          <w:rFonts w:ascii="Arial" w:hAnsi="Arial" w:cs="Arial"/>
          <w:b/>
          <w:bCs/>
          <w:sz w:val="36"/>
          <w:szCs w:val="36"/>
        </w:rPr>
      </w:pPr>
    </w:p>
    <w:p w14:paraId="0E36D866" w14:textId="77777777" w:rsidR="00023854" w:rsidRDefault="00023854" w:rsidP="00023854">
      <w:pPr>
        <w:adjustRightInd w:val="0"/>
        <w:snapToGrid w:val="0"/>
        <w:jc w:val="both"/>
        <w:rPr>
          <w:rFonts w:ascii="Arial" w:hAnsi="Arial" w:cs="Arial"/>
        </w:rPr>
      </w:pPr>
      <w:r w:rsidRPr="00023854">
        <w:rPr>
          <w:rFonts w:ascii="Arial" w:hAnsi="Arial" w:cs="Arial"/>
        </w:rPr>
        <w:t xml:space="preserve">El despliegue operativo del acuerdo bilateral requería desmontar selectivamente el complejo entramado de sanciones que el Departamento del Tesoro de los Estados Unidos (OFAC) había tejido sobre PDVSA y </w:t>
      </w:r>
      <w:r w:rsidR="001C2E65">
        <w:rPr>
          <w:rFonts w:ascii="Arial" w:hAnsi="Arial" w:cs="Arial"/>
        </w:rPr>
        <w:t>el</w:t>
      </w:r>
      <w:r w:rsidRPr="00023854">
        <w:rPr>
          <w:rFonts w:ascii="Arial" w:hAnsi="Arial" w:cs="Arial"/>
        </w:rPr>
        <w:t xml:space="preserve"> Banco Central de Venezuela</w:t>
      </w:r>
      <w:r w:rsidR="001C2E65">
        <w:rPr>
          <w:rFonts w:ascii="Arial" w:hAnsi="Arial" w:cs="Arial"/>
        </w:rPr>
        <w:t xml:space="preserve"> y el resto de la banca pública venezolana</w:t>
      </w:r>
      <w:r w:rsidRPr="00023854">
        <w:rPr>
          <w:rFonts w:ascii="Arial" w:hAnsi="Arial" w:cs="Arial"/>
        </w:rPr>
        <w:t xml:space="preserve"> desde 2019. La flexibilización no consistió en un levantamiento general de sanciones, sino en un</w:t>
      </w:r>
      <w:r w:rsidR="001C2E65">
        <w:rPr>
          <w:rFonts w:ascii="Arial" w:hAnsi="Arial" w:cs="Arial"/>
        </w:rPr>
        <w:t xml:space="preserve"> grupo </w:t>
      </w:r>
      <w:r w:rsidRPr="00023854">
        <w:rPr>
          <w:rFonts w:ascii="Arial" w:hAnsi="Arial" w:cs="Arial"/>
        </w:rPr>
        <w:t>de</w:t>
      </w:r>
      <w:r w:rsidR="001C2E65">
        <w:rPr>
          <w:rFonts w:ascii="Arial" w:hAnsi="Arial" w:cs="Arial"/>
        </w:rPr>
        <w:t xml:space="preserve"> licencias o </w:t>
      </w:r>
      <w:r w:rsidR="001C2E65" w:rsidRPr="00023854">
        <w:rPr>
          <w:rFonts w:ascii="Arial" w:hAnsi="Arial" w:cs="Arial"/>
        </w:rPr>
        <w:t>autorizaciones</w:t>
      </w:r>
      <w:r w:rsidRPr="00023854">
        <w:rPr>
          <w:rFonts w:ascii="Arial" w:hAnsi="Arial" w:cs="Arial"/>
        </w:rPr>
        <w:t xml:space="preserve"> milimétricas diseñadas para permitir la oxigenación de la industria energética mientras se mantiene el control estratégico sobre los flujos de capital</w:t>
      </w:r>
      <w:r w:rsidR="001C2E65">
        <w:rPr>
          <w:rFonts w:ascii="Arial" w:hAnsi="Arial" w:cs="Arial"/>
        </w:rPr>
        <w:t xml:space="preserve"> del Estado venezolano.</w:t>
      </w:r>
    </w:p>
    <w:p w14:paraId="6918805E" w14:textId="77777777" w:rsidR="001C2E65" w:rsidRPr="00023854" w:rsidRDefault="001C2E65" w:rsidP="00023854">
      <w:pPr>
        <w:adjustRightInd w:val="0"/>
        <w:snapToGrid w:val="0"/>
        <w:jc w:val="both"/>
        <w:rPr>
          <w:rFonts w:ascii="Arial" w:hAnsi="Arial" w:cs="Arial"/>
        </w:rPr>
      </w:pPr>
    </w:p>
    <w:p w14:paraId="6C0182A4" w14:textId="77777777" w:rsidR="00023854" w:rsidRDefault="00023854" w:rsidP="00023854">
      <w:pPr>
        <w:adjustRightInd w:val="0"/>
        <w:snapToGrid w:val="0"/>
        <w:jc w:val="both"/>
        <w:outlineLvl w:val="2"/>
        <w:rPr>
          <w:rFonts w:ascii="Arial" w:hAnsi="Arial" w:cs="Arial"/>
          <w:b/>
          <w:bCs/>
          <w:sz w:val="27"/>
          <w:szCs w:val="27"/>
        </w:rPr>
      </w:pPr>
      <w:r w:rsidRPr="00023854">
        <w:rPr>
          <w:rFonts w:ascii="Arial" w:hAnsi="Arial" w:cs="Arial"/>
          <w:b/>
          <w:bCs/>
          <w:sz w:val="27"/>
          <w:szCs w:val="27"/>
        </w:rPr>
        <w:t xml:space="preserve">Licencias Generales </w:t>
      </w:r>
      <w:r w:rsidR="001C2E65" w:rsidRPr="00023854">
        <w:rPr>
          <w:rFonts w:ascii="Arial" w:hAnsi="Arial" w:cs="Arial"/>
          <w:b/>
          <w:bCs/>
          <w:sz w:val="27"/>
          <w:szCs w:val="27"/>
        </w:rPr>
        <w:t>específicas para el sector energético</w:t>
      </w:r>
    </w:p>
    <w:p w14:paraId="10FDCE62" w14:textId="77777777" w:rsidR="001C2E65" w:rsidRPr="00023854" w:rsidRDefault="001C2E65" w:rsidP="00023854">
      <w:pPr>
        <w:adjustRightInd w:val="0"/>
        <w:snapToGrid w:val="0"/>
        <w:jc w:val="both"/>
        <w:outlineLvl w:val="2"/>
        <w:rPr>
          <w:rFonts w:ascii="Arial" w:hAnsi="Arial" w:cs="Arial"/>
          <w:b/>
          <w:bCs/>
          <w:sz w:val="27"/>
          <w:szCs w:val="27"/>
        </w:rPr>
      </w:pPr>
    </w:p>
    <w:p w14:paraId="73E3425E" w14:textId="77777777" w:rsidR="00023854" w:rsidRDefault="00023854" w:rsidP="00023854">
      <w:pPr>
        <w:adjustRightInd w:val="0"/>
        <w:snapToGrid w:val="0"/>
        <w:jc w:val="both"/>
        <w:rPr>
          <w:rFonts w:ascii="Arial" w:hAnsi="Arial" w:cs="Arial"/>
        </w:rPr>
      </w:pPr>
      <w:r w:rsidRPr="00023854">
        <w:rPr>
          <w:rFonts w:ascii="Arial" w:hAnsi="Arial" w:cs="Arial"/>
        </w:rPr>
        <w:t>En los meses previos y posteriores a la firma del acuerdo</w:t>
      </w:r>
      <w:r w:rsidR="001C2E65">
        <w:rPr>
          <w:rFonts w:ascii="Arial" w:hAnsi="Arial" w:cs="Arial"/>
        </w:rPr>
        <w:t xml:space="preserve"> petrolero</w:t>
      </w:r>
      <w:r w:rsidRPr="00023854">
        <w:rPr>
          <w:rFonts w:ascii="Arial" w:hAnsi="Arial" w:cs="Arial"/>
        </w:rPr>
        <w:t>, la OFAC emitió un bloque de Licencias Generales (GL) que redefinen las reglas de juego comercial en el país caribeño:</w:t>
      </w:r>
    </w:p>
    <w:p w14:paraId="7075F5E6" w14:textId="77777777" w:rsidR="001C2E65" w:rsidRPr="00023854" w:rsidRDefault="001C2E65" w:rsidP="00023854">
      <w:pPr>
        <w:adjustRightInd w:val="0"/>
        <w:snapToGrid w:val="0"/>
        <w:jc w:val="both"/>
        <w:rPr>
          <w:rFonts w:ascii="Arial" w:hAnsi="Arial" w:cs="Arial"/>
        </w:rPr>
      </w:pPr>
    </w:p>
    <w:p w14:paraId="78676C04" w14:textId="77777777" w:rsidR="00023854" w:rsidRDefault="00023854" w:rsidP="001C2E65">
      <w:pPr>
        <w:pStyle w:val="Prrafodelista"/>
        <w:numPr>
          <w:ilvl w:val="0"/>
          <w:numId w:val="3"/>
        </w:numPr>
        <w:adjustRightInd w:val="0"/>
        <w:snapToGrid w:val="0"/>
        <w:jc w:val="both"/>
        <w:rPr>
          <w:rFonts w:ascii="Arial" w:hAnsi="Arial" w:cs="Arial"/>
        </w:rPr>
      </w:pPr>
      <w:r w:rsidRPr="001C2E65">
        <w:rPr>
          <w:rFonts w:ascii="Arial" w:hAnsi="Arial" w:cs="Arial"/>
          <w:b/>
          <w:bCs/>
        </w:rPr>
        <w:t>Licencia General 46 (GL 46 y sucesivas revisiones):</w:t>
      </w:r>
      <w:r w:rsidRPr="001C2E65">
        <w:rPr>
          <w:rFonts w:ascii="Arial" w:hAnsi="Arial" w:cs="Arial"/>
        </w:rPr>
        <w:t xml:space="preserve"> Constituye el marco habilitante primario. Autoriza a "entidades estadounidenses establecidas" a participar en transacciones relacionadas con petróleo de origen venezolano. Impone requisitos draconianos, como la exclusión explícita de cualquier entidad con vínculos a Rusia, China, Irán, Cuba o Corea del Norte, asegurando que el rediseño energético venezolano expulse de manera definitiva a los acreedores euroasiáticos que dominaron la última década.</w:t>
      </w:r>
    </w:p>
    <w:p w14:paraId="32A7D236" w14:textId="77777777" w:rsidR="001C2E65" w:rsidRPr="001C2E65" w:rsidRDefault="001C2E65" w:rsidP="001C2E65">
      <w:pPr>
        <w:pStyle w:val="Prrafodelista"/>
        <w:adjustRightInd w:val="0"/>
        <w:snapToGrid w:val="0"/>
        <w:ind w:left="360"/>
        <w:jc w:val="both"/>
        <w:rPr>
          <w:rFonts w:ascii="Arial" w:hAnsi="Arial" w:cs="Arial"/>
        </w:rPr>
      </w:pPr>
    </w:p>
    <w:p w14:paraId="6B3825BA" w14:textId="77777777" w:rsidR="00023854" w:rsidRDefault="00023854" w:rsidP="001C2E65">
      <w:pPr>
        <w:pStyle w:val="Prrafodelista"/>
        <w:numPr>
          <w:ilvl w:val="0"/>
          <w:numId w:val="3"/>
        </w:numPr>
        <w:adjustRightInd w:val="0"/>
        <w:snapToGrid w:val="0"/>
        <w:jc w:val="both"/>
        <w:rPr>
          <w:rFonts w:ascii="Arial" w:hAnsi="Arial" w:cs="Arial"/>
        </w:rPr>
      </w:pPr>
      <w:r w:rsidRPr="001C2E65">
        <w:rPr>
          <w:rFonts w:ascii="Arial" w:hAnsi="Arial" w:cs="Arial"/>
          <w:b/>
          <w:bCs/>
        </w:rPr>
        <w:t>Licencia General 47 (GL 47):</w:t>
      </w:r>
      <w:r w:rsidRPr="001C2E65">
        <w:rPr>
          <w:rFonts w:ascii="Arial" w:hAnsi="Arial" w:cs="Arial"/>
        </w:rPr>
        <w:t xml:space="preserve"> Crucial para el éxito operativo. Autoriza la exportación, suministro y logística de diluyentes de origen estadounidense hacia Venezuela. Dado el carácter extrapesado del crudo de la Faja del Orinoco, la importación de diluyentes es biológicamente indispensable para reducir la viscosidad del crudo y permitir su bombeo y exportación.</w:t>
      </w:r>
    </w:p>
    <w:p w14:paraId="640C2EAE" w14:textId="77777777" w:rsidR="005444D6" w:rsidRPr="005444D6" w:rsidRDefault="005444D6" w:rsidP="005444D6">
      <w:pPr>
        <w:pStyle w:val="Prrafodelista"/>
        <w:rPr>
          <w:rFonts w:ascii="Arial" w:hAnsi="Arial" w:cs="Arial"/>
        </w:rPr>
      </w:pPr>
    </w:p>
    <w:p w14:paraId="4267A872" w14:textId="77777777" w:rsidR="005444D6" w:rsidRPr="005444D6" w:rsidRDefault="005444D6" w:rsidP="001C2E65">
      <w:pPr>
        <w:pStyle w:val="Prrafodelista"/>
        <w:numPr>
          <w:ilvl w:val="0"/>
          <w:numId w:val="3"/>
        </w:numPr>
        <w:adjustRightInd w:val="0"/>
        <w:snapToGrid w:val="0"/>
        <w:jc w:val="both"/>
        <w:rPr>
          <w:rFonts w:ascii="Arial" w:hAnsi="Arial" w:cs="Arial"/>
        </w:rPr>
      </w:pPr>
      <w:r w:rsidRPr="005444D6">
        <w:rPr>
          <w:rStyle w:val="Fuerte"/>
          <w:rFonts w:ascii="Arial" w:eastAsiaTheme="majorEastAsia" w:hAnsi="Arial" w:cs="Arial"/>
        </w:rPr>
        <w:t>Licencia General 48C</w:t>
      </w:r>
      <w:r>
        <w:rPr>
          <w:rStyle w:val="Fuerte"/>
          <w:rFonts w:ascii="Arial" w:hAnsi="Arial" w:cs="Arial"/>
        </w:rPr>
        <w:t xml:space="preserve"> </w:t>
      </w:r>
      <w:r w:rsidRPr="001C2E65">
        <w:rPr>
          <w:rFonts w:ascii="Arial" w:hAnsi="Arial" w:cs="Arial"/>
          <w:b/>
          <w:bCs/>
        </w:rPr>
        <w:t>(GL 4</w:t>
      </w:r>
      <w:r>
        <w:rPr>
          <w:rFonts w:ascii="Arial" w:hAnsi="Arial" w:cs="Arial"/>
          <w:b/>
          <w:bCs/>
        </w:rPr>
        <w:t>8</w:t>
      </w:r>
      <w:r w:rsidRPr="001C2E65">
        <w:rPr>
          <w:rFonts w:ascii="Arial" w:hAnsi="Arial" w:cs="Arial"/>
          <w:b/>
          <w:bCs/>
        </w:rPr>
        <w:t xml:space="preserve"> y sucesivas revisiones):</w:t>
      </w:r>
      <w:r>
        <w:rPr>
          <w:rStyle w:val="Fuerte"/>
          <w:rFonts w:ascii="Arial" w:hAnsi="Arial" w:cs="Arial"/>
        </w:rPr>
        <w:t xml:space="preserve"> </w:t>
      </w:r>
      <w:r w:rsidRPr="005444D6">
        <w:rPr>
          <w:rStyle w:val="Fuerte"/>
          <w:rFonts w:ascii="Arial" w:hAnsi="Arial" w:cs="Arial"/>
          <w:b w:val="0"/>
          <w:bCs w:val="0"/>
        </w:rPr>
        <w:t xml:space="preserve">Al igual que la anterior, resulta importante para </w:t>
      </w:r>
      <w:r>
        <w:rPr>
          <w:rStyle w:val="Fuerte"/>
          <w:rFonts w:ascii="Arial" w:hAnsi="Arial" w:cs="Arial"/>
          <w:b w:val="0"/>
          <w:bCs w:val="0"/>
        </w:rPr>
        <w:t>asuntos operativos, ya que</w:t>
      </w:r>
      <w:r w:rsidRPr="005444D6">
        <w:rPr>
          <w:rFonts w:ascii="Arial" w:hAnsi="Arial" w:cs="Arial"/>
        </w:rPr>
        <w:t xml:space="preserve"> </w:t>
      </w:r>
      <w:r>
        <w:rPr>
          <w:rFonts w:ascii="Arial" w:hAnsi="Arial" w:cs="Arial"/>
        </w:rPr>
        <w:t>h</w:t>
      </w:r>
      <w:r w:rsidRPr="005444D6">
        <w:rPr>
          <w:rFonts w:ascii="Arial" w:hAnsi="Arial" w:cs="Arial"/>
        </w:rPr>
        <w:t xml:space="preserve">abilita el suministro de artículos, tecnología y servicios especializados para operaciones </w:t>
      </w:r>
      <w:r>
        <w:rPr>
          <w:rFonts w:ascii="Arial" w:hAnsi="Arial" w:cs="Arial"/>
        </w:rPr>
        <w:t>en Venezuela.</w:t>
      </w:r>
    </w:p>
    <w:p w14:paraId="1DB5F216" w14:textId="77777777" w:rsidR="001C2E65" w:rsidRPr="001C2E65" w:rsidRDefault="001C2E65" w:rsidP="001C2E65">
      <w:pPr>
        <w:adjustRightInd w:val="0"/>
        <w:snapToGrid w:val="0"/>
        <w:jc w:val="both"/>
        <w:rPr>
          <w:rFonts w:ascii="Arial" w:hAnsi="Arial" w:cs="Arial"/>
        </w:rPr>
      </w:pPr>
    </w:p>
    <w:p w14:paraId="6814F335" w14:textId="77777777" w:rsidR="00023854" w:rsidRDefault="00023854" w:rsidP="001C2E65">
      <w:pPr>
        <w:pStyle w:val="Prrafodelista"/>
        <w:numPr>
          <w:ilvl w:val="0"/>
          <w:numId w:val="3"/>
        </w:numPr>
        <w:adjustRightInd w:val="0"/>
        <w:snapToGrid w:val="0"/>
        <w:jc w:val="both"/>
        <w:rPr>
          <w:rFonts w:ascii="Arial" w:hAnsi="Arial" w:cs="Arial"/>
        </w:rPr>
      </w:pPr>
      <w:r w:rsidRPr="001C2E65">
        <w:rPr>
          <w:rFonts w:ascii="Arial" w:hAnsi="Arial" w:cs="Arial"/>
          <w:b/>
          <w:bCs/>
        </w:rPr>
        <w:t>Licencia General 50B (GL 50B):</w:t>
      </w:r>
      <w:r w:rsidRPr="001C2E65">
        <w:rPr>
          <w:rFonts w:ascii="Arial" w:hAnsi="Arial" w:cs="Arial"/>
        </w:rPr>
        <w:t xml:space="preserve"> La "Lista VIP" corporativa. Esta licencia nominal autoriza transacciones plenas para operaciones de extracción, </w:t>
      </w:r>
      <w:r w:rsidRPr="001C2E65">
        <w:rPr>
          <w:rFonts w:ascii="Arial" w:hAnsi="Arial" w:cs="Arial"/>
        </w:rPr>
        <w:lastRenderedPageBreak/>
        <w:t>producción y venta de gas y petróleo exclusivamente a</w:t>
      </w:r>
      <w:r w:rsidR="005E016D">
        <w:rPr>
          <w:rFonts w:ascii="Arial" w:hAnsi="Arial" w:cs="Arial"/>
        </w:rPr>
        <w:t xml:space="preserve"> un</w:t>
      </w:r>
      <w:r w:rsidRPr="001C2E65">
        <w:rPr>
          <w:rFonts w:ascii="Arial" w:hAnsi="Arial" w:cs="Arial"/>
        </w:rPr>
        <w:t xml:space="preserve"> </w:t>
      </w:r>
      <w:r w:rsidR="005E016D">
        <w:rPr>
          <w:rFonts w:ascii="Arial" w:hAnsi="Arial" w:cs="Arial"/>
        </w:rPr>
        <w:t xml:space="preserve">grupo </w:t>
      </w:r>
      <w:r w:rsidR="005E016D" w:rsidRPr="001C2E65">
        <w:rPr>
          <w:rFonts w:ascii="Arial" w:hAnsi="Arial" w:cs="Arial"/>
        </w:rPr>
        <w:t>de</w:t>
      </w:r>
      <w:r w:rsidR="005E016D">
        <w:rPr>
          <w:rFonts w:ascii="Arial" w:hAnsi="Arial" w:cs="Arial"/>
        </w:rPr>
        <w:t xml:space="preserve"> </w:t>
      </w:r>
      <w:r w:rsidR="005E016D" w:rsidRPr="001C2E65">
        <w:rPr>
          <w:rFonts w:ascii="Arial" w:hAnsi="Arial" w:cs="Arial"/>
        </w:rPr>
        <w:t>grandes</w:t>
      </w:r>
      <w:r w:rsidR="005E016D">
        <w:rPr>
          <w:rFonts w:ascii="Arial" w:hAnsi="Arial" w:cs="Arial"/>
        </w:rPr>
        <w:t xml:space="preserve"> multinacionales de los hidrocarburos, </w:t>
      </w:r>
      <w:r w:rsidRPr="001C2E65">
        <w:rPr>
          <w:rFonts w:ascii="Arial" w:hAnsi="Arial" w:cs="Arial"/>
        </w:rPr>
        <w:t>limitándolo a BP, Chevron, Eni, Maurel &amp; Prom, Repsol y Shell, junto a sus subsidiarias. Estas empresas representan la columna vertebral tecnológica y de capital del acuerdo de los 65.000 millones de barriles.</w:t>
      </w:r>
    </w:p>
    <w:p w14:paraId="06C32175" w14:textId="77777777" w:rsidR="005444D6" w:rsidRPr="005444D6" w:rsidRDefault="005444D6" w:rsidP="005444D6">
      <w:pPr>
        <w:pStyle w:val="Prrafodelista"/>
        <w:rPr>
          <w:rFonts w:ascii="Arial" w:hAnsi="Arial" w:cs="Arial"/>
        </w:rPr>
      </w:pPr>
    </w:p>
    <w:p w14:paraId="06E739E2" w14:textId="77777777" w:rsidR="005444D6" w:rsidRPr="005444D6" w:rsidRDefault="005444D6" w:rsidP="005444D6">
      <w:pPr>
        <w:pStyle w:val="Prrafodelista"/>
        <w:numPr>
          <w:ilvl w:val="0"/>
          <w:numId w:val="3"/>
        </w:numPr>
        <w:jc w:val="both"/>
        <w:rPr>
          <w:rStyle w:val="inqyif"/>
          <w:rFonts w:ascii="Arial" w:eastAsiaTheme="minorHAnsi" w:hAnsi="Arial" w:cs="Arial"/>
          <w:lang w:val="es-VE"/>
        </w:rPr>
      </w:pPr>
      <w:r w:rsidRPr="005444D6">
        <w:rPr>
          <w:rStyle w:val="Fuerte"/>
          <w:rFonts w:ascii="Arial" w:eastAsiaTheme="majorEastAsia" w:hAnsi="Arial" w:cs="Arial"/>
        </w:rPr>
        <w:t>Licencia General 57 (GL 57):</w:t>
      </w:r>
      <w:r w:rsidRPr="005444D6">
        <w:rPr>
          <w:rStyle w:val="inqyif"/>
          <w:rFonts w:ascii="Arial" w:eastAsiaTheme="majorEastAsia" w:hAnsi="Arial" w:cs="Arial"/>
        </w:rPr>
        <w:t xml:space="preserve"> </w:t>
      </w:r>
      <w:r>
        <w:rPr>
          <w:rStyle w:val="inqyif"/>
          <w:rFonts w:ascii="Arial" w:eastAsiaTheme="majorEastAsia" w:hAnsi="Arial" w:cs="Arial"/>
        </w:rPr>
        <w:t xml:space="preserve">Resulta particularmente relevante ya que permitirá al Estado venezolano, como socio relevante del nuevo acuerdo petrolero, el realizar transacciones internacionales y el uso de cuentas corresponsales a través de sus bancos (Banco Central de Venezuela, Banco de Venezuela, Banco del Tesoro, Banco Digital de los Trabajadores. </w:t>
      </w:r>
      <w:r w:rsidRPr="005444D6">
        <w:rPr>
          <w:rStyle w:val="inqyif"/>
          <w:rFonts w:ascii="Arial" w:eastAsiaTheme="majorEastAsia" w:hAnsi="Arial" w:cs="Arial"/>
        </w:rPr>
        <w:t>Permite transacciones financieras necesarias para operar con la banca pública venezolana. Facilita transferencias internacionales y el uso de cuentas corresponsales.</w:t>
      </w:r>
    </w:p>
    <w:p w14:paraId="6FA4454D" w14:textId="77777777" w:rsidR="005444D6" w:rsidRPr="005444D6" w:rsidRDefault="005444D6" w:rsidP="005444D6">
      <w:pPr>
        <w:jc w:val="both"/>
        <w:rPr>
          <w:rFonts w:ascii="Arial" w:hAnsi="Arial" w:cs="Arial"/>
          <w:lang w:val="es-VE"/>
        </w:rPr>
      </w:pPr>
    </w:p>
    <w:p w14:paraId="0C038FA4" w14:textId="77777777" w:rsidR="005444D6" w:rsidRPr="005444D6" w:rsidRDefault="005444D6" w:rsidP="005444D6">
      <w:pPr>
        <w:pStyle w:val="Prrafodelista"/>
        <w:numPr>
          <w:ilvl w:val="0"/>
          <w:numId w:val="3"/>
        </w:numPr>
        <w:jc w:val="both"/>
        <w:rPr>
          <w:rFonts w:ascii="Arial" w:hAnsi="Arial" w:cs="Arial"/>
        </w:rPr>
      </w:pPr>
      <w:r w:rsidRPr="005444D6">
        <w:rPr>
          <w:rStyle w:val="Fuerte"/>
          <w:rFonts w:ascii="Arial" w:eastAsiaTheme="majorEastAsia" w:hAnsi="Arial" w:cs="Arial"/>
        </w:rPr>
        <w:t>Licencia General 56 (GL 56):</w:t>
      </w:r>
      <w:r w:rsidRPr="005444D6">
        <w:rPr>
          <w:rStyle w:val="inqyif"/>
          <w:rFonts w:ascii="Arial" w:eastAsiaTheme="majorEastAsia" w:hAnsi="Arial" w:cs="Arial"/>
        </w:rPr>
        <w:t xml:space="preserve"> Autoriza las negociaciones y los contratos comerciales preliminares con el gobierno de Venezuela</w:t>
      </w:r>
      <w:r>
        <w:rPr>
          <w:rStyle w:val="inqyif"/>
          <w:rFonts w:ascii="Arial" w:eastAsiaTheme="majorEastAsia" w:hAnsi="Arial" w:cs="Arial"/>
        </w:rPr>
        <w:t>, lo que sin duda resulta fundamental para todos los acuerdos económicos a ser surcitos entre el Estado venezolano y actores públicos y privados relacionados con los Estados Unidos.</w:t>
      </w:r>
    </w:p>
    <w:p w14:paraId="7FAA3302" w14:textId="77777777" w:rsidR="005444D6" w:rsidRDefault="005444D6" w:rsidP="005444D6">
      <w:pPr>
        <w:pStyle w:val="Prrafodelista"/>
        <w:adjustRightInd w:val="0"/>
        <w:snapToGrid w:val="0"/>
        <w:ind w:left="360"/>
        <w:jc w:val="both"/>
        <w:rPr>
          <w:rFonts w:ascii="Arial" w:hAnsi="Arial" w:cs="Arial"/>
        </w:rPr>
      </w:pPr>
    </w:p>
    <w:p w14:paraId="3F73C8EA" w14:textId="77777777" w:rsidR="005E016D" w:rsidRPr="005E016D" w:rsidRDefault="005E016D" w:rsidP="005E016D">
      <w:pPr>
        <w:adjustRightInd w:val="0"/>
        <w:snapToGrid w:val="0"/>
        <w:jc w:val="both"/>
        <w:rPr>
          <w:rFonts w:ascii="Arial" w:hAnsi="Arial" w:cs="Arial"/>
        </w:rPr>
      </w:pPr>
    </w:p>
    <w:p w14:paraId="57EF9624" w14:textId="77777777" w:rsidR="00023854" w:rsidRDefault="00023854" w:rsidP="00023854">
      <w:pPr>
        <w:adjustRightInd w:val="0"/>
        <w:snapToGrid w:val="0"/>
        <w:jc w:val="both"/>
        <w:outlineLvl w:val="2"/>
        <w:rPr>
          <w:rFonts w:ascii="Arial" w:hAnsi="Arial" w:cs="Arial"/>
          <w:b/>
          <w:bCs/>
          <w:sz w:val="27"/>
          <w:szCs w:val="27"/>
        </w:rPr>
      </w:pPr>
      <w:r w:rsidRPr="00023854">
        <w:rPr>
          <w:rFonts w:ascii="Arial" w:hAnsi="Arial" w:cs="Arial"/>
          <w:b/>
          <w:bCs/>
          <w:sz w:val="27"/>
          <w:szCs w:val="27"/>
        </w:rPr>
        <w:t xml:space="preserve">La Orden Ejecutiva 14373 y </w:t>
      </w:r>
      <w:r w:rsidR="005E016D" w:rsidRPr="00023854">
        <w:rPr>
          <w:rFonts w:ascii="Arial" w:hAnsi="Arial" w:cs="Arial"/>
          <w:b/>
          <w:bCs/>
          <w:sz w:val="27"/>
          <w:szCs w:val="27"/>
        </w:rPr>
        <w:t>la inmunización del capital</w:t>
      </w:r>
    </w:p>
    <w:p w14:paraId="1D5FDAD1" w14:textId="77777777" w:rsidR="005444D6" w:rsidRPr="00023854" w:rsidRDefault="005444D6" w:rsidP="00023854">
      <w:pPr>
        <w:adjustRightInd w:val="0"/>
        <w:snapToGrid w:val="0"/>
        <w:jc w:val="both"/>
        <w:outlineLvl w:val="2"/>
        <w:rPr>
          <w:rFonts w:ascii="Arial" w:hAnsi="Arial" w:cs="Arial"/>
          <w:b/>
          <w:bCs/>
          <w:sz w:val="27"/>
          <w:szCs w:val="27"/>
        </w:rPr>
      </w:pPr>
    </w:p>
    <w:p w14:paraId="015A4172" w14:textId="77777777" w:rsidR="007861D2" w:rsidRDefault="00023854" w:rsidP="00023854">
      <w:pPr>
        <w:adjustRightInd w:val="0"/>
        <w:snapToGrid w:val="0"/>
        <w:jc w:val="both"/>
        <w:rPr>
          <w:rFonts w:ascii="Arial" w:hAnsi="Arial" w:cs="Arial"/>
        </w:rPr>
      </w:pPr>
      <w:r w:rsidRPr="00023854">
        <w:rPr>
          <w:rFonts w:ascii="Arial" w:hAnsi="Arial" w:cs="Arial"/>
        </w:rPr>
        <w:t>La mayor amenaza para el éxito del acuerdo no resid</w:t>
      </w:r>
      <w:r w:rsidR="00D7230E">
        <w:rPr>
          <w:rFonts w:ascii="Arial" w:hAnsi="Arial" w:cs="Arial"/>
        </w:rPr>
        <w:t>e en las sanciones de la OFAC, las complejidades políticas y económicas de Venezuela, las dificultades operativas del</w:t>
      </w:r>
      <w:r w:rsidRPr="00023854">
        <w:rPr>
          <w:rFonts w:ascii="Arial" w:hAnsi="Arial" w:cs="Arial"/>
        </w:rPr>
        <w:t xml:space="preserve"> subsuelo</w:t>
      </w:r>
      <w:r w:rsidR="00D7230E">
        <w:rPr>
          <w:rFonts w:ascii="Arial" w:hAnsi="Arial" w:cs="Arial"/>
        </w:rPr>
        <w:t xml:space="preserve"> venezolano</w:t>
      </w:r>
      <w:r w:rsidRPr="00023854">
        <w:rPr>
          <w:rFonts w:ascii="Arial" w:hAnsi="Arial" w:cs="Arial"/>
        </w:rPr>
        <w:t xml:space="preserve">, sino en los tribunales de Wall Street. </w:t>
      </w:r>
    </w:p>
    <w:p w14:paraId="7E8D6AC2" w14:textId="77777777" w:rsidR="007861D2" w:rsidRDefault="007861D2" w:rsidP="00023854">
      <w:pPr>
        <w:adjustRightInd w:val="0"/>
        <w:snapToGrid w:val="0"/>
        <w:jc w:val="both"/>
        <w:rPr>
          <w:rFonts w:ascii="Arial" w:hAnsi="Arial" w:cs="Arial"/>
        </w:rPr>
      </w:pPr>
    </w:p>
    <w:p w14:paraId="12458519" w14:textId="77777777" w:rsidR="007861D2" w:rsidRDefault="00023854" w:rsidP="00023854">
      <w:pPr>
        <w:adjustRightInd w:val="0"/>
        <w:snapToGrid w:val="0"/>
        <w:jc w:val="both"/>
        <w:rPr>
          <w:rFonts w:ascii="Arial" w:hAnsi="Arial" w:cs="Arial"/>
        </w:rPr>
      </w:pPr>
      <w:r w:rsidRPr="00023854">
        <w:rPr>
          <w:rFonts w:ascii="Arial" w:hAnsi="Arial" w:cs="Arial"/>
        </w:rPr>
        <w:t xml:space="preserve">La República de Venezuela y PDVSA acumulan </w:t>
      </w:r>
      <w:r w:rsidR="007861D2">
        <w:rPr>
          <w:rFonts w:ascii="Arial" w:hAnsi="Arial" w:cs="Arial"/>
        </w:rPr>
        <w:t>no menos de 160 mil millones</w:t>
      </w:r>
      <w:r w:rsidRPr="00023854">
        <w:rPr>
          <w:rFonts w:ascii="Arial" w:hAnsi="Arial" w:cs="Arial"/>
        </w:rPr>
        <w:t xml:space="preserve"> de dólares en deuda soberana en default, bonos impagos, deudas a proveedores y laudos arbitrales emitidos por el CIADI y otros foros debido a las expropiaciones. </w:t>
      </w:r>
    </w:p>
    <w:p w14:paraId="100FCF40" w14:textId="77777777" w:rsidR="007861D2" w:rsidRDefault="007861D2" w:rsidP="00023854">
      <w:pPr>
        <w:adjustRightInd w:val="0"/>
        <w:snapToGrid w:val="0"/>
        <w:jc w:val="both"/>
        <w:rPr>
          <w:rFonts w:ascii="Arial" w:hAnsi="Arial" w:cs="Arial"/>
        </w:rPr>
      </w:pPr>
    </w:p>
    <w:p w14:paraId="498E8272" w14:textId="77777777" w:rsidR="00023854" w:rsidRPr="00023854" w:rsidRDefault="00023854" w:rsidP="00023854">
      <w:pPr>
        <w:adjustRightInd w:val="0"/>
        <w:snapToGrid w:val="0"/>
        <w:jc w:val="both"/>
        <w:rPr>
          <w:rFonts w:ascii="Arial" w:hAnsi="Arial" w:cs="Arial"/>
        </w:rPr>
      </w:pPr>
      <w:r w:rsidRPr="00023854">
        <w:rPr>
          <w:rFonts w:ascii="Arial" w:hAnsi="Arial" w:cs="Arial"/>
        </w:rPr>
        <w:t xml:space="preserve">Bajo condiciones normales, los 209.000 millones de dólares en ingresos fiscales proyectados para Venezuela serían embargados inmediatamente por </w:t>
      </w:r>
      <w:r w:rsidR="007861D2">
        <w:rPr>
          <w:rFonts w:ascii="Arial" w:hAnsi="Arial" w:cs="Arial"/>
        </w:rPr>
        <w:t>los</w:t>
      </w:r>
      <w:r w:rsidRPr="00023854">
        <w:rPr>
          <w:rFonts w:ascii="Arial" w:hAnsi="Arial" w:cs="Arial"/>
        </w:rPr>
        <w:t xml:space="preserve"> fondos buitre</w:t>
      </w:r>
      <w:r w:rsidR="007861D2">
        <w:rPr>
          <w:rFonts w:ascii="Arial" w:hAnsi="Arial" w:cs="Arial"/>
        </w:rPr>
        <w:t xml:space="preserve"> tenedores de bonos venezolanos</w:t>
      </w:r>
      <w:r w:rsidRPr="00023854">
        <w:rPr>
          <w:rFonts w:ascii="Arial" w:hAnsi="Arial" w:cs="Arial"/>
        </w:rPr>
        <w:t xml:space="preserve"> en el instante en que los pagos transitaran por el sistema financiero internacional.</w:t>
      </w:r>
    </w:p>
    <w:p w14:paraId="7B2F3217" w14:textId="77777777" w:rsidR="007861D2" w:rsidRDefault="007861D2" w:rsidP="00023854">
      <w:pPr>
        <w:adjustRightInd w:val="0"/>
        <w:snapToGrid w:val="0"/>
        <w:jc w:val="both"/>
        <w:rPr>
          <w:rFonts w:ascii="Arial" w:hAnsi="Arial" w:cs="Arial"/>
        </w:rPr>
      </w:pPr>
    </w:p>
    <w:p w14:paraId="5CA1A506" w14:textId="77777777" w:rsidR="00023854" w:rsidRDefault="00023854" w:rsidP="00023854">
      <w:pPr>
        <w:adjustRightInd w:val="0"/>
        <w:snapToGrid w:val="0"/>
        <w:jc w:val="both"/>
        <w:rPr>
          <w:rFonts w:ascii="Arial" w:hAnsi="Arial" w:cs="Arial"/>
        </w:rPr>
      </w:pPr>
      <w:r w:rsidRPr="00023854">
        <w:rPr>
          <w:rFonts w:ascii="Arial" w:hAnsi="Arial" w:cs="Arial"/>
        </w:rPr>
        <w:t>Para evitar esta implosión financiera, el presidente Trump emitió la Orden Ejecutiva 14373, denominada "Salvaguardar los Ingresos Petroleros Venezolanos". Este audaz instrumento jurídico establece que los ingresos derivados de la venta de los hidrocarburos venezolanos se depositarán en cuentas específicas designadas por el Departamento del Tesoro, clasificadas como "Fondos de Depósito de Gobiernos Extranjeros".</w:t>
      </w:r>
    </w:p>
    <w:p w14:paraId="4044BD02" w14:textId="77777777" w:rsidR="007861D2" w:rsidRPr="00023854" w:rsidRDefault="007861D2" w:rsidP="00023854">
      <w:pPr>
        <w:adjustRightInd w:val="0"/>
        <w:snapToGrid w:val="0"/>
        <w:jc w:val="both"/>
        <w:rPr>
          <w:rFonts w:ascii="Arial" w:hAnsi="Arial" w:cs="Arial"/>
        </w:rPr>
      </w:pPr>
    </w:p>
    <w:p w14:paraId="2813C9CC" w14:textId="77777777" w:rsidR="00023854" w:rsidRDefault="00023854" w:rsidP="00023854">
      <w:pPr>
        <w:adjustRightInd w:val="0"/>
        <w:snapToGrid w:val="0"/>
        <w:jc w:val="both"/>
        <w:rPr>
          <w:rFonts w:ascii="Arial" w:hAnsi="Arial" w:cs="Arial"/>
        </w:rPr>
      </w:pPr>
      <w:r w:rsidRPr="00023854">
        <w:rPr>
          <w:rFonts w:ascii="Arial" w:hAnsi="Arial" w:cs="Arial"/>
        </w:rPr>
        <w:t xml:space="preserve">La orden ejecutiva declara explícitamente nulo y sin valor cualquier intento de embargo, gravamen, ejecución o proceso judicial contra estos fondos por parte de acreedores privados, tenedores de bonos o demandantes de laudos arbitrales. El </w:t>
      </w:r>
      <w:r w:rsidRPr="00023854">
        <w:rPr>
          <w:rFonts w:ascii="Arial" w:hAnsi="Arial" w:cs="Arial"/>
        </w:rPr>
        <w:lastRenderedPageBreak/>
        <w:t xml:space="preserve">gobierno estadounidense actúa como un custodio gubernamental ciego, garantizando a Caracas que el capital generado por el acuerdo de 25 años fluirá para propósitos de reconstrucción soberana, creando un "ring-fencing" (blindaje) inexpugnable alrededor del flujo de caja petrolero. Esta arquitectura </w:t>
      </w:r>
      <w:r w:rsidR="007861D2">
        <w:rPr>
          <w:rFonts w:ascii="Arial" w:hAnsi="Arial" w:cs="Arial"/>
        </w:rPr>
        <w:t xml:space="preserve">financiera </w:t>
      </w:r>
      <w:r w:rsidRPr="00023854">
        <w:rPr>
          <w:rFonts w:ascii="Arial" w:hAnsi="Arial" w:cs="Arial"/>
        </w:rPr>
        <w:t>permit</w:t>
      </w:r>
      <w:r w:rsidR="007861D2">
        <w:rPr>
          <w:rFonts w:ascii="Arial" w:hAnsi="Arial" w:cs="Arial"/>
        </w:rPr>
        <w:t>irá</w:t>
      </w:r>
      <w:r w:rsidRPr="00023854">
        <w:rPr>
          <w:rFonts w:ascii="Arial" w:hAnsi="Arial" w:cs="Arial"/>
        </w:rPr>
        <w:t xml:space="preserve"> obviar una reestructuración formal de la deuda soberana (cuyos atrasos superan los 18.000 millones de dólares solo en intereses) y proceder directamente a la monetización de las reservas.</w:t>
      </w:r>
    </w:p>
    <w:p w14:paraId="1A31694F" w14:textId="77777777" w:rsidR="005444D6" w:rsidRPr="00023854" w:rsidRDefault="005444D6" w:rsidP="00023854">
      <w:pPr>
        <w:adjustRightInd w:val="0"/>
        <w:snapToGrid w:val="0"/>
        <w:jc w:val="both"/>
        <w:rPr>
          <w:rFonts w:ascii="Arial" w:hAnsi="Arial" w:cs="Arial"/>
        </w:rPr>
      </w:pPr>
    </w:p>
    <w:p w14:paraId="74A1B923" w14:textId="77777777" w:rsidR="00023854" w:rsidRPr="00023854" w:rsidRDefault="00C26B77" w:rsidP="00023854">
      <w:pPr>
        <w:adjustRightInd w:val="0"/>
        <w:snapToGrid w:val="0"/>
        <w:jc w:val="both"/>
        <w:outlineLvl w:val="1"/>
        <w:rPr>
          <w:rFonts w:ascii="Arial" w:hAnsi="Arial" w:cs="Arial"/>
          <w:b/>
          <w:bCs/>
          <w:sz w:val="40"/>
          <w:szCs w:val="40"/>
        </w:rPr>
      </w:pPr>
      <w:r>
        <w:rPr>
          <w:rFonts w:ascii="Arial" w:hAnsi="Arial" w:cs="Arial"/>
          <w:b/>
          <w:bCs/>
          <w:sz w:val="40"/>
          <w:szCs w:val="40"/>
        </w:rPr>
        <w:t>La</w:t>
      </w:r>
      <w:r w:rsidR="00023854" w:rsidRPr="00023854">
        <w:rPr>
          <w:rFonts w:ascii="Arial" w:hAnsi="Arial" w:cs="Arial"/>
          <w:b/>
          <w:bCs/>
          <w:sz w:val="40"/>
          <w:szCs w:val="40"/>
        </w:rPr>
        <w:t xml:space="preserve"> </w:t>
      </w:r>
      <w:r w:rsidR="00D7230E">
        <w:rPr>
          <w:rFonts w:ascii="Arial" w:hAnsi="Arial" w:cs="Arial"/>
          <w:b/>
          <w:bCs/>
          <w:sz w:val="40"/>
          <w:szCs w:val="40"/>
        </w:rPr>
        <w:t>p</w:t>
      </w:r>
      <w:r w:rsidR="00023854" w:rsidRPr="00023854">
        <w:rPr>
          <w:rFonts w:ascii="Arial" w:hAnsi="Arial" w:cs="Arial"/>
          <w:b/>
          <w:bCs/>
          <w:sz w:val="40"/>
          <w:szCs w:val="40"/>
        </w:rPr>
        <w:t xml:space="preserve">érdida de CITGO y la </w:t>
      </w:r>
      <w:r>
        <w:rPr>
          <w:rFonts w:ascii="Arial" w:hAnsi="Arial" w:cs="Arial"/>
          <w:b/>
          <w:bCs/>
          <w:sz w:val="40"/>
          <w:szCs w:val="40"/>
        </w:rPr>
        <w:t>dependencia de Estados Unidos para</w:t>
      </w:r>
      <w:r w:rsidR="005444D6" w:rsidRPr="00023854">
        <w:rPr>
          <w:rFonts w:ascii="Arial" w:hAnsi="Arial" w:cs="Arial"/>
          <w:b/>
          <w:bCs/>
          <w:sz w:val="40"/>
          <w:szCs w:val="40"/>
        </w:rPr>
        <w:t xml:space="preserve"> </w:t>
      </w:r>
      <w:r>
        <w:rPr>
          <w:rFonts w:ascii="Arial" w:hAnsi="Arial" w:cs="Arial"/>
          <w:b/>
          <w:bCs/>
          <w:sz w:val="40"/>
          <w:szCs w:val="40"/>
        </w:rPr>
        <w:t>la</w:t>
      </w:r>
      <w:r w:rsidR="005444D6" w:rsidRPr="00023854">
        <w:rPr>
          <w:rFonts w:ascii="Arial" w:hAnsi="Arial" w:cs="Arial"/>
          <w:b/>
          <w:bCs/>
          <w:sz w:val="40"/>
          <w:szCs w:val="40"/>
        </w:rPr>
        <w:t xml:space="preserve"> refinación</w:t>
      </w:r>
    </w:p>
    <w:p w14:paraId="7B4871D1" w14:textId="77777777" w:rsidR="005444D6" w:rsidRDefault="005444D6" w:rsidP="00023854">
      <w:pPr>
        <w:adjustRightInd w:val="0"/>
        <w:snapToGrid w:val="0"/>
        <w:jc w:val="both"/>
        <w:rPr>
          <w:rFonts w:ascii="Arial" w:hAnsi="Arial" w:cs="Arial"/>
        </w:rPr>
      </w:pPr>
    </w:p>
    <w:p w14:paraId="254353BE" w14:textId="77777777" w:rsidR="00023854" w:rsidRDefault="00023854" w:rsidP="00023854">
      <w:pPr>
        <w:adjustRightInd w:val="0"/>
        <w:snapToGrid w:val="0"/>
        <w:jc w:val="both"/>
        <w:rPr>
          <w:rFonts w:ascii="Arial" w:hAnsi="Arial" w:cs="Arial"/>
        </w:rPr>
      </w:pPr>
      <w:r w:rsidRPr="00023854">
        <w:rPr>
          <w:rFonts w:ascii="Arial" w:hAnsi="Arial" w:cs="Arial"/>
        </w:rPr>
        <w:t xml:space="preserve">El contexto en el que Venezuela acepta un acuerdo que entrega el 55% del control operativo </w:t>
      </w:r>
      <w:r w:rsidR="005444D6">
        <w:rPr>
          <w:rFonts w:ascii="Arial" w:hAnsi="Arial" w:cs="Arial"/>
        </w:rPr>
        <w:t xml:space="preserve">de un importante porcentaje de sus reservas petroleras </w:t>
      </w:r>
      <w:r w:rsidRPr="00023854">
        <w:rPr>
          <w:rFonts w:ascii="Arial" w:hAnsi="Arial" w:cs="Arial"/>
        </w:rPr>
        <w:t>a Washington no puede desvincularse de la tragedia legal y patrimonial de CITGO Petroleum Corporation.</w:t>
      </w:r>
    </w:p>
    <w:p w14:paraId="22F05A65" w14:textId="77777777" w:rsidR="005444D6" w:rsidRPr="00023854" w:rsidRDefault="005444D6" w:rsidP="00023854">
      <w:pPr>
        <w:adjustRightInd w:val="0"/>
        <w:snapToGrid w:val="0"/>
        <w:jc w:val="both"/>
        <w:rPr>
          <w:rFonts w:ascii="Arial" w:hAnsi="Arial" w:cs="Arial"/>
        </w:rPr>
      </w:pPr>
    </w:p>
    <w:p w14:paraId="79C89B45" w14:textId="77777777" w:rsidR="00023854" w:rsidRDefault="00023854" w:rsidP="00023854">
      <w:pPr>
        <w:adjustRightInd w:val="0"/>
        <w:snapToGrid w:val="0"/>
        <w:jc w:val="both"/>
        <w:rPr>
          <w:rFonts w:ascii="Arial" w:hAnsi="Arial" w:cs="Arial"/>
        </w:rPr>
      </w:pPr>
      <w:r w:rsidRPr="00023854">
        <w:rPr>
          <w:rFonts w:ascii="Arial" w:hAnsi="Arial" w:cs="Arial"/>
        </w:rPr>
        <w:t xml:space="preserve">CITGO, históricamente el principal activo extranjero de </w:t>
      </w:r>
      <w:r w:rsidR="00D74429" w:rsidRPr="00023854">
        <w:rPr>
          <w:rFonts w:ascii="Arial" w:hAnsi="Arial" w:cs="Arial"/>
        </w:rPr>
        <w:t>PDVSA</w:t>
      </w:r>
      <w:r w:rsidRPr="00023854">
        <w:rPr>
          <w:rFonts w:ascii="Arial" w:hAnsi="Arial" w:cs="Arial"/>
        </w:rPr>
        <w:t xml:space="preserve"> comprende un complejo refinador clave en Estados Unidos (Luisiana, Texas e Illinois) con capacidad para procesar más de 800.000 bpd y una red de miles de estaciones de servicio. Esta infraestructura fue diseñada e interconectada en las décadas anteriores precisamente para absorber y procesar el petróleo pesado y extrapesado venezolano, cerrando el ciclo de integración vertical del negocio de hidrocarburos.</w:t>
      </w:r>
    </w:p>
    <w:p w14:paraId="1FF9AA51" w14:textId="77777777" w:rsidR="006E46FC" w:rsidRPr="00023854" w:rsidRDefault="006E46FC" w:rsidP="00023854">
      <w:pPr>
        <w:adjustRightInd w:val="0"/>
        <w:snapToGrid w:val="0"/>
        <w:jc w:val="both"/>
        <w:rPr>
          <w:rFonts w:ascii="Arial" w:hAnsi="Arial" w:cs="Arial"/>
        </w:rPr>
      </w:pPr>
    </w:p>
    <w:p w14:paraId="4807AFD4" w14:textId="77777777" w:rsidR="00023854" w:rsidRDefault="00023854" w:rsidP="00023854">
      <w:pPr>
        <w:adjustRightInd w:val="0"/>
        <w:snapToGrid w:val="0"/>
        <w:jc w:val="both"/>
        <w:rPr>
          <w:rFonts w:ascii="Arial" w:hAnsi="Arial" w:cs="Arial"/>
        </w:rPr>
      </w:pPr>
      <w:r w:rsidRPr="00023854">
        <w:rPr>
          <w:rFonts w:ascii="Arial" w:hAnsi="Arial" w:cs="Arial"/>
        </w:rPr>
        <w:t>Tras años de litigios en los que fondos de inversión, empresas mineras (como Crystallex) y transnacionales petroleras (como ConocoPhillips) demostraron que PDVSA actuaba como un "alter ego" del Estado venezolano, el Juez de Distrito de Delaware, Leonard P. Stark, autorizó la subasta forzosa de las acciones de PDV Holding (matriz de CITGO)</w:t>
      </w:r>
      <w:r w:rsidR="00D74429">
        <w:rPr>
          <w:rFonts w:ascii="Arial" w:hAnsi="Arial" w:cs="Arial"/>
        </w:rPr>
        <w:t xml:space="preserve"> en octubre de 2022.</w:t>
      </w:r>
    </w:p>
    <w:p w14:paraId="69F14004" w14:textId="77777777" w:rsidR="006E46FC" w:rsidRPr="00023854" w:rsidRDefault="006E46FC" w:rsidP="00023854">
      <w:pPr>
        <w:adjustRightInd w:val="0"/>
        <w:snapToGrid w:val="0"/>
        <w:jc w:val="both"/>
        <w:rPr>
          <w:rFonts w:ascii="Arial" w:hAnsi="Arial" w:cs="Arial"/>
        </w:rPr>
      </w:pPr>
    </w:p>
    <w:p w14:paraId="6731B7C9" w14:textId="77777777" w:rsidR="00023854" w:rsidRDefault="00D74429" w:rsidP="00023854">
      <w:pPr>
        <w:adjustRightInd w:val="0"/>
        <w:snapToGrid w:val="0"/>
        <w:jc w:val="both"/>
        <w:rPr>
          <w:rFonts w:ascii="Arial" w:hAnsi="Arial" w:cs="Arial"/>
        </w:rPr>
      </w:pPr>
      <w:r>
        <w:rPr>
          <w:rFonts w:ascii="Arial" w:hAnsi="Arial" w:cs="Arial"/>
        </w:rPr>
        <w:t>En noviembre de 2025, e</w:t>
      </w:r>
      <w:r w:rsidR="00023854" w:rsidRPr="00023854">
        <w:rPr>
          <w:rFonts w:ascii="Arial" w:hAnsi="Arial" w:cs="Arial"/>
        </w:rPr>
        <w:t>l tribunal de Delaware falló a favor de adjudicar la empresa a Amber Energy, filial del agresivo fondo de cobertura Elliott Management, por una suma de 5.900 millones de dólares. La oferta de Amber incluye un desembolso separado de 2.100 millones de dólares para transar con los tenedores del Bono PDVSA 2020, quienes poseían el 50,1% de las acciones de CITGO como garantía colateral, una emisión de deuda altamente controvertida.</w:t>
      </w:r>
    </w:p>
    <w:p w14:paraId="79648E28" w14:textId="77777777" w:rsidR="006E46FC" w:rsidRPr="00023854" w:rsidRDefault="006E46FC" w:rsidP="00023854">
      <w:pPr>
        <w:adjustRightInd w:val="0"/>
        <w:snapToGrid w:val="0"/>
        <w:jc w:val="both"/>
        <w:rPr>
          <w:rFonts w:ascii="Arial" w:hAnsi="Arial" w:cs="Arial"/>
        </w:rPr>
      </w:pPr>
    </w:p>
    <w:p w14:paraId="21AE8334" w14:textId="77777777" w:rsidR="00D74429" w:rsidRDefault="00023854" w:rsidP="00023854">
      <w:pPr>
        <w:adjustRightInd w:val="0"/>
        <w:snapToGrid w:val="0"/>
        <w:jc w:val="both"/>
        <w:rPr>
          <w:rFonts w:ascii="Arial" w:hAnsi="Arial" w:cs="Arial"/>
        </w:rPr>
      </w:pPr>
      <w:r w:rsidRPr="00023854">
        <w:rPr>
          <w:rFonts w:ascii="Arial" w:hAnsi="Arial" w:cs="Arial"/>
        </w:rPr>
        <w:t xml:space="preserve">A pesar del rechazo rotundo de la vicepresidenta Delcy Rodríguez, quien calificó la venta como un "robo barbárico" y un </w:t>
      </w:r>
      <w:r w:rsidR="007861D2">
        <w:rPr>
          <w:rFonts w:ascii="Arial" w:hAnsi="Arial" w:cs="Arial"/>
        </w:rPr>
        <w:t>“</w:t>
      </w:r>
      <w:r w:rsidRPr="00023854">
        <w:rPr>
          <w:rFonts w:ascii="Arial" w:hAnsi="Arial" w:cs="Arial"/>
        </w:rPr>
        <w:t>despojo fraudulento</w:t>
      </w:r>
      <w:r w:rsidR="007861D2">
        <w:rPr>
          <w:rFonts w:ascii="Arial" w:hAnsi="Arial" w:cs="Arial"/>
        </w:rPr>
        <w:t>”</w:t>
      </w:r>
      <w:r w:rsidRPr="00023854">
        <w:rPr>
          <w:rFonts w:ascii="Arial" w:hAnsi="Arial" w:cs="Arial"/>
        </w:rPr>
        <w:t xml:space="preserve"> sin derecho a la defensa, la pérdida de CITGO altera drásticamente la capacidad estratégica de Venezuela</w:t>
      </w:r>
      <w:r w:rsidR="00D74429">
        <w:rPr>
          <w:rFonts w:ascii="Arial" w:hAnsi="Arial" w:cs="Arial"/>
        </w:rPr>
        <w:t xml:space="preserve"> de maniobrar en los Estados Unidos a la luz del nuevo acuerdo petrolera</w:t>
      </w:r>
      <w:r w:rsidRPr="00023854">
        <w:rPr>
          <w:rFonts w:ascii="Arial" w:hAnsi="Arial" w:cs="Arial"/>
        </w:rPr>
        <w:t xml:space="preserve">. </w:t>
      </w:r>
    </w:p>
    <w:p w14:paraId="3EEC204E" w14:textId="77777777" w:rsidR="00D74429" w:rsidRDefault="00D74429" w:rsidP="00023854">
      <w:pPr>
        <w:adjustRightInd w:val="0"/>
        <w:snapToGrid w:val="0"/>
        <w:jc w:val="both"/>
        <w:rPr>
          <w:rFonts w:ascii="Arial" w:hAnsi="Arial" w:cs="Arial"/>
        </w:rPr>
      </w:pPr>
    </w:p>
    <w:p w14:paraId="03A035F1" w14:textId="77777777" w:rsidR="00023854" w:rsidRDefault="00D74429" w:rsidP="00023854">
      <w:pPr>
        <w:adjustRightInd w:val="0"/>
        <w:snapToGrid w:val="0"/>
        <w:jc w:val="both"/>
        <w:rPr>
          <w:rFonts w:ascii="Arial" w:hAnsi="Arial" w:cs="Arial"/>
        </w:rPr>
      </w:pPr>
      <w:r>
        <w:rPr>
          <w:rFonts w:ascii="Arial" w:hAnsi="Arial" w:cs="Arial"/>
        </w:rPr>
        <w:t>Con la pérdida de CITGO, PDVSA queda d</w:t>
      </w:r>
      <w:r w:rsidR="00023854" w:rsidRPr="00023854">
        <w:rPr>
          <w:rFonts w:ascii="Arial" w:hAnsi="Arial" w:cs="Arial"/>
        </w:rPr>
        <w:t>esprovista de sus propias refinerías en territorio</w:t>
      </w:r>
      <w:r>
        <w:rPr>
          <w:rFonts w:ascii="Arial" w:hAnsi="Arial" w:cs="Arial"/>
        </w:rPr>
        <w:t xml:space="preserve"> norteamericano,</w:t>
      </w:r>
      <w:r w:rsidR="00023854" w:rsidRPr="00023854">
        <w:rPr>
          <w:rFonts w:ascii="Arial" w:hAnsi="Arial" w:cs="Arial"/>
        </w:rPr>
        <w:t xml:space="preserve"> su principal consumidor,</w:t>
      </w:r>
      <w:r>
        <w:rPr>
          <w:rFonts w:ascii="Arial" w:hAnsi="Arial" w:cs="Arial"/>
        </w:rPr>
        <w:t xml:space="preserve"> de manera que </w:t>
      </w:r>
      <w:r w:rsidR="00023854" w:rsidRPr="00023854">
        <w:rPr>
          <w:rFonts w:ascii="Arial" w:hAnsi="Arial" w:cs="Arial"/>
        </w:rPr>
        <w:t>Venezuela queda relegada a ser un mero exportador de materia prima pesada.</w:t>
      </w:r>
    </w:p>
    <w:p w14:paraId="34421DB7" w14:textId="77777777" w:rsidR="006E46FC" w:rsidRPr="00023854" w:rsidRDefault="006E46FC" w:rsidP="00023854">
      <w:pPr>
        <w:adjustRightInd w:val="0"/>
        <w:snapToGrid w:val="0"/>
        <w:jc w:val="both"/>
        <w:rPr>
          <w:rFonts w:ascii="Arial" w:hAnsi="Arial" w:cs="Arial"/>
        </w:rPr>
      </w:pPr>
    </w:p>
    <w:p w14:paraId="677AD40A" w14:textId="77777777" w:rsidR="007861D2" w:rsidRDefault="00023854" w:rsidP="00023854">
      <w:pPr>
        <w:adjustRightInd w:val="0"/>
        <w:snapToGrid w:val="0"/>
        <w:jc w:val="both"/>
        <w:rPr>
          <w:rFonts w:ascii="Arial" w:hAnsi="Arial" w:cs="Arial"/>
        </w:rPr>
      </w:pPr>
      <w:r w:rsidRPr="00023854">
        <w:rPr>
          <w:rFonts w:ascii="Arial" w:hAnsi="Arial" w:cs="Arial"/>
        </w:rPr>
        <w:lastRenderedPageBreak/>
        <w:t>Es en este vacío donde se inserta el</w:t>
      </w:r>
      <w:r w:rsidR="007861D2">
        <w:rPr>
          <w:rFonts w:ascii="Arial" w:hAnsi="Arial" w:cs="Arial"/>
        </w:rPr>
        <w:t xml:space="preserve"> nuevo</w:t>
      </w:r>
      <w:r w:rsidRPr="00023854">
        <w:rPr>
          <w:rFonts w:ascii="Arial" w:hAnsi="Arial" w:cs="Arial"/>
        </w:rPr>
        <w:t xml:space="preserve"> acuerdo</w:t>
      </w:r>
      <w:r w:rsidR="007861D2">
        <w:rPr>
          <w:rFonts w:ascii="Arial" w:hAnsi="Arial" w:cs="Arial"/>
        </w:rPr>
        <w:t xml:space="preserve"> petrolero</w:t>
      </w:r>
      <w:r w:rsidRPr="00023854">
        <w:rPr>
          <w:rFonts w:ascii="Arial" w:hAnsi="Arial" w:cs="Arial"/>
        </w:rPr>
        <w:t xml:space="preserve"> </w:t>
      </w:r>
      <w:r w:rsidR="007861D2">
        <w:rPr>
          <w:rFonts w:ascii="Arial" w:hAnsi="Arial" w:cs="Arial"/>
        </w:rPr>
        <w:t xml:space="preserve">a </w:t>
      </w:r>
      <w:r w:rsidRPr="00023854">
        <w:rPr>
          <w:rFonts w:ascii="Arial" w:hAnsi="Arial" w:cs="Arial"/>
        </w:rPr>
        <w:t>25 años</w:t>
      </w:r>
      <w:r w:rsidR="007861D2">
        <w:rPr>
          <w:rFonts w:ascii="Arial" w:hAnsi="Arial" w:cs="Arial"/>
        </w:rPr>
        <w:t>,</w:t>
      </w:r>
      <w:r w:rsidRPr="00023854">
        <w:rPr>
          <w:rFonts w:ascii="Arial" w:hAnsi="Arial" w:cs="Arial"/>
        </w:rPr>
        <w:t xml:space="preserve"> </w:t>
      </w:r>
      <w:r w:rsidR="007861D2">
        <w:rPr>
          <w:rFonts w:ascii="Arial" w:hAnsi="Arial" w:cs="Arial"/>
        </w:rPr>
        <w:t>l</w:t>
      </w:r>
      <w:r w:rsidRPr="00023854">
        <w:rPr>
          <w:rFonts w:ascii="Arial" w:hAnsi="Arial" w:cs="Arial"/>
        </w:rPr>
        <w:t>as refinerías de alta conversión de la Costa del Golfo de Texas (pertenecientes a empresas como Valero, Phillips 66 y Chevron) poseen unidades de coquización instaladas específicamente para procesar el crudo</w:t>
      </w:r>
      <w:r w:rsidR="007861D2">
        <w:rPr>
          <w:rFonts w:ascii="Arial" w:hAnsi="Arial" w:cs="Arial"/>
        </w:rPr>
        <w:t xml:space="preserve"> pesado venezolano</w:t>
      </w:r>
      <w:r w:rsidRPr="00023854">
        <w:rPr>
          <w:rFonts w:ascii="Arial" w:hAnsi="Arial" w:cs="Arial"/>
        </w:rPr>
        <w:t xml:space="preserve">, cuyas gravedades API (8-16 grados) lo hacen inservible para refinerías estándar. </w:t>
      </w:r>
    </w:p>
    <w:p w14:paraId="6E256650" w14:textId="77777777" w:rsidR="007861D2" w:rsidRDefault="007861D2" w:rsidP="00023854">
      <w:pPr>
        <w:adjustRightInd w:val="0"/>
        <w:snapToGrid w:val="0"/>
        <w:jc w:val="both"/>
        <w:rPr>
          <w:rFonts w:ascii="Arial" w:hAnsi="Arial" w:cs="Arial"/>
        </w:rPr>
      </w:pPr>
    </w:p>
    <w:p w14:paraId="2BD2ED5F" w14:textId="77777777" w:rsidR="00023854" w:rsidRDefault="00023854" w:rsidP="00023854">
      <w:pPr>
        <w:adjustRightInd w:val="0"/>
        <w:snapToGrid w:val="0"/>
        <w:jc w:val="both"/>
        <w:rPr>
          <w:rFonts w:ascii="Arial" w:hAnsi="Arial" w:cs="Arial"/>
        </w:rPr>
      </w:pPr>
      <w:r w:rsidRPr="00023854">
        <w:rPr>
          <w:rFonts w:ascii="Arial" w:hAnsi="Arial" w:cs="Arial"/>
        </w:rPr>
        <w:t>Con CITGO alienada a manos de un fondo de inversión, el gobierno venezolano necesita imperiosamente a las grandes petroleras estadounidenses y sus redes de refinación para dar viabilidad comercial a su crudo, forzando la asociación asimétrica que Trump celebró como un rescate del abastecimiento energético doméstico.</w:t>
      </w:r>
    </w:p>
    <w:p w14:paraId="55E914FA" w14:textId="77777777" w:rsidR="007861D2" w:rsidRPr="00023854" w:rsidRDefault="007861D2" w:rsidP="00023854">
      <w:pPr>
        <w:adjustRightInd w:val="0"/>
        <w:snapToGrid w:val="0"/>
        <w:jc w:val="both"/>
        <w:rPr>
          <w:rFonts w:ascii="Arial" w:hAnsi="Arial" w:cs="Arial"/>
        </w:rPr>
      </w:pPr>
    </w:p>
    <w:p w14:paraId="69D68EE3" w14:textId="77777777" w:rsidR="00023854" w:rsidRDefault="00023854" w:rsidP="00023854">
      <w:pPr>
        <w:adjustRightInd w:val="0"/>
        <w:snapToGrid w:val="0"/>
        <w:jc w:val="both"/>
        <w:outlineLvl w:val="1"/>
        <w:rPr>
          <w:rFonts w:ascii="Arial" w:hAnsi="Arial" w:cs="Arial"/>
          <w:b/>
          <w:bCs/>
          <w:sz w:val="40"/>
          <w:szCs w:val="40"/>
        </w:rPr>
      </w:pPr>
      <w:r w:rsidRPr="00023854">
        <w:rPr>
          <w:rFonts w:ascii="Arial" w:hAnsi="Arial" w:cs="Arial"/>
          <w:b/>
          <w:bCs/>
          <w:sz w:val="40"/>
          <w:szCs w:val="40"/>
        </w:rPr>
        <w:t xml:space="preserve">El </w:t>
      </w:r>
      <w:r w:rsidR="00D74429" w:rsidRPr="00023854">
        <w:rPr>
          <w:rFonts w:ascii="Arial" w:hAnsi="Arial" w:cs="Arial"/>
          <w:b/>
          <w:bCs/>
          <w:sz w:val="40"/>
          <w:szCs w:val="40"/>
        </w:rPr>
        <w:t xml:space="preserve">impacto medioambiental en la cuenca </w:t>
      </w:r>
      <w:r w:rsidRPr="00023854">
        <w:rPr>
          <w:rFonts w:ascii="Arial" w:hAnsi="Arial" w:cs="Arial"/>
          <w:b/>
          <w:bCs/>
          <w:sz w:val="40"/>
          <w:szCs w:val="40"/>
        </w:rPr>
        <w:t>del Orinoco</w:t>
      </w:r>
    </w:p>
    <w:p w14:paraId="67349306" w14:textId="77777777" w:rsidR="00D74429" w:rsidRPr="00023854" w:rsidRDefault="00D74429" w:rsidP="00023854">
      <w:pPr>
        <w:adjustRightInd w:val="0"/>
        <w:snapToGrid w:val="0"/>
        <w:jc w:val="both"/>
        <w:outlineLvl w:val="1"/>
        <w:rPr>
          <w:rFonts w:ascii="Arial" w:hAnsi="Arial" w:cs="Arial"/>
          <w:b/>
          <w:bCs/>
          <w:sz w:val="40"/>
          <w:szCs w:val="40"/>
        </w:rPr>
      </w:pPr>
    </w:p>
    <w:p w14:paraId="66F930FB" w14:textId="77777777" w:rsidR="00023854" w:rsidRDefault="00023854" w:rsidP="00023854">
      <w:pPr>
        <w:adjustRightInd w:val="0"/>
        <w:snapToGrid w:val="0"/>
        <w:jc w:val="both"/>
        <w:rPr>
          <w:rFonts w:ascii="Arial" w:hAnsi="Arial" w:cs="Arial"/>
        </w:rPr>
      </w:pPr>
      <w:r w:rsidRPr="00023854">
        <w:rPr>
          <w:rFonts w:ascii="Arial" w:hAnsi="Arial" w:cs="Arial"/>
        </w:rPr>
        <w:t>La promesa de extraer más de 65.000 millones de barriles conlleva un ineludible peaje ecológico en una de las reservas de biodiversidad más críticas de América del Sur. La Faja Petrolífera del Orinoco abarca llanuras y planicies inundables de extrema sensibilidad biológica, esenciales para la migración de fauna silvestre y el equilibrio hidrológico.</w:t>
      </w:r>
    </w:p>
    <w:p w14:paraId="00D90B4B" w14:textId="77777777" w:rsidR="00D74429" w:rsidRPr="00023854" w:rsidRDefault="00D74429" w:rsidP="00023854">
      <w:pPr>
        <w:adjustRightInd w:val="0"/>
        <w:snapToGrid w:val="0"/>
        <w:jc w:val="both"/>
        <w:rPr>
          <w:rFonts w:ascii="Arial" w:hAnsi="Arial" w:cs="Arial"/>
        </w:rPr>
      </w:pPr>
    </w:p>
    <w:p w14:paraId="2192E443" w14:textId="77777777" w:rsidR="00872FDA" w:rsidRDefault="00023854" w:rsidP="00023854">
      <w:pPr>
        <w:adjustRightInd w:val="0"/>
        <w:snapToGrid w:val="0"/>
        <w:jc w:val="both"/>
        <w:rPr>
          <w:rFonts w:ascii="Arial" w:hAnsi="Arial" w:cs="Arial"/>
        </w:rPr>
      </w:pPr>
      <w:r w:rsidRPr="00023854">
        <w:rPr>
          <w:rFonts w:ascii="Arial" w:hAnsi="Arial" w:cs="Arial"/>
        </w:rPr>
        <w:t xml:space="preserve">Tras casi dos décadas de negligencia corporativa bajo el modelo estatista, la industria petrolera venezolana exhibe pasivos ambientales calificados de ecocidio por organizaciones independientes. Informes documentan la existencia de más de 13.000 fosas de crudo a cielo abierto en el oriente del país, utilizadas sin certificación técnica, propensas a incendiarse y desbordarse. </w:t>
      </w:r>
    </w:p>
    <w:p w14:paraId="1B4B91AB" w14:textId="77777777" w:rsidR="00872FDA" w:rsidRDefault="00872FDA" w:rsidP="00023854">
      <w:pPr>
        <w:adjustRightInd w:val="0"/>
        <w:snapToGrid w:val="0"/>
        <w:jc w:val="both"/>
        <w:rPr>
          <w:rFonts w:ascii="Arial" w:hAnsi="Arial" w:cs="Arial"/>
        </w:rPr>
      </w:pPr>
    </w:p>
    <w:p w14:paraId="3D201C5C" w14:textId="77777777" w:rsidR="00023854" w:rsidRDefault="00023854" w:rsidP="00023854">
      <w:pPr>
        <w:adjustRightInd w:val="0"/>
        <w:snapToGrid w:val="0"/>
        <w:jc w:val="both"/>
        <w:rPr>
          <w:rFonts w:ascii="Arial" w:hAnsi="Arial" w:cs="Arial"/>
        </w:rPr>
      </w:pPr>
      <w:r w:rsidRPr="00023854">
        <w:rPr>
          <w:rFonts w:ascii="Arial" w:hAnsi="Arial" w:cs="Arial"/>
        </w:rPr>
        <w:t>Asimismo, la falta de mantenimiento ha derivado en derrames crónicos en ríos vitales y lagos (incluyendo el Lago de Maracaibo), y la acumulación de montañas colosales de coque de petróleo y azufre a la intemperie. Estas acumulaciones emiten polvos tóxicos que han desencadenado severas crisis de salud respiratoria y cardiovascular en las poblaciones adyacentes a los complejos industriales.</w:t>
      </w:r>
    </w:p>
    <w:p w14:paraId="13ECBF57" w14:textId="77777777" w:rsidR="00872FDA" w:rsidRPr="00023854" w:rsidRDefault="00872FDA" w:rsidP="00023854">
      <w:pPr>
        <w:adjustRightInd w:val="0"/>
        <w:snapToGrid w:val="0"/>
        <w:jc w:val="both"/>
        <w:rPr>
          <w:rFonts w:ascii="Arial" w:hAnsi="Arial" w:cs="Arial"/>
        </w:rPr>
      </w:pPr>
    </w:p>
    <w:p w14:paraId="7C753A87" w14:textId="77777777" w:rsidR="00872FDA" w:rsidRDefault="00023854" w:rsidP="00023854">
      <w:pPr>
        <w:adjustRightInd w:val="0"/>
        <w:snapToGrid w:val="0"/>
        <w:jc w:val="both"/>
        <w:rPr>
          <w:rFonts w:ascii="Arial" w:hAnsi="Arial" w:cs="Arial"/>
        </w:rPr>
      </w:pPr>
      <w:r w:rsidRPr="00023854">
        <w:rPr>
          <w:rFonts w:ascii="Arial" w:hAnsi="Arial" w:cs="Arial"/>
        </w:rPr>
        <w:t>El acuerdo internacional</w:t>
      </w:r>
      <w:r w:rsidR="00872FDA">
        <w:rPr>
          <w:rFonts w:ascii="Arial" w:hAnsi="Arial" w:cs="Arial"/>
        </w:rPr>
        <w:t xml:space="preserve"> entre Venezuela y Estados Unidos</w:t>
      </w:r>
      <w:r w:rsidRPr="00023854">
        <w:rPr>
          <w:rFonts w:ascii="Arial" w:hAnsi="Arial" w:cs="Arial"/>
        </w:rPr>
        <w:t xml:space="preserve"> inyecta un nuevo vector a esta crisis</w:t>
      </w:r>
      <w:r w:rsidR="00872FDA">
        <w:rPr>
          <w:rFonts w:ascii="Arial" w:hAnsi="Arial" w:cs="Arial"/>
        </w:rPr>
        <w:t xml:space="preserve"> ecológica</w:t>
      </w:r>
      <w:r w:rsidRPr="00023854">
        <w:rPr>
          <w:rFonts w:ascii="Arial" w:hAnsi="Arial" w:cs="Arial"/>
        </w:rPr>
        <w:t>: la modernización forzosa por cumplimiento ESG (</w:t>
      </w:r>
      <w:r w:rsidRPr="00023854">
        <w:rPr>
          <w:rFonts w:ascii="Arial" w:hAnsi="Arial" w:cs="Arial"/>
          <w:i/>
          <w:iCs/>
        </w:rPr>
        <w:t>Environmental, Social, and Governance</w:t>
      </w:r>
      <w:r w:rsidRPr="00023854">
        <w:rPr>
          <w:rFonts w:ascii="Arial" w:hAnsi="Arial" w:cs="Arial"/>
        </w:rPr>
        <w:t xml:space="preserve">). Para que gigantes corporativos como Shell, Eni o Chevron puedan reportar inversiones de capital por 100.000 millones de dólares en Venezuela sin vulnerar sus compromisos climáticos globales ni enfrentarse al activismo accionarial, están obligados a destinar un porcentaje significativo del Opex a la </w:t>
      </w:r>
      <w:r w:rsidR="00872FDA">
        <w:rPr>
          <w:rFonts w:ascii="Arial" w:hAnsi="Arial" w:cs="Arial"/>
        </w:rPr>
        <w:t>“</w:t>
      </w:r>
      <w:r w:rsidRPr="00023854">
        <w:rPr>
          <w:rFonts w:ascii="Arial" w:hAnsi="Arial" w:cs="Arial"/>
        </w:rPr>
        <w:t>limpieza</w:t>
      </w:r>
      <w:r w:rsidR="00872FDA">
        <w:rPr>
          <w:rFonts w:ascii="Arial" w:hAnsi="Arial" w:cs="Arial"/>
        </w:rPr>
        <w:t>”</w:t>
      </w:r>
      <w:r w:rsidRPr="00023854">
        <w:rPr>
          <w:rFonts w:ascii="Arial" w:hAnsi="Arial" w:cs="Arial"/>
        </w:rPr>
        <w:t xml:space="preserve"> sistémica de estos pasivos</w:t>
      </w:r>
      <w:r w:rsidR="00872FDA">
        <w:rPr>
          <w:rFonts w:ascii="Arial" w:hAnsi="Arial" w:cs="Arial"/>
        </w:rPr>
        <w:t xml:space="preserve"> ambientales</w:t>
      </w:r>
      <w:r w:rsidRPr="00023854">
        <w:rPr>
          <w:rFonts w:ascii="Arial" w:hAnsi="Arial" w:cs="Arial"/>
        </w:rPr>
        <w:t xml:space="preserve">. </w:t>
      </w:r>
    </w:p>
    <w:p w14:paraId="385349A6" w14:textId="77777777" w:rsidR="00872FDA" w:rsidRDefault="00872FDA" w:rsidP="00023854">
      <w:pPr>
        <w:adjustRightInd w:val="0"/>
        <w:snapToGrid w:val="0"/>
        <w:jc w:val="both"/>
        <w:rPr>
          <w:rFonts w:ascii="Arial" w:hAnsi="Arial" w:cs="Arial"/>
        </w:rPr>
      </w:pPr>
    </w:p>
    <w:p w14:paraId="6E3D41D7" w14:textId="77777777" w:rsidR="00023854" w:rsidRDefault="00872FDA" w:rsidP="00023854">
      <w:pPr>
        <w:adjustRightInd w:val="0"/>
        <w:snapToGrid w:val="0"/>
        <w:jc w:val="both"/>
        <w:rPr>
          <w:rFonts w:ascii="Arial" w:hAnsi="Arial" w:cs="Arial"/>
        </w:rPr>
      </w:pPr>
      <w:r>
        <w:rPr>
          <w:rFonts w:ascii="Arial" w:hAnsi="Arial" w:cs="Arial"/>
        </w:rPr>
        <w:t xml:space="preserve">Lo mencionado, </w:t>
      </w:r>
      <w:r w:rsidR="00023854" w:rsidRPr="00023854">
        <w:rPr>
          <w:rFonts w:ascii="Arial" w:hAnsi="Arial" w:cs="Arial"/>
        </w:rPr>
        <w:t xml:space="preserve">incluye la mitigación del venteo y la quema ineficiente de gas metano (cuyo potencial contaminante es 27 veces superior al CO2), el cierre técnico de las fosas y la instalación de barreras de contención hidrológica. Si bien la intensificación de la extracción supone un riesgo inherente para el Orinoco, la </w:t>
      </w:r>
      <w:r w:rsidR="00023854" w:rsidRPr="00023854">
        <w:rPr>
          <w:rFonts w:ascii="Arial" w:hAnsi="Arial" w:cs="Arial"/>
        </w:rPr>
        <w:lastRenderedPageBreak/>
        <w:t>privatización de las operaciones podría representar, paradójicamente, la única vía pragmática para inyectar los miles de millones requeridos para el saneamiento ambiental del área.</w:t>
      </w:r>
    </w:p>
    <w:p w14:paraId="3F13BB75" w14:textId="77777777" w:rsidR="00872FDA" w:rsidRPr="00023854" w:rsidRDefault="00872FDA" w:rsidP="00023854">
      <w:pPr>
        <w:adjustRightInd w:val="0"/>
        <w:snapToGrid w:val="0"/>
        <w:jc w:val="both"/>
        <w:rPr>
          <w:rFonts w:ascii="Arial" w:hAnsi="Arial" w:cs="Arial"/>
        </w:rPr>
      </w:pPr>
    </w:p>
    <w:p w14:paraId="730B55FC" w14:textId="77777777" w:rsidR="00023854" w:rsidRPr="00C26B77" w:rsidRDefault="00023854" w:rsidP="00023854">
      <w:pPr>
        <w:adjustRightInd w:val="0"/>
        <w:snapToGrid w:val="0"/>
        <w:jc w:val="both"/>
        <w:outlineLvl w:val="1"/>
        <w:rPr>
          <w:rFonts w:ascii="Arial" w:hAnsi="Arial" w:cs="Arial"/>
          <w:b/>
          <w:bCs/>
          <w:sz w:val="40"/>
          <w:szCs w:val="40"/>
        </w:rPr>
      </w:pPr>
      <w:r w:rsidRPr="00023854">
        <w:rPr>
          <w:rFonts w:ascii="Arial" w:hAnsi="Arial" w:cs="Arial"/>
          <w:b/>
          <w:bCs/>
          <w:sz w:val="40"/>
          <w:szCs w:val="40"/>
        </w:rPr>
        <w:t xml:space="preserve">El </w:t>
      </w:r>
      <w:r w:rsidR="00872FDA" w:rsidRPr="00C26B77">
        <w:rPr>
          <w:rFonts w:ascii="Arial" w:hAnsi="Arial" w:cs="Arial"/>
          <w:b/>
          <w:bCs/>
          <w:sz w:val="40"/>
          <w:szCs w:val="40"/>
        </w:rPr>
        <w:t>tablero geopolítico: l</w:t>
      </w:r>
      <w:r w:rsidRPr="00023854">
        <w:rPr>
          <w:rFonts w:ascii="Arial" w:hAnsi="Arial" w:cs="Arial"/>
          <w:b/>
          <w:bCs/>
          <w:sz w:val="40"/>
          <w:szCs w:val="40"/>
        </w:rPr>
        <w:t xml:space="preserve">a OPEP, Rusia, China y la </w:t>
      </w:r>
      <w:r w:rsidR="00872FDA" w:rsidRPr="00C26B77">
        <w:rPr>
          <w:rFonts w:ascii="Arial" w:hAnsi="Arial" w:cs="Arial"/>
          <w:b/>
          <w:bCs/>
          <w:sz w:val="40"/>
          <w:szCs w:val="40"/>
        </w:rPr>
        <w:t>s</w:t>
      </w:r>
      <w:r w:rsidRPr="00023854">
        <w:rPr>
          <w:rFonts w:ascii="Arial" w:hAnsi="Arial" w:cs="Arial"/>
          <w:b/>
          <w:bCs/>
          <w:sz w:val="40"/>
          <w:szCs w:val="40"/>
        </w:rPr>
        <w:t xml:space="preserve">eguridad </w:t>
      </w:r>
      <w:r w:rsidR="00872FDA" w:rsidRPr="00C26B77">
        <w:rPr>
          <w:rFonts w:ascii="Arial" w:hAnsi="Arial" w:cs="Arial"/>
          <w:b/>
          <w:bCs/>
          <w:sz w:val="40"/>
          <w:szCs w:val="40"/>
        </w:rPr>
        <w:t>e</w:t>
      </w:r>
      <w:r w:rsidRPr="00023854">
        <w:rPr>
          <w:rFonts w:ascii="Arial" w:hAnsi="Arial" w:cs="Arial"/>
          <w:b/>
          <w:bCs/>
          <w:sz w:val="40"/>
          <w:szCs w:val="40"/>
        </w:rPr>
        <w:t>nergética</w:t>
      </w:r>
    </w:p>
    <w:p w14:paraId="14EEA6A0" w14:textId="77777777" w:rsidR="00872FDA" w:rsidRPr="00023854" w:rsidRDefault="00872FDA" w:rsidP="00023854">
      <w:pPr>
        <w:adjustRightInd w:val="0"/>
        <w:snapToGrid w:val="0"/>
        <w:jc w:val="both"/>
        <w:outlineLvl w:val="1"/>
        <w:rPr>
          <w:rFonts w:ascii="Arial" w:hAnsi="Arial" w:cs="Arial"/>
          <w:b/>
          <w:bCs/>
          <w:sz w:val="36"/>
          <w:szCs w:val="36"/>
        </w:rPr>
      </w:pPr>
    </w:p>
    <w:p w14:paraId="227B0831" w14:textId="77777777" w:rsidR="00023854" w:rsidRDefault="00023854" w:rsidP="00023854">
      <w:pPr>
        <w:adjustRightInd w:val="0"/>
        <w:snapToGrid w:val="0"/>
        <w:jc w:val="both"/>
        <w:rPr>
          <w:rFonts w:ascii="Arial" w:hAnsi="Arial" w:cs="Arial"/>
        </w:rPr>
      </w:pPr>
      <w:r w:rsidRPr="00023854">
        <w:rPr>
          <w:rFonts w:ascii="Arial" w:hAnsi="Arial" w:cs="Arial"/>
        </w:rPr>
        <w:t>La dimensión macro del acuerdo trasciende a Caracas y Washington</w:t>
      </w:r>
      <w:r w:rsidR="00872FDA">
        <w:rPr>
          <w:rFonts w:ascii="Arial" w:hAnsi="Arial" w:cs="Arial"/>
        </w:rPr>
        <w:t xml:space="preserve">, ya que </w:t>
      </w:r>
      <w:r w:rsidRPr="00023854">
        <w:rPr>
          <w:rFonts w:ascii="Arial" w:hAnsi="Arial" w:cs="Arial"/>
        </w:rPr>
        <w:t xml:space="preserve">genera ondas expansivas que desestabilizan el </w:t>
      </w:r>
      <w:r w:rsidRPr="00023854">
        <w:rPr>
          <w:rFonts w:ascii="Arial" w:hAnsi="Arial" w:cs="Arial"/>
          <w:i/>
          <w:iCs/>
        </w:rPr>
        <w:t>status quo</w:t>
      </w:r>
      <w:r w:rsidRPr="00023854">
        <w:rPr>
          <w:rFonts w:ascii="Arial" w:hAnsi="Arial" w:cs="Arial"/>
        </w:rPr>
        <w:t xml:space="preserve"> de la política petrolera mundial.</w:t>
      </w:r>
    </w:p>
    <w:p w14:paraId="64F5FEE3" w14:textId="77777777" w:rsidR="00872FDA" w:rsidRPr="00023854" w:rsidRDefault="00872FDA" w:rsidP="00023854">
      <w:pPr>
        <w:adjustRightInd w:val="0"/>
        <w:snapToGrid w:val="0"/>
        <w:jc w:val="both"/>
        <w:rPr>
          <w:rFonts w:ascii="Arial" w:hAnsi="Arial" w:cs="Arial"/>
        </w:rPr>
      </w:pPr>
    </w:p>
    <w:p w14:paraId="4C40486B" w14:textId="77777777" w:rsidR="00023854" w:rsidRDefault="00872FDA" w:rsidP="00023854">
      <w:pPr>
        <w:adjustRightInd w:val="0"/>
        <w:snapToGrid w:val="0"/>
        <w:jc w:val="both"/>
        <w:outlineLvl w:val="2"/>
        <w:rPr>
          <w:rFonts w:ascii="Arial" w:hAnsi="Arial" w:cs="Arial"/>
          <w:b/>
          <w:bCs/>
          <w:sz w:val="27"/>
          <w:szCs w:val="27"/>
        </w:rPr>
      </w:pPr>
      <w:r>
        <w:rPr>
          <w:rFonts w:ascii="Arial" w:hAnsi="Arial" w:cs="Arial"/>
          <w:b/>
          <w:bCs/>
          <w:sz w:val="27"/>
          <w:szCs w:val="27"/>
        </w:rPr>
        <w:t>P</w:t>
      </w:r>
      <w:r w:rsidRPr="00023854">
        <w:rPr>
          <w:rFonts w:ascii="Arial" w:hAnsi="Arial" w:cs="Arial"/>
          <w:b/>
          <w:bCs/>
          <w:sz w:val="27"/>
          <w:szCs w:val="27"/>
        </w:rPr>
        <w:t xml:space="preserve">osible abandono </w:t>
      </w:r>
      <w:r w:rsidR="00023854" w:rsidRPr="00023854">
        <w:rPr>
          <w:rFonts w:ascii="Arial" w:hAnsi="Arial" w:cs="Arial"/>
          <w:b/>
          <w:bCs/>
          <w:sz w:val="27"/>
          <w:szCs w:val="27"/>
        </w:rPr>
        <w:t>de la OPEP</w:t>
      </w:r>
    </w:p>
    <w:p w14:paraId="592717AC" w14:textId="77777777" w:rsidR="00872FDA" w:rsidRPr="00023854" w:rsidRDefault="00872FDA" w:rsidP="00023854">
      <w:pPr>
        <w:adjustRightInd w:val="0"/>
        <w:snapToGrid w:val="0"/>
        <w:jc w:val="both"/>
        <w:outlineLvl w:val="2"/>
        <w:rPr>
          <w:rFonts w:ascii="Arial" w:hAnsi="Arial" w:cs="Arial"/>
          <w:b/>
          <w:bCs/>
          <w:sz w:val="27"/>
          <w:szCs w:val="27"/>
        </w:rPr>
      </w:pPr>
    </w:p>
    <w:p w14:paraId="4BC4036A" w14:textId="77777777" w:rsidR="00872FDA" w:rsidRDefault="00023854" w:rsidP="00023854">
      <w:pPr>
        <w:adjustRightInd w:val="0"/>
        <w:snapToGrid w:val="0"/>
        <w:jc w:val="both"/>
        <w:rPr>
          <w:rFonts w:ascii="Arial" w:hAnsi="Arial" w:cs="Arial"/>
        </w:rPr>
      </w:pPr>
      <w:r w:rsidRPr="00023854">
        <w:rPr>
          <w:rFonts w:ascii="Arial" w:hAnsi="Arial" w:cs="Arial"/>
        </w:rPr>
        <w:t xml:space="preserve">El desarrollo más disruptivo asociado al acuerdo es la filtración de que Venezuela evalúa formalmente retirarse de la Organización de Países Exportadores de Petróleo (OPEP), </w:t>
      </w:r>
      <w:r w:rsidR="00872FDA">
        <w:rPr>
          <w:rFonts w:ascii="Arial" w:hAnsi="Arial" w:cs="Arial"/>
        </w:rPr>
        <w:t xml:space="preserve">grupo </w:t>
      </w:r>
      <w:r w:rsidRPr="00023854">
        <w:rPr>
          <w:rFonts w:ascii="Arial" w:hAnsi="Arial" w:cs="Arial"/>
        </w:rPr>
        <w:t xml:space="preserve">del cual fue miembro fundador en 1960 y que dominó la política exterior de Hugo Chávez. </w:t>
      </w:r>
    </w:p>
    <w:p w14:paraId="39C3E2DC" w14:textId="77777777" w:rsidR="00872FDA" w:rsidRDefault="00872FDA" w:rsidP="00023854">
      <w:pPr>
        <w:adjustRightInd w:val="0"/>
        <w:snapToGrid w:val="0"/>
        <w:jc w:val="both"/>
        <w:rPr>
          <w:rFonts w:ascii="Arial" w:hAnsi="Arial" w:cs="Arial"/>
        </w:rPr>
      </w:pPr>
    </w:p>
    <w:p w14:paraId="2AE2D43C" w14:textId="77777777" w:rsidR="00872FDA" w:rsidRDefault="00023854" w:rsidP="00023854">
      <w:pPr>
        <w:adjustRightInd w:val="0"/>
        <w:snapToGrid w:val="0"/>
        <w:jc w:val="both"/>
        <w:rPr>
          <w:rFonts w:ascii="Arial" w:hAnsi="Arial" w:cs="Arial"/>
        </w:rPr>
      </w:pPr>
      <w:r w:rsidRPr="00023854">
        <w:rPr>
          <w:rFonts w:ascii="Arial" w:hAnsi="Arial" w:cs="Arial"/>
        </w:rPr>
        <w:t>La lógica de esta decisión es estrictamente comercial y de priorización geopolítica</w:t>
      </w:r>
      <w:r w:rsidR="00872FDA">
        <w:rPr>
          <w:rFonts w:ascii="Arial" w:hAnsi="Arial" w:cs="Arial"/>
        </w:rPr>
        <w:t>, ya que p</w:t>
      </w:r>
      <w:r w:rsidRPr="00023854">
        <w:rPr>
          <w:rFonts w:ascii="Arial" w:hAnsi="Arial" w:cs="Arial"/>
        </w:rPr>
        <w:t xml:space="preserve">ara alcanzar la ambiciosa meta de 1,5 a 3 millones de barriles diarios y satisfacer el retorno de la inversión de los consorcios occidentales, Venezuela no puede someterse al corsé de las cuotas de producción impuestas por Riad para manipular artificialmente al alza los precios globales. </w:t>
      </w:r>
    </w:p>
    <w:p w14:paraId="5AF4D21E" w14:textId="77777777" w:rsidR="00872FDA" w:rsidRDefault="00872FDA" w:rsidP="00023854">
      <w:pPr>
        <w:adjustRightInd w:val="0"/>
        <w:snapToGrid w:val="0"/>
        <w:jc w:val="both"/>
        <w:rPr>
          <w:rFonts w:ascii="Arial" w:hAnsi="Arial" w:cs="Arial"/>
        </w:rPr>
      </w:pPr>
    </w:p>
    <w:p w14:paraId="7D2DBE4F" w14:textId="77777777" w:rsidR="00023854" w:rsidRDefault="00023854" w:rsidP="00023854">
      <w:pPr>
        <w:adjustRightInd w:val="0"/>
        <w:snapToGrid w:val="0"/>
        <w:jc w:val="both"/>
        <w:rPr>
          <w:rFonts w:ascii="Arial" w:hAnsi="Arial" w:cs="Arial"/>
        </w:rPr>
      </w:pPr>
      <w:r w:rsidRPr="00023854">
        <w:rPr>
          <w:rFonts w:ascii="Arial" w:hAnsi="Arial" w:cs="Arial"/>
        </w:rPr>
        <w:t>La alineación con Estados Unidos transforma a Caracas en un productor volumétrico que busca maximizar exportaciones a la Costa del Golfo, compitiendo directamente por la cuota de mercado global. La salida de un fundador con las mayores reservas del mundo asestaría un golpe moral y estructural a la OPEP, acelerando el desplazamiento del eje de fijación de precios hacia las Américas y socavando la influencia ruso-saudita.</w:t>
      </w:r>
    </w:p>
    <w:p w14:paraId="5EEACEBD" w14:textId="77777777" w:rsidR="00872FDA" w:rsidRPr="00023854" w:rsidRDefault="00872FDA" w:rsidP="00023854">
      <w:pPr>
        <w:adjustRightInd w:val="0"/>
        <w:snapToGrid w:val="0"/>
        <w:jc w:val="both"/>
        <w:rPr>
          <w:rFonts w:ascii="Arial" w:hAnsi="Arial" w:cs="Arial"/>
        </w:rPr>
      </w:pPr>
    </w:p>
    <w:p w14:paraId="710A1408" w14:textId="77777777" w:rsidR="00023854" w:rsidRDefault="00023854" w:rsidP="00023854">
      <w:pPr>
        <w:adjustRightInd w:val="0"/>
        <w:snapToGrid w:val="0"/>
        <w:jc w:val="both"/>
        <w:outlineLvl w:val="2"/>
        <w:rPr>
          <w:rFonts w:ascii="Arial" w:hAnsi="Arial" w:cs="Arial"/>
          <w:b/>
          <w:bCs/>
          <w:sz w:val="27"/>
          <w:szCs w:val="27"/>
        </w:rPr>
      </w:pPr>
      <w:r w:rsidRPr="00023854">
        <w:rPr>
          <w:rFonts w:ascii="Arial" w:hAnsi="Arial" w:cs="Arial"/>
          <w:b/>
          <w:bCs/>
          <w:sz w:val="27"/>
          <w:szCs w:val="27"/>
        </w:rPr>
        <w:t xml:space="preserve">Replanteamiento de </w:t>
      </w:r>
      <w:r w:rsidR="00872FDA" w:rsidRPr="00023854">
        <w:rPr>
          <w:rFonts w:ascii="Arial" w:hAnsi="Arial" w:cs="Arial"/>
          <w:b/>
          <w:bCs/>
          <w:sz w:val="27"/>
          <w:szCs w:val="27"/>
        </w:rPr>
        <w:t>la seguridad nacional es</w:t>
      </w:r>
      <w:r w:rsidRPr="00023854">
        <w:rPr>
          <w:rFonts w:ascii="Arial" w:hAnsi="Arial" w:cs="Arial"/>
          <w:b/>
          <w:bCs/>
          <w:sz w:val="27"/>
          <w:szCs w:val="27"/>
        </w:rPr>
        <w:t>tadounidense</w:t>
      </w:r>
    </w:p>
    <w:p w14:paraId="2AAF5BE9" w14:textId="77777777" w:rsidR="00872FDA" w:rsidRPr="00023854" w:rsidRDefault="00872FDA" w:rsidP="00023854">
      <w:pPr>
        <w:adjustRightInd w:val="0"/>
        <w:snapToGrid w:val="0"/>
        <w:jc w:val="both"/>
        <w:outlineLvl w:val="2"/>
        <w:rPr>
          <w:rFonts w:ascii="Arial" w:hAnsi="Arial" w:cs="Arial"/>
          <w:b/>
          <w:bCs/>
          <w:sz w:val="27"/>
          <w:szCs w:val="27"/>
        </w:rPr>
      </w:pPr>
    </w:p>
    <w:p w14:paraId="2465CDCA" w14:textId="77777777" w:rsidR="00023854" w:rsidRDefault="00023854" w:rsidP="00023854">
      <w:pPr>
        <w:adjustRightInd w:val="0"/>
        <w:snapToGrid w:val="0"/>
        <w:jc w:val="both"/>
        <w:rPr>
          <w:rFonts w:ascii="Arial" w:hAnsi="Arial" w:cs="Arial"/>
        </w:rPr>
      </w:pPr>
      <w:r w:rsidRPr="00023854">
        <w:rPr>
          <w:rFonts w:ascii="Arial" w:hAnsi="Arial" w:cs="Arial"/>
        </w:rPr>
        <w:t>Para la administración Trump, la operación</w:t>
      </w:r>
      <w:r w:rsidR="00872FDA">
        <w:rPr>
          <w:rFonts w:ascii="Arial" w:hAnsi="Arial" w:cs="Arial"/>
        </w:rPr>
        <w:t xml:space="preserve"> con Venezuela</w:t>
      </w:r>
      <w:r w:rsidRPr="00023854">
        <w:rPr>
          <w:rFonts w:ascii="Arial" w:hAnsi="Arial" w:cs="Arial"/>
        </w:rPr>
        <w:t xml:space="preserve"> </w:t>
      </w:r>
      <w:r w:rsidR="00872FDA">
        <w:rPr>
          <w:rFonts w:ascii="Arial" w:hAnsi="Arial" w:cs="Arial"/>
        </w:rPr>
        <w:t>es</w:t>
      </w:r>
      <w:r w:rsidRPr="00023854">
        <w:rPr>
          <w:rFonts w:ascii="Arial" w:hAnsi="Arial" w:cs="Arial"/>
        </w:rPr>
        <w:t xml:space="preserve"> un salvavidas de seguridad nacional camuflado de expansión económica. La creciente escalada del conflicto con Irán amenazaba continuamente con el bloqueo del Estrecho de Ormuz, cuello de botella crítico para el crudo del Medio Oriente. Esta volatilidad </w:t>
      </w:r>
      <w:r w:rsidR="00872FDA">
        <w:rPr>
          <w:rFonts w:ascii="Arial" w:hAnsi="Arial" w:cs="Arial"/>
        </w:rPr>
        <w:t xml:space="preserve">ha </w:t>
      </w:r>
      <w:r w:rsidRPr="00023854">
        <w:rPr>
          <w:rFonts w:ascii="Arial" w:hAnsi="Arial" w:cs="Arial"/>
        </w:rPr>
        <w:t>dispar</w:t>
      </w:r>
      <w:r w:rsidR="00872FDA">
        <w:rPr>
          <w:rFonts w:ascii="Arial" w:hAnsi="Arial" w:cs="Arial"/>
        </w:rPr>
        <w:t>ado</w:t>
      </w:r>
      <w:r w:rsidRPr="00023854">
        <w:rPr>
          <w:rFonts w:ascii="Arial" w:hAnsi="Arial" w:cs="Arial"/>
        </w:rPr>
        <w:t xml:space="preserve"> el precio de la gasolina en Estados Unidos por encima de los 4,08 dólares el galón, un umbral políticamente peligroso.</w:t>
      </w:r>
    </w:p>
    <w:p w14:paraId="7094978B" w14:textId="77777777" w:rsidR="00872FDA" w:rsidRPr="00023854" w:rsidRDefault="00872FDA" w:rsidP="00023854">
      <w:pPr>
        <w:adjustRightInd w:val="0"/>
        <w:snapToGrid w:val="0"/>
        <w:jc w:val="both"/>
        <w:rPr>
          <w:rFonts w:ascii="Arial" w:hAnsi="Arial" w:cs="Arial"/>
        </w:rPr>
      </w:pPr>
    </w:p>
    <w:p w14:paraId="0F86B58C" w14:textId="77777777" w:rsidR="00023854" w:rsidRDefault="00023854" w:rsidP="00023854">
      <w:pPr>
        <w:adjustRightInd w:val="0"/>
        <w:snapToGrid w:val="0"/>
        <w:jc w:val="both"/>
        <w:rPr>
          <w:rFonts w:ascii="Arial" w:hAnsi="Arial" w:cs="Arial"/>
        </w:rPr>
      </w:pPr>
      <w:r w:rsidRPr="00023854">
        <w:rPr>
          <w:rFonts w:ascii="Arial" w:hAnsi="Arial" w:cs="Arial"/>
        </w:rPr>
        <w:t>De manera simultánea, la Reserva Estratégica de Petróleo de E</w:t>
      </w:r>
      <w:r w:rsidR="00872FDA">
        <w:rPr>
          <w:rFonts w:ascii="Arial" w:hAnsi="Arial" w:cs="Arial"/>
        </w:rPr>
        <w:t>stados Unidos</w:t>
      </w:r>
      <w:r w:rsidRPr="00023854">
        <w:rPr>
          <w:rFonts w:ascii="Arial" w:hAnsi="Arial" w:cs="Arial"/>
        </w:rPr>
        <w:t xml:space="preserve"> (SPR) había caído a niveles críticos de 289,7 millones de barriles, operando al 41% de su capacidad autorizada,</w:t>
      </w:r>
      <w:r w:rsidR="0035610F">
        <w:rPr>
          <w:rFonts w:ascii="Arial" w:hAnsi="Arial" w:cs="Arial"/>
        </w:rPr>
        <w:t xml:space="preserve"> la</w:t>
      </w:r>
      <w:r w:rsidRPr="00023854">
        <w:rPr>
          <w:rFonts w:ascii="Arial" w:hAnsi="Arial" w:cs="Arial"/>
        </w:rPr>
        <w:t xml:space="preserve"> cota más baja desde 1982. El aseguramiento de 65.000 millones de barriles de </w:t>
      </w:r>
      <w:r w:rsidR="0035610F" w:rsidRPr="00023854">
        <w:rPr>
          <w:rFonts w:ascii="Arial" w:hAnsi="Arial" w:cs="Arial"/>
        </w:rPr>
        <w:t>reservas,</w:t>
      </w:r>
      <w:r w:rsidRPr="00023854">
        <w:rPr>
          <w:rFonts w:ascii="Arial" w:hAnsi="Arial" w:cs="Arial"/>
        </w:rPr>
        <w:t xml:space="preserve"> sin zonas de conflicto transoceánicas, proporciona un suministro confiable para reabastecer la SPR y abastecer las </w:t>
      </w:r>
      <w:r w:rsidRPr="00023854">
        <w:rPr>
          <w:rFonts w:ascii="Arial" w:hAnsi="Arial" w:cs="Arial"/>
        </w:rPr>
        <w:lastRenderedPageBreak/>
        <w:t>refinerías estadounidenses con el tipo exacto de crudo pesado que requieren para mantener márgenes operativos rentables.</w:t>
      </w:r>
    </w:p>
    <w:p w14:paraId="3DEF6DB0" w14:textId="77777777" w:rsidR="0035610F" w:rsidRPr="00023854" w:rsidRDefault="0035610F" w:rsidP="00023854">
      <w:pPr>
        <w:adjustRightInd w:val="0"/>
        <w:snapToGrid w:val="0"/>
        <w:jc w:val="both"/>
        <w:rPr>
          <w:rFonts w:ascii="Arial" w:hAnsi="Arial" w:cs="Arial"/>
        </w:rPr>
      </w:pPr>
    </w:p>
    <w:p w14:paraId="254FCAC3" w14:textId="77777777" w:rsidR="00023854" w:rsidRDefault="00023854" w:rsidP="00023854">
      <w:pPr>
        <w:adjustRightInd w:val="0"/>
        <w:snapToGrid w:val="0"/>
        <w:jc w:val="both"/>
        <w:rPr>
          <w:rFonts w:ascii="Arial" w:hAnsi="Arial" w:cs="Arial"/>
        </w:rPr>
      </w:pPr>
      <w:r w:rsidRPr="00023854">
        <w:rPr>
          <w:rFonts w:ascii="Arial" w:hAnsi="Arial" w:cs="Arial"/>
        </w:rPr>
        <w:t>Finalmente, el marco jurídico de la OFAC diseña el acuerdo para extirpar cualquier residuo de influencia euroasiática en el hemisferio. Al prohibir la participación de China y Rusia en los nuevos consorcios (y obligar a PDVSA a centralizar las ventas bajo licencias de EE. UU.)</w:t>
      </w:r>
      <w:r w:rsidR="0035610F">
        <w:rPr>
          <w:rFonts w:ascii="Arial" w:hAnsi="Arial" w:cs="Arial"/>
        </w:rPr>
        <w:t>. Con esto,</w:t>
      </w:r>
      <w:r w:rsidRPr="00023854">
        <w:rPr>
          <w:rFonts w:ascii="Arial" w:hAnsi="Arial" w:cs="Arial"/>
        </w:rPr>
        <w:t xml:space="preserve"> la Doctrina Monroe se aplica al mercado energético, desarticulando los esfuerzos de Pekín y Moscú que durante años mantuvieron a flote al gobierno venezolano mediante préstamos respaldados con petróleo.</w:t>
      </w:r>
    </w:p>
    <w:p w14:paraId="01225BCF" w14:textId="77777777" w:rsidR="0035610F" w:rsidRPr="00023854" w:rsidRDefault="0035610F" w:rsidP="00023854">
      <w:pPr>
        <w:adjustRightInd w:val="0"/>
        <w:snapToGrid w:val="0"/>
        <w:jc w:val="both"/>
        <w:rPr>
          <w:rFonts w:ascii="Arial" w:hAnsi="Arial" w:cs="Arial"/>
        </w:rPr>
      </w:pPr>
    </w:p>
    <w:p w14:paraId="1E28B3D2" w14:textId="77777777" w:rsidR="00023854" w:rsidRPr="00C26B77" w:rsidRDefault="00023854" w:rsidP="00023854">
      <w:pPr>
        <w:adjustRightInd w:val="0"/>
        <w:snapToGrid w:val="0"/>
        <w:jc w:val="both"/>
        <w:outlineLvl w:val="1"/>
        <w:rPr>
          <w:rFonts w:ascii="Arial" w:hAnsi="Arial" w:cs="Arial"/>
          <w:b/>
          <w:bCs/>
          <w:sz w:val="40"/>
          <w:szCs w:val="40"/>
        </w:rPr>
      </w:pPr>
      <w:r w:rsidRPr="00023854">
        <w:rPr>
          <w:rFonts w:ascii="Arial" w:hAnsi="Arial" w:cs="Arial"/>
          <w:b/>
          <w:bCs/>
          <w:sz w:val="40"/>
          <w:szCs w:val="40"/>
        </w:rPr>
        <w:t xml:space="preserve">Implicaciones </w:t>
      </w:r>
      <w:r w:rsidR="0035610F" w:rsidRPr="00C26B77">
        <w:rPr>
          <w:rFonts w:ascii="Arial" w:hAnsi="Arial" w:cs="Arial"/>
          <w:b/>
          <w:bCs/>
          <w:sz w:val="40"/>
          <w:szCs w:val="40"/>
        </w:rPr>
        <w:t>socioeconómicas y el fantasma del "mal holandés"</w:t>
      </w:r>
    </w:p>
    <w:p w14:paraId="1A874BCB" w14:textId="77777777" w:rsidR="0035610F" w:rsidRPr="00023854" w:rsidRDefault="0035610F" w:rsidP="00023854">
      <w:pPr>
        <w:adjustRightInd w:val="0"/>
        <w:snapToGrid w:val="0"/>
        <w:jc w:val="both"/>
        <w:outlineLvl w:val="1"/>
        <w:rPr>
          <w:rFonts w:ascii="Arial" w:hAnsi="Arial" w:cs="Arial"/>
          <w:b/>
          <w:bCs/>
          <w:sz w:val="36"/>
          <w:szCs w:val="36"/>
        </w:rPr>
      </w:pPr>
    </w:p>
    <w:p w14:paraId="53737B2E" w14:textId="77777777" w:rsidR="0035610F" w:rsidRDefault="0035610F" w:rsidP="00023854">
      <w:pPr>
        <w:adjustRightInd w:val="0"/>
        <w:snapToGrid w:val="0"/>
        <w:jc w:val="both"/>
        <w:rPr>
          <w:rFonts w:ascii="Arial" w:hAnsi="Arial" w:cs="Arial"/>
        </w:rPr>
      </w:pPr>
      <w:r>
        <w:rPr>
          <w:rFonts w:ascii="Arial" w:hAnsi="Arial" w:cs="Arial"/>
        </w:rPr>
        <w:t xml:space="preserve">Venezuela ya había mostrado </w:t>
      </w:r>
      <w:r w:rsidRPr="00023854">
        <w:rPr>
          <w:rFonts w:ascii="Arial" w:hAnsi="Arial" w:cs="Arial"/>
        </w:rPr>
        <w:t xml:space="preserve">signos incipientes de </w:t>
      </w:r>
      <w:r>
        <w:rPr>
          <w:rFonts w:ascii="Arial" w:hAnsi="Arial" w:cs="Arial"/>
        </w:rPr>
        <w:t xml:space="preserve">mejora económica desde el 2021, aumentando importantemente las expectativas de crecimiento después del de enero de este año. </w:t>
      </w:r>
    </w:p>
    <w:p w14:paraId="10498066" w14:textId="77777777" w:rsidR="0035610F" w:rsidRDefault="0035610F" w:rsidP="00023854">
      <w:pPr>
        <w:adjustRightInd w:val="0"/>
        <w:snapToGrid w:val="0"/>
        <w:jc w:val="both"/>
        <w:rPr>
          <w:rFonts w:ascii="Arial" w:hAnsi="Arial" w:cs="Arial"/>
        </w:rPr>
      </w:pPr>
    </w:p>
    <w:p w14:paraId="6ECF7B67" w14:textId="77777777" w:rsidR="0035610F" w:rsidRDefault="0035610F" w:rsidP="00023854">
      <w:pPr>
        <w:adjustRightInd w:val="0"/>
        <w:snapToGrid w:val="0"/>
        <w:jc w:val="both"/>
        <w:rPr>
          <w:rFonts w:ascii="Arial" w:hAnsi="Arial" w:cs="Arial"/>
        </w:rPr>
      </w:pPr>
      <w:r>
        <w:rPr>
          <w:rFonts w:ascii="Arial" w:hAnsi="Arial" w:cs="Arial"/>
        </w:rPr>
        <w:t>No obstante, lograr una mejora estructural de una economía tan golpeada como la venezolana, requiere de ingentes inversiones en servicios públicos e infraestructura, así como una bien pensada visión de largo plazo, orientada a</w:t>
      </w:r>
      <w:r w:rsidR="004C356E">
        <w:rPr>
          <w:rFonts w:ascii="Arial" w:hAnsi="Arial" w:cs="Arial"/>
        </w:rPr>
        <w:t xml:space="preserve"> extensión del modelo rentista,</w:t>
      </w:r>
      <w:r>
        <w:rPr>
          <w:rFonts w:ascii="Arial" w:hAnsi="Arial" w:cs="Arial"/>
        </w:rPr>
        <w:t xml:space="preserve"> </w:t>
      </w:r>
      <w:r w:rsidR="004C356E">
        <w:rPr>
          <w:rFonts w:ascii="Arial" w:hAnsi="Arial" w:cs="Arial"/>
        </w:rPr>
        <w:t>una</w:t>
      </w:r>
      <w:r>
        <w:rPr>
          <w:rFonts w:ascii="Arial" w:hAnsi="Arial" w:cs="Arial"/>
        </w:rPr>
        <w:t xml:space="preserve"> disciplina fiscal y monetaria sostenidas,</w:t>
      </w:r>
      <w:r w:rsidR="004C356E">
        <w:rPr>
          <w:rFonts w:ascii="Arial" w:hAnsi="Arial" w:cs="Arial"/>
        </w:rPr>
        <w:t xml:space="preserve"> el logro de una</w:t>
      </w:r>
      <w:r>
        <w:rPr>
          <w:rFonts w:ascii="Arial" w:hAnsi="Arial" w:cs="Arial"/>
        </w:rPr>
        <w:t xml:space="preserve"> industrialización</w:t>
      </w:r>
      <w:r w:rsidR="004C356E">
        <w:rPr>
          <w:rFonts w:ascii="Arial" w:hAnsi="Arial" w:cs="Arial"/>
        </w:rPr>
        <w:t xml:space="preserve"> competitiva </w:t>
      </w:r>
      <w:r>
        <w:rPr>
          <w:rFonts w:ascii="Arial" w:hAnsi="Arial" w:cs="Arial"/>
        </w:rPr>
        <w:t>del país</w:t>
      </w:r>
      <w:r w:rsidR="004C356E">
        <w:rPr>
          <w:rFonts w:ascii="Arial" w:hAnsi="Arial" w:cs="Arial"/>
        </w:rPr>
        <w:t xml:space="preserve"> orientada a la erradicación de la </w:t>
      </w:r>
      <w:r w:rsidR="00C26B77">
        <w:rPr>
          <w:rFonts w:ascii="Arial" w:hAnsi="Arial" w:cs="Arial"/>
        </w:rPr>
        <w:t>“</w:t>
      </w:r>
      <w:r w:rsidR="004C356E">
        <w:rPr>
          <w:rFonts w:ascii="Arial" w:hAnsi="Arial" w:cs="Arial"/>
        </w:rPr>
        <w:t>primarización</w:t>
      </w:r>
      <w:r w:rsidR="00C26B77">
        <w:rPr>
          <w:rFonts w:ascii="Arial" w:hAnsi="Arial" w:cs="Arial"/>
        </w:rPr>
        <w:t>”</w:t>
      </w:r>
      <w:r w:rsidR="004C356E">
        <w:rPr>
          <w:rFonts w:ascii="Arial" w:hAnsi="Arial" w:cs="Arial"/>
        </w:rPr>
        <w:t xml:space="preserve"> de la economía </w:t>
      </w:r>
      <w:r>
        <w:rPr>
          <w:rFonts w:ascii="Arial" w:hAnsi="Arial" w:cs="Arial"/>
        </w:rPr>
        <w:t xml:space="preserve"> y la preparación de Venezuela para la </w:t>
      </w:r>
      <w:r w:rsidR="004C356E">
        <w:rPr>
          <w:rFonts w:ascii="Arial" w:hAnsi="Arial" w:cs="Arial"/>
        </w:rPr>
        <w:t>transición energética y menor dependencia mundial de los hidrocarburos.</w:t>
      </w:r>
    </w:p>
    <w:p w14:paraId="28BE2105" w14:textId="77777777" w:rsidR="004C356E" w:rsidRDefault="004C356E" w:rsidP="00023854">
      <w:pPr>
        <w:adjustRightInd w:val="0"/>
        <w:snapToGrid w:val="0"/>
        <w:jc w:val="both"/>
        <w:rPr>
          <w:rFonts w:ascii="Arial" w:hAnsi="Arial" w:cs="Arial"/>
        </w:rPr>
      </w:pPr>
    </w:p>
    <w:p w14:paraId="2105875F" w14:textId="77777777" w:rsidR="00023854" w:rsidRDefault="004C356E" w:rsidP="00023854">
      <w:pPr>
        <w:adjustRightInd w:val="0"/>
        <w:snapToGrid w:val="0"/>
        <w:jc w:val="both"/>
        <w:rPr>
          <w:rFonts w:ascii="Arial" w:hAnsi="Arial" w:cs="Arial"/>
        </w:rPr>
      </w:pPr>
      <w:r>
        <w:rPr>
          <w:rFonts w:ascii="Arial" w:hAnsi="Arial" w:cs="Arial"/>
        </w:rPr>
        <w:t>A la luz del nuevo acuerdo petrolero, ingresarán a Venezuela</w:t>
      </w:r>
      <w:r w:rsidR="00023854" w:rsidRPr="00023854">
        <w:rPr>
          <w:rFonts w:ascii="Arial" w:hAnsi="Arial" w:cs="Arial"/>
        </w:rPr>
        <w:t xml:space="preserve"> 209.000 millones de dólares proyectados sobre la base de 19 dólares de ganancia neta por barril </w:t>
      </w:r>
      <w:r w:rsidR="0035610F">
        <w:rPr>
          <w:rFonts w:ascii="Arial" w:hAnsi="Arial" w:cs="Arial"/>
        </w:rPr>
        <w:t>que se comercialice con los Estados Unidos</w:t>
      </w:r>
      <w:r>
        <w:rPr>
          <w:rFonts w:ascii="Arial" w:hAnsi="Arial" w:cs="Arial"/>
        </w:rPr>
        <w:t xml:space="preserve">. </w:t>
      </w:r>
      <w:r w:rsidR="00C26B77">
        <w:rPr>
          <w:rFonts w:ascii="Arial" w:hAnsi="Arial" w:cs="Arial"/>
        </w:rPr>
        <w:t xml:space="preserve"> </w:t>
      </w:r>
      <w:r>
        <w:rPr>
          <w:rFonts w:ascii="Arial" w:hAnsi="Arial" w:cs="Arial"/>
        </w:rPr>
        <w:t>Si bien esto puede ser muy favorable para Venezuela,</w:t>
      </w:r>
      <w:r w:rsidR="0035610F">
        <w:rPr>
          <w:rFonts w:ascii="Arial" w:hAnsi="Arial" w:cs="Arial"/>
        </w:rPr>
        <w:t xml:space="preserve"> </w:t>
      </w:r>
      <w:r>
        <w:rPr>
          <w:rFonts w:ascii="Arial" w:hAnsi="Arial" w:cs="Arial"/>
        </w:rPr>
        <w:t xml:space="preserve">también </w:t>
      </w:r>
      <w:r w:rsidR="00023854" w:rsidRPr="00023854">
        <w:rPr>
          <w:rFonts w:ascii="Arial" w:hAnsi="Arial" w:cs="Arial"/>
        </w:rPr>
        <w:t xml:space="preserve">representa </w:t>
      </w:r>
      <w:r w:rsidR="0035610F">
        <w:rPr>
          <w:rFonts w:ascii="Arial" w:hAnsi="Arial" w:cs="Arial"/>
        </w:rPr>
        <w:t>un</w:t>
      </w:r>
      <w:r>
        <w:rPr>
          <w:rFonts w:ascii="Arial" w:hAnsi="Arial" w:cs="Arial"/>
        </w:rPr>
        <w:t xml:space="preserve"> </w:t>
      </w:r>
      <w:r w:rsidR="00023854" w:rsidRPr="00023854">
        <w:rPr>
          <w:rFonts w:ascii="Arial" w:hAnsi="Arial" w:cs="Arial"/>
        </w:rPr>
        <w:t xml:space="preserve">reto </w:t>
      </w:r>
      <w:r>
        <w:rPr>
          <w:rFonts w:ascii="Arial" w:hAnsi="Arial" w:cs="Arial"/>
        </w:rPr>
        <w:t>macro</w:t>
      </w:r>
      <w:r w:rsidR="00023854" w:rsidRPr="00023854">
        <w:rPr>
          <w:rFonts w:ascii="Arial" w:hAnsi="Arial" w:cs="Arial"/>
        </w:rPr>
        <w:t>económico</w:t>
      </w:r>
      <w:r>
        <w:rPr>
          <w:rFonts w:ascii="Arial" w:hAnsi="Arial" w:cs="Arial"/>
        </w:rPr>
        <w:t xml:space="preserve"> para el país,</w:t>
      </w:r>
      <w:r w:rsidR="00023854" w:rsidRPr="00023854">
        <w:rPr>
          <w:rFonts w:ascii="Arial" w:hAnsi="Arial" w:cs="Arial"/>
        </w:rPr>
        <w:t xml:space="preserve"> </w:t>
      </w:r>
      <w:r>
        <w:rPr>
          <w:rFonts w:ascii="Arial" w:hAnsi="Arial" w:cs="Arial"/>
        </w:rPr>
        <w:t xml:space="preserve">ya que </w:t>
      </w:r>
      <w:r w:rsidR="00023854" w:rsidRPr="00023854">
        <w:rPr>
          <w:rFonts w:ascii="Arial" w:hAnsi="Arial" w:cs="Arial"/>
        </w:rPr>
        <w:t>la historia de Venezuela es un compendio de desastres</w:t>
      </w:r>
      <w:r w:rsidR="00C26B77">
        <w:rPr>
          <w:rFonts w:ascii="Arial" w:hAnsi="Arial" w:cs="Arial"/>
        </w:rPr>
        <w:t xml:space="preserve"> económicos</w:t>
      </w:r>
      <w:r w:rsidR="00023854" w:rsidRPr="00023854">
        <w:rPr>
          <w:rFonts w:ascii="Arial" w:hAnsi="Arial" w:cs="Arial"/>
        </w:rPr>
        <w:t xml:space="preserve"> ligados a los auges de liquidez ext</w:t>
      </w:r>
      <w:r w:rsidR="0035610F">
        <w:rPr>
          <w:rFonts w:ascii="Arial" w:hAnsi="Arial" w:cs="Arial"/>
        </w:rPr>
        <w:t>erna</w:t>
      </w:r>
      <w:r w:rsidR="00C26B77">
        <w:rPr>
          <w:rFonts w:ascii="Arial" w:hAnsi="Arial" w:cs="Arial"/>
        </w:rPr>
        <w:t>.</w:t>
      </w:r>
    </w:p>
    <w:p w14:paraId="6C271715" w14:textId="77777777" w:rsidR="0035610F" w:rsidRPr="00023854" w:rsidRDefault="0035610F" w:rsidP="00023854">
      <w:pPr>
        <w:adjustRightInd w:val="0"/>
        <w:snapToGrid w:val="0"/>
        <w:jc w:val="both"/>
        <w:rPr>
          <w:rFonts w:ascii="Arial" w:hAnsi="Arial" w:cs="Arial"/>
        </w:rPr>
      </w:pPr>
    </w:p>
    <w:p w14:paraId="32AD7D16" w14:textId="77777777" w:rsidR="00023854" w:rsidRDefault="00023854" w:rsidP="00023854">
      <w:pPr>
        <w:adjustRightInd w:val="0"/>
        <w:snapToGrid w:val="0"/>
        <w:jc w:val="both"/>
        <w:outlineLvl w:val="2"/>
        <w:rPr>
          <w:rFonts w:ascii="Arial" w:hAnsi="Arial" w:cs="Arial"/>
          <w:b/>
          <w:bCs/>
          <w:sz w:val="27"/>
          <w:szCs w:val="27"/>
        </w:rPr>
      </w:pPr>
      <w:r w:rsidRPr="00023854">
        <w:rPr>
          <w:rFonts w:ascii="Arial" w:hAnsi="Arial" w:cs="Arial"/>
          <w:b/>
          <w:bCs/>
          <w:sz w:val="27"/>
          <w:szCs w:val="27"/>
        </w:rPr>
        <w:t xml:space="preserve">La </w:t>
      </w:r>
      <w:r w:rsidR="00C26B77" w:rsidRPr="00023854">
        <w:rPr>
          <w:rFonts w:ascii="Arial" w:hAnsi="Arial" w:cs="Arial"/>
          <w:b/>
          <w:bCs/>
          <w:sz w:val="27"/>
          <w:szCs w:val="27"/>
        </w:rPr>
        <w:t>transmisión de la enfermedad macroeconómica</w:t>
      </w:r>
    </w:p>
    <w:p w14:paraId="44A48398" w14:textId="77777777" w:rsidR="00C26B77" w:rsidRDefault="00C26B77" w:rsidP="00023854">
      <w:pPr>
        <w:adjustRightInd w:val="0"/>
        <w:snapToGrid w:val="0"/>
        <w:jc w:val="both"/>
        <w:rPr>
          <w:rFonts w:ascii="Arial" w:hAnsi="Arial" w:cs="Arial"/>
        </w:rPr>
      </w:pPr>
    </w:p>
    <w:p w14:paraId="76592672" w14:textId="77777777" w:rsidR="00023854" w:rsidRDefault="00023854" w:rsidP="00023854">
      <w:pPr>
        <w:adjustRightInd w:val="0"/>
        <w:snapToGrid w:val="0"/>
        <w:jc w:val="both"/>
        <w:rPr>
          <w:rFonts w:ascii="Arial" w:hAnsi="Arial" w:cs="Arial"/>
        </w:rPr>
      </w:pPr>
      <w:r w:rsidRPr="00023854">
        <w:rPr>
          <w:rFonts w:ascii="Arial" w:hAnsi="Arial" w:cs="Arial"/>
        </w:rPr>
        <w:t>El mecanismo</w:t>
      </w:r>
      <w:r w:rsidR="00E2644A">
        <w:rPr>
          <w:rFonts w:ascii="Arial" w:hAnsi="Arial" w:cs="Arial"/>
        </w:rPr>
        <w:t xml:space="preserve"> del “mal holandés”, que tantas veces ha pasado a Venezuela a lo largo de la historia contemporánea,</w:t>
      </w:r>
      <w:r w:rsidRPr="00023854">
        <w:rPr>
          <w:rFonts w:ascii="Arial" w:hAnsi="Arial" w:cs="Arial"/>
        </w:rPr>
        <w:t xml:space="preserve"> </w:t>
      </w:r>
      <w:r w:rsidR="00E2644A">
        <w:rPr>
          <w:rFonts w:ascii="Arial" w:hAnsi="Arial" w:cs="Arial"/>
        </w:rPr>
        <w:t>ha sido</w:t>
      </w:r>
      <w:r w:rsidRPr="00023854">
        <w:rPr>
          <w:rFonts w:ascii="Arial" w:hAnsi="Arial" w:cs="Arial"/>
        </w:rPr>
        <w:t xml:space="preserve"> implacable: la afluencia masiva y repentina de divisas (petrodólares) al </w:t>
      </w:r>
      <w:r w:rsidR="00E2644A">
        <w:rPr>
          <w:rFonts w:ascii="Arial" w:hAnsi="Arial" w:cs="Arial"/>
        </w:rPr>
        <w:t xml:space="preserve">país </w:t>
      </w:r>
      <w:r w:rsidRPr="00023854">
        <w:rPr>
          <w:rFonts w:ascii="Arial" w:hAnsi="Arial" w:cs="Arial"/>
        </w:rPr>
        <w:t xml:space="preserve">provoca una rápida apreciación real del tipo de cambio del bolívar frente al dólar. Al fortalecerse artificialmente la moneda local, los bienes transables importados se vuelven más baratos que los producidos internamente. Como resultado, la precaria industria manufacturera y el incipiente sector agrícola venezolano, que luchan por sobrevivir al shock post-sanciones, perderán toda competitividad. </w:t>
      </w:r>
      <w:r w:rsidR="00E2644A">
        <w:rPr>
          <w:rFonts w:ascii="Arial" w:hAnsi="Arial" w:cs="Arial"/>
        </w:rPr>
        <w:t>En consecuencia, e</w:t>
      </w:r>
      <w:r w:rsidRPr="00023854">
        <w:rPr>
          <w:rFonts w:ascii="Arial" w:hAnsi="Arial" w:cs="Arial"/>
        </w:rPr>
        <w:t xml:space="preserve">l país abandonará la producción interna, retornando al letal modelo de "economía de puertos", donde resulta más </w:t>
      </w:r>
      <w:r w:rsidRPr="00023854">
        <w:rPr>
          <w:rFonts w:ascii="Arial" w:hAnsi="Arial" w:cs="Arial"/>
        </w:rPr>
        <w:lastRenderedPageBreak/>
        <w:t>económico importar un kilo de tomates de Colombia o Brasil que sembrarlo en Los Andes venezolanos.</w:t>
      </w:r>
    </w:p>
    <w:p w14:paraId="5524E783" w14:textId="77777777" w:rsidR="00E2644A" w:rsidRPr="00023854" w:rsidRDefault="00E2644A" w:rsidP="00023854">
      <w:pPr>
        <w:adjustRightInd w:val="0"/>
        <w:snapToGrid w:val="0"/>
        <w:jc w:val="both"/>
        <w:rPr>
          <w:rFonts w:ascii="Arial" w:hAnsi="Arial" w:cs="Arial"/>
        </w:rPr>
      </w:pPr>
    </w:p>
    <w:p w14:paraId="03D26F6D" w14:textId="77777777" w:rsidR="00023854" w:rsidRDefault="00E2644A" w:rsidP="00023854">
      <w:pPr>
        <w:adjustRightInd w:val="0"/>
        <w:snapToGrid w:val="0"/>
        <w:jc w:val="both"/>
        <w:rPr>
          <w:rFonts w:ascii="Arial" w:hAnsi="Arial" w:cs="Arial"/>
        </w:rPr>
      </w:pPr>
      <w:r>
        <w:rPr>
          <w:rFonts w:ascii="Arial" w:hAnsi="Arial" w:cs="Arial"/>
        </w:rPr>
        <w:t xml:space="preserve">El “mal holandés”, en conjunto con la visión a corto plazo de nosotros los venezolanos, ha impedido el desarrollo industrial del país desde que iniciara el auge de la industria petrolera en la década del 1950. </w:t>
      </w:r>
      <w:r w:rsidR="00B30752">
        <w:rPr>
          <w:rFonts w:ascii="Arial" w:hAnsi="Arial" w:cs="Arial"/>
        </w:rPr>
        <w:t>Además,</w:t>
      </w:r>
      <w:r w:rsidR="00023854" w:rsidRPr="00023854">
        <w:rPr>
          <w:rFonts w:ascii="Arial" w:hAnsi="Arial" w:cs="Arial"/>
        </w:rPr>
        <w:t xml:space="preserve"> destruyó la matriz productiva durante el </w:t>
      </w:r>
      <w:r w:rsidR="00023854" w:rsidRPr="00023854">
        <w:rPr>
          <w:rFonts w:ascii="Arial" w:hAnsi="Arial" w:cs="Arial"/>
          <w:i/>
          <w:iCs/>
        </w:rPr>
        <w:t>boom</w:t>
      </w:r>
      <w:r w:rsidR="00023854" w:rsidRPr="00023854">
        <w:rPr>
          <w:rFonts w:ascii="Arial" w:hAnsi="Arial" w:cs="Arial"/>
        </w:rPr>
        <w:t xml:space="preserve"> de precios</w:t>
      </w:r>
      <w:r>
        <w:rPr>
          <w:rFonts w:ascii="Arial" w:hAnsi="Arial" w:cs="Arial"/>
        </w:rPr>
        <w:t xml:space="preserve"> </w:t>
      </w:r>
      <w:r w:rsidR="00B30752">
        <w:rPr>
          <w:rFonts w:ascii="Arial" w:hAnsi="Arial" w:cs="Arial"/>
        </w:rPr>
        <w:t>del crudo</w:t>
      </w:r>
      <w:r w:rsidR="00023854" w:rsidRPr="00023854">
        <w:rPr>
          <w:rFonts w:ascii="Arial" w:hAnsi="Arial" w:cs="Arial"/>
        </w:rPr>
        <w:t xml:space="preserve"> entre 2004 y 2012, dejando al país totalmente vulnerable</w:t>
      </w:r>
      <w:r w:rsidR="00B30752">
        <w:rPr>
          <w:rFonts w:ascii="Arial" w:hAnsi="Arial" w:cs="Arial"/>
        </w:rPr>
        <w:t xml:space="preserve"> desde el punto de vista económico,</w:t>
      </w:r>
      <w:r w:rsidR="00023854" w:rsidRPr="00023854">
        <w:rPr>
          <w:rFonts w:ascii="Arial" w:hAnsi="Arial" w:cs="Arial"/>
        </w:rPr>
        <w:t xml:space="preserve"> cuando los ingresos petroleros colapsaron a partir de </w:t>
      </w:r>
      <w:r w:rsidR="00B30752">
        <w:rPr>
          <w:rFonts w:ascii="Arial" w:hAnsi="Arial" w:cs="Arial"/>
        </w:rPr>
        <w:t>las sanciones generales de la OFAC en 2017. L</w:t>
      </w:r>
      <w:r w:rsidR="00023854" w:rsidRPr="00023854">
        <w:rPr>
          <w:rFonts w:ascii="Arial" w:hAnsi="Arial" w:cs="Arial"/>
        </w:rPr>
        <w:t>o</w:t>
      </w:r>
      <w:r w:rsidR="00B30752">
        <w:rPr>
          <w:rFonts w:ascii="Arial" w:hAnsi="Arial" w:cs="Arial"/>
        </w:rPr>
        <w:t xml:space="preserve"> mencionado,</w:t>
      </w:r>
      <w:r w:rsidR="00023854" w:rsidRPr="00023854">
        <w:rPr>
          <w:rFonts w:ascii="Arial" w:hAnsi="Arial" w:cs="Arial"/>
        </w:rPr>
        <w:t xml:space="preserve"> derivó en escasez crónica, una hiperinflación superior al 1</w:t>
      </w:r>
      <w:r w:rsidR="00B30752">
        <w:rPr>
          <w:rFonts w:ascii="Arial" w:hAnsi="Arial" w:cs="Arial"/>
        </w:rPr>
        <w:t xml:space="preserve">.500.000 </w:t>
      </w:r>
      <w:r w:rsidR="00023854" w:rsidRPr="00023854">
        <w:rPr>
          <w:rFonts w:ascii="Arial" w:hAnsi="Arial" w:cs="Arial"/>
        </w:rPr>
        <w:t>% y la destrucción del 80% del PIB.</w:t>
      </w:r>
    </w:p>
    <w:p w14:paraId="3B094C1D" w14:textId="77777777" w:rsidR="00B30752" w:rsidRPr="00023854" w:rsidRDefault="00B30752" w:rsidP="00023854">
      <w:pPr>
        <w:adjustRightInd w:val="0"/>
        <w:snapToGrid w:val="0"/>
        <w:jc w:val="both"/>
        <w:rPr>
          <w:rFonts w:ascii="Arial" w:hAnsi="Arial" w:cs="Arial"/>
        </w:rPr>
      </w:pPr>
    </w:p>
    <w:p w14:paraId="6EB9D21E" w14:textId="77777777" w:rsidR="00023854" w:rsidRDefault="00023854" w:rsidP="00023854">
      <w:pPr>
        <w:adjustRightInd w:val="0"/>
        <w:snapToGrid w:val="0"/>
        <w:jc w:val="both"/>
        <w:rPr>
          <w:rFonts w:ascii="Arial" w:hAnsi="Arial" w:cs="Arial"/>
        </w:rPr>
      </w:pPr>
      <w:r w:rsidRPr="00023854">
        <w:rPr>
          <w:rFonts w:ascii="Arial" w:hAnsi="Arial" w:cs="Arial"/>
        </w:rPr>
        <w:t xml:space="preserve">Para que este histórico pacto petrolero con Estados Unidos sea un motor de desarrollo y no una sentencia de muerte para la economía no petrolera, la política fiscal del gobierno </w:t>
      </w:r>
      <w:r w:rsidR="00B30752">
        <w:rPr>
          <w:rFonts w:ascii="Arial" w:hAnsi="Arial" w:cs="Arial"/>
        </w:rPr>
        <w:t xml:space="preserve">venezolano </w:t>
      </w:r>
      <w:r w:rsidRPr="00023854">
        <w:rPr>
          <w:rFonts w:ascii="Arial" w:hAnsi="Arial" w:cs="Arial"/>
        </w:rPr>
        <w:t xml:space="preserve">debe adoptar una postura de esterilización rigurosa. En lugar de monetizar los ingresos para financiar gasto público corriente, subsidios o clientelismo, los dólares deben inyectarse exclusivamente en la reconstrucción del capital fijo de la nación: la recuperación de la </w:t>
      </w:r>
      <w:r w:rsidR="00B30752">
        <w:rPr>
          <w:rFonts w:ascii="Arial" w:hAnsi="Arial" w:cs="Arial"/>
        </w:rPr>
        <w:t xml:space="preserve">infraestructura, incluyendo la </w:t>
      </w:r>
      <w:r w:rsidRPr="00023854">
        <w:rPr>
          <w:rFonts w:ascii="Arial" w:hAnsi="Arial" w:cs="Arial"/>
        </w:rPr>
        <w:t>red eléctrica</w:t>
      </w:r>
      <w:r w:rsidR="00B30752">
        <w:rPr>
          <w:rFonts w:ascii="Arial" w:hAnsi="Arial" w:cs="Arial"/>
        </w:rPr>
        <w:t xml:space="preserve"> nacional</w:t>
      </w:r>
      <w:r w:rsidRPr="00023854">
        <w:rPr>
          <w:rFonts w:ascii="Arial" w:hAnsi="Arial" w:cs="Arial"/>
        </w:rPr>
        <w:t xml:space="preserve">, el saneamiento de las cuencas hídricas, la modernización de los puertos, la tecnología agrícola y la educación técnica de alto </w:t>
      </w:r>
      <w:r w:rsidR="00B30752" w:rsidRPr="00023854">
        <w:rPr>
          <w:rFonts w:ascii="Arial" w:hAnsi="Arial" w:cs="Arial"/>
        </w:rPr>
        <w:t>nivel.</w:t>
      </w:r>
    </w:p>
    <w:p w14:paraId="69BEC414" w14:textId="77777777" w:rsidR="00B30752" w:rsidRDefault="00B30752" w:rsidP="00023854">
      <w:pPr>
        <w:adjustRightInd w:val="0"/>
        <w:snapToGrid w:val="0"/>
        <w:jc w:val="both"/>
        <w:rPr>
          <w:rFonts w:ascii="Arial" w:hAnsi="Arial" w:cs="Arial"/>
        </w:rPr>
      </w:pPr>
    </w:p>
    <w:tbl>
      <w:tblPr>
        <w:tblStyle w:val="Tablaconcuadrcula"/>
        <w:tblW w:w="8826" w:type="dxa"/>
        <w:tblLook w:val="04A0" w:firstRow="1" w:lastRow="0" w:firstColumn="1" w:lastColumn="0" w:noHBand="0" w:noVBand="1"/>
      </w:tblPr>
      <w:tblGrid>
        <w:gridCol w:w="1977"/>
        <w:gridCol w:w="3405"/>
        <w:gridCol w:w="3444"/>
      </w:tblGrid>
      <w:tr w:rsidR="00B30752" w14:paraId="1C279534" w14:textId="77777777" w:rsidTr="00B30752">
        <w:tc>
          <w:tcPr>
            <w:tcW w:w="1977" w:type="dxa"/>
            <w:vAlign w:val="center"/>
          </w:tcPr>
          <w:p w14:paraId="567524C8" w14:textId="77777777" w:rsidR="00B30752" w:rsidRDefault="00B30752" w:rsidP="00B30752">
            <w:pPr>
              <w:adjustRightInd w:val="0"/>
              <w:snapToGrid w:val="0"/>
              <w:jc w:val="both"/>
              <w:rPr>
                <w:rFonts w:ascii="Arial" w:hAnsi="Arial" w:cs="Arial"/>
              </w:rPr>
            </w:pPr>
            <w:r w:rsidRPr="00023854">
              <w:rPr>
                <w:rFonts w:ascii="Arial" w:hAnsi="Arial" w:cs="Arial"/>
                <w:b/>
                <w:bCs/>
              </w:rPr>
              <w:t>Factor evaluado</w:t>
            </w:r>
          </w:p>
        </w:tc>
        <w:tc>
          <w:tcPr>
            <w:tcW w:w="3405" w:type="dxa"/>
            <w:vAlign w:val="center"/>
          </w:tcPr>
          <w:p w14:paraId="6710ED9D" w14:textId="77777777" w:rsidR="00B30752" w:rsidRDefault="00B30752" w:rsidP="00B30752">
            <w:pPr>
              <w:adjustRightInd w:val="0"/>
              <w:snapToGrid w:val="0"/>
              <w:jc w:val="both"/>
              <w:rPr>
                <w:rFonts w:ascii="Arial" w:hAnsi="Arial" w:cs="Arial"/>
              </w:rPr>
            </w:pPr>
            <w:r w:rsidRPr="00023854">
              <w:rPr>
                <w:rFonts w:ascii="Arial" w:hAnsi="Arial" w:cs="Arial"/>
                <w:b/>
                <w:bCs/>
              </w:rPr>
              <w:t>Ventajas estratégicas y económicas</w:t>
            </w:r>
          </w:p>
        </w:tc>
        <w:tc>
          <w:tcPr>
            <w:tcW w:w="3444" w:type="dxa"/>
            <w:vAlign w:val="center"/>
          </w:tcPr>
          <w:p w14:paraId="0F787B87" w14:textId="77777777" w:rsidR="00B30752" w:rsidRDefault="00B30752" w:rsidP="00B30752">
            <w:pPr>
              <w:adjustRightInd w:val="0"/>
              <w:snapToGrid w:val="0"/>
              <w:jc w:val="both"/>
              <w:rPr>
                <w:rFonts w:ascii="Arial" w:hAnsi="Arial" w:cs="Arial"/>
              </w:rPr>
            </w:pPr>
            <w:r w:rsidRPr="00023854">
              <w:rPr>
                <w:rFonts w:ascii="Arial" w:hAnsi="Arial" w:cs="Arial"/>
                <w:b/>
                <w:bCs/>
              </w:rPr>
              <w:t>Desventajas, riesgos e implicaciones</w:t>
            </w:r>
          </w:p>
        </w:tc>
      </w:tr>
      <w:tr w:rsidR="00B30752" w14:paraId="186F0966" w14:textId="77777777" w:rsidTr="00B30752">
        <w:tc>
          <w:tcPr>
            <w:tcW w:w="1977" w:type="dxa"/>
            <w:vAlign w:val="center"/>
          </w:tcPr>
          <w:p w14:paraId="3593B758" w14:textId="77777777" w:rsidR="00B30752" w:rsidRDefault="00B30752" w:rsidP="00B30752">
            <w:pPr>
              <w:adjustRightInd w:val="0"/>
              <w:snapToGrid w:val="0"/>
              <w:jc w:val="both"/>
              <w:rPr>
                <w:rFonts w:ascii="Arial" w:hAnsi="Arial" w:cs="Arial"/>
              </w:rPr>
            </w:pPr>
            <w:r w:rsidRPr="00023854">
              <w:rPr>
                <w:rFonts w:ascii="Arial" w:hAnsi="Arial" w:cs="Arial"/>
                <w:b/>
                <w:bCs/>
              </w:rPr>
              <w:t>Financiamiento e inversión</w:t>
            </w:r>
          </w:p>
        </w:tc>
        <w:tc>
          <w:tcPr>
            <w:tcW w:w="3405" w:type="dxa"/>
            <w:vAlign w:val="center"/>
          </w:tcPr>
          <w:p w14:paraId="7EED816F" w14:textId="77777777" w:rsidR="00B30752" w:rsidRDefault="00B30752" w:rsidP="00B30752">
            <w:pPr>
              <w:adjustRightInd w:val="0"/>
              <w:snapToGrid w:val="0"/>
              <w:jc w:val="both"/>
              <w:rPr>
                <w:rFonts w:ascii="Arial" w:hAnsi="Arial" w:cs="Arial"/>
              </w:rPr>
            </w:pPr>
            <w:r w:rsidRPr="00023854">
              <w:rPr>
                <w:rFonts w:ascii="Arial" w:hAnsi="Arial" w:cs="Arial"/>
              </w:rPr>
              <w:t>Atracción de capital masivo ($100.000M Capex) revirtiendo la parálisis y atrayendo tecnología transnacional.</w:t>
            </w:r>
          </w:p>
        </w:tc>
        <w:tc>
          <w:tcPr>
            <w:tcW w:w="3444" w:type="dxa"/>
            <w:vAlign w:val="center"/>
          </w:tcPr>
          <w:p w14:paraId="788B70B0" w14:textId="77777777" w:rsidR="00B30752" w:rsidRDefault="00B30752" w:rsidP="00B30752">
            <w:pPr>
              <w:adjustRightInd w:val="0"/>
              <w:snapToGrid w:val="0"/>
              <w:jc w:val="both"/>
              <w:rPr>
                <w:rFonts w:ascii="Arial" w:hAnsi="Arial" w:cs="Arial"/>
              </w:rPr>
            </w:pPr>
            <w:r w:rsidRPr="00023854">
              <w:rPr>
                <w:rFonts w:ascii="Arial" w:hAnsi="Arial" w:cs="Arial"/>
              </w:rPr>
              <w:t>Monetización abrupta de la renta podría desencadenar la Enfermedad Holandesa, destruyendo la competitividad industrial local.</w:t>
            </w:r>
          </w:p>
        </w:tc>
      </w:tr>
      <w:tr w:rsidR="00B30752" w14:paraId="67BF9128" w14:textId="77777777" w:rsidTr="00B30752">
        <w:tc>
          <w:tcPr>
            <w:tcW w:w="1977" w:type="dxa"/>
            <w:vAlign w:val="center"/>
          </w:tcPr>
          <w:p w14:paraId="76C85276" w14:textId="77777777" w:rsidR="00B30752" w:rsidRDefault="00B30752" w:rsidP="00B30752">
            <w:pPr>
              <w:adjustRightInd w:val="0"/>
              <w:snapToGrid w:val="0"/>
              <w:jc w:val="both"/>
              <w:rPr>
                <w:rFonts w:ascii="Arial" w:hAnsi="Arial" w:cs="Arial"/>
              </w:rPr>
            </w:pPr>
            <w:r w:rsidRPr="00023854">
              <w:rPr>
                <w:rFonts w:ascii="Arial" w:hAnsi="Arial" w:cs="Arial"/>
                <w:b/>
                <w:bCs/>
              </w:rPr>
              <w:t>Arquitectura sancionatoria</w:t>
            </w:r>
          </w:p>
        </w:tc>
        <w:tc>
          <w:tcPr>
            <w:tcW w:w="3405" w:type="dxa"/>
            <w:vAlign w:val="center"/>
          </w:tcPr>
          <w:p w14:paraId="7E1072D9" w14:textId="77777777" w:rsidR="00B30752" w:rsidRDefault="00B30752" w:rsidP="00B30752">
            <w:pPr>
              <w:adjustRightInd w:val="0"/>
              <w:snapToGrid w:val="0"/>
              <w:jc w:val="both"/>
              <w:rPr>
                <w:rFonts w:ascii="Arial" w:hAnsi="Arial" w:cs="Arial"/>
              </w:rPr>
            </w:pPr>
            <w:r w:rsidRPr="00023854">
              <w:rPr>
                <w:rFonts w:ascii="Arial" w:hAnsi="Arial" w:cs="Arial"/>
              </w:rPr>
              <w:t>El "ring-fencing" vía E</w:t>
            </w:r>
            <w:r>
              <w:rPr>
                <w:rFonts w:ascii="Arial" w:hAnsi="Arial" w:cs="Arial"/>
              </w:rPr>
              <w:t>.</w:t>
            </w:r>
            <w:r w:rsidRPr="00023854">
              <w:rPr>
                <w:rFonts w:ascii="Arial" w:hAnsi="Arial" w:cs="Arial"/>
              </w:rPr>
              <w:t>O</w:t>
            </w:r>
            <w:r>
              <w:rPr>
                <w:rFonts w:ascii="Arial" w:hAnsi="Arial" w:cs="Arial"/>
              </w:rPr>
              <w:t>.</w:t>
            </w:r>
            <w:r w:rsidRPr="00023854">
              <w:rPr>
                <w:rFonts w:ascii="Arial" w:hAnsi="Arial" w:cs="Arial"/>
              </w:rPr>
              <w:t xml:space="preserve"> 14373 protege los $209.000M de ingresos fiscales frente a embargos de acreedores soberanos.</w:t>
            </w:r>
          </w:p>
        </w:tc>
        <w:tc>
          <w:tcPr>
            <w:tcW w:w="3444" w:type="dxa"/>
            <w:vAlign w:val="center"/>
          </w:tcPr>
          <w:p w14:paraId="5812E3F2" w14:textId="77777777" w:rsidR="00B30752" w:rsidRDefault="00B30752" w:rsidP="00B30752">
            <w:pPr>
              <w:adjustRightInd w:val="0"/>
              <w:snapToGrid w:val="0"/>
              <w:jc w:val="both"/>
              <w:rPr>
                <w:rFonts w:ascii="Arial" w:hAnsi="Arial" w:cs="Arial"/>
              </w:rPr>
            </w:pPr>
            <w:r w:rsidRPr="00023854">
              <w:rPr>
                <w:rFonts w:ascii="Arial" w:hAnsi="Arial" w:cs="Arial"/>
              </w:rPr>
              <w:t>Condiciona el 100% de la arquitectura petrolera nacional al Departamento del Tesoro de EE. UU. (pérdida de autonomía fiscal).</w:t>
            </w:r>
          </w:p>
        </w:tc>
      </w:tr>
      <w:tr w:rsidR="00B30752" w14:paraId="3B0E058E" w14:textId="77777777" w:rsidTr="00B30752">
        <w:tc>
          <w:tcPr>
            <w:tcW w:w="1977" w:type="dxa"/>
            <w:vAlign w:val="center"/>
          </w:tcPr>
          <w:p w14:paraId="3B3087FE" w14:textId="77777777" w:rsidR="00B30752" w:rsidRDefault="00B30752" w:rsidP="00B30752">
            <w:pPr>
              <w:adjustRightInd w:val="0"/>
              <w:snapToGrid w:val="0"/>
              <w:jc w:val="both"/>
              <w:rPr>
                <w:rFonts w:ascii="Arial" w:hAnsi="Arial" w:cs="Arial"/>
              </w:rPr>
            </w:pPr>
            <w:r w:rsidRPr="00023854">
              <w:rPr>
                <w:rFonts w:ascii="Arial" w:hAnsi="Arial" w:cs="Arial"/>
                <w:b/>
                <w:bCs/>
              </w:rPr>
              <w:t>Geopolítica energética</w:t>
            </w:r>
          </w:p>
        </w:tc>
        <w:tc>
          <w:tcPr>
            <w:tcW w:w="3405" w:type="dxa"/>
            <w:vAlign w:val="center"/>
          </w:tcPr>
          <w:p w14:paraId="4FDDFAA8" w14:textId="77777777" w:rsidR="00B30752" w:rsidRDefault="00B30752" w:rsidP="00B30752">
            <w:pPr>
              <w:adjustRightInd w:val="0"/>
              <w:snapToGrid w:val="0"/>
              <w:jc w:val="both"/>
              <w:rPr>
                <w:rFonts w:ascii="Arial" w:hAnsi="Arial" w:cs="Arial"/>
              </w:rPr>
            </w:pPr>
            <w:r w:rsidRPr="00023854">
              <w:rPr>
                <w:rFonts w:ascii="Arial" w:hAnsi="Arial" w:cs="Arial"/>
              </w:rPr>
              <w:t>Venezuela se inserta nuevamente como socio prioritario de EE. UU., recibiendo garantías diplomáticas y operativas.</w:t>
            </w:r>
          </w:p>
        </w:tc>
        <w:tc>
          <w:tcPr>
            <w:tcW w:w="3444" w:type="dxa"/>
            <w:vAlign w:val="center"/>
          </w:tcPr>
          <w:p w14:paraId="11E5E1A4" w14:textId="77777777" w:rsidR="00B30752" w:rsidRDefault="00B30752" w:rsidP="00B30752">
            <w:pPr>
              <w:adjustRightInd w:val="0"/>
              <w:snapToGrid w:val="0"/>
              <w:jc w:val="both"/>
              <w:rPr>
                <w:rFonts w:ascii="Arial" w:hAnsi="Arial" w:cs="Arial"/>
              </w:rPr>
            </w:pPr>
            <w:r w:rsidRPr="00023854">
              <w:rPr>
                <w:rFonts w:ascii="Arial" w:hAnsi="Arial" w:cs="Arial"/>
              </w:rPr>
              <w:t>Posible retiro de la OPEP y hostilidad comercial con potencias del bloque BRICS, alienando a aliados históricos en Asia.</w:t>
            </w:r>
          </w:p>
        </w:tc>
      </w:tr>
      <w:tr w:rsidR="00B30752" w14:paraId="57B81382" w14:textId="77777777" w:rsidTr="00B30752">
        <w:tc>
          <w:tcPr>
            <w:tcW w:w="1977" w:type="dxa"/>
            <w:vAlign w:val="center"/>
          </w:tcPr>
          <w:p w14:paraId="23F7DC2C" w14:textId="77777777" w:rsidR="00B30752" w:rsidRDefault="00B30752" w:rsidP="00B30752">
            <w:pPr>
              <w:adjustRightInd w:val="0"/>
              <w:snapToGrid w:val="0"/>
              <w:jc w:val="both"/>
              <w:rPr>
                <w:rFonts w:ascii="Arial" w:hAnsi="Arial" w:cs="Arial"/>
              </w:rPr>
            </w:pPr>
            <w:r w:rsidRPr="00023854">
              <w:rPr>
                <w:rFonts w:ascii="Arial" w:hAnsi="Arial" w:cs="Arial"/>
                <w:b/>
                <w:bCs/>
              </w:rPr>
              <w:t>Infraestructura (CITGO)</w:t>
            </w:r>
          </w:p>
        </w:tc>
        <w:tc>
          <w:tcPr>
            <w:tcW w:w="3405" w:type="dxa"/>
            <w:vAlign w:val="center"/>
          </w:tcPr>
          <w:p w14:paraId="76C657AD" w14:textId="77777777" w:rsidR="00B30752" w:rsidRDefault="00B30752" w:rsidP="00B30752">
            <w:pPr>
              <w:adjustRightInd w:val="0"/>
              <w:snapToGrid w:val="0"/>
              <w:jc w:val="both"/>
              <w:rPr>
                <w:rFonts w:ascii="Arial" w:hAnsi="Arial" w:cs="Arial"/>
              </w:rPr>
            </w:pPr>
            <w:r w:rsidRPr="00023854">
              <w:rPr>
                <w:rFonts w:ascii="Arial" w:hAnsi="Arial" w:cs="Arial"/>
              </w:rPr>
              <w:t>La integración con refinadoras de la Costa del Golfo asegura demanda sostenida para el crudo extrapesado.</w:t>
            </w:r>
          </w:p>
        </w:tc>
        <w:tc>
          <w:tcPr>
            <w:tcW w:w="3444" w:type="dxa"/>
            <w:vAlign w:val="center"/>
          </w:tcPr>
          <w:p w14:paraId="321E83EE" w14:textId="77777777" w:rsidR="00B30752" w:rsidRDefault="00B30752" w:rsidP="00B30752">
            <w:pPr>
              <w:adjustRightInd w:val="0"/>
              <w:snapToGrid w:val="0"/>
              <w:jc w:val="both"/>
              <w:rPr>
                <w:rFonts w:ascii="Arial" w:hAnsi="Arial" w:cs="Arial"/>
              </w:rPr>
            </w:pPr>
            <w:r w:rsidRPr="00023854">
              <w:rPr>
                <w:rFonts w:ascii="Arial" w:hAnsi="Arial" w:cs="Arial"/>
              </w:rPr>
              <w:t>Pérdida irremediable de CITGO ($5.900M a Amber Energy); Venezuela pierde capacidad soberana de refinación en Norteamérica.</w:t>
            </w:r>
          </w:p>
        </w:tc>
      </w:tr>
      <w:tr w:rsidR="00B30752" w14:paraId="6767152F" w14:textId="77777777" w:rsidTr="00B30752">
        <w:tc>
          <w:tcPr>
            <w:tcW w:w="1977" w:type="dxa"/>
            <w:vAlign w:val="center"/>
          </w:tcPr>
          <w:p w14:paraId="4BD13818" w14:textId="77777777" w:rsidR="00B30752" w:rsidRDefault="00B30752" w:rsidP="00B30752">
            <w:pPr>
              <w:adjustRightInd w:val="0"/>
              <w:snapToGrid w:val="0"/>
              <w:jc w:val="both"/>
              <w:rPr>
                <w:rFonts w:ascii="Arial" w:hAnsi="Arial" w:cs="Arial"/>
              </w:rPr>
            </w:pPr>
            <w:r w:rsidRPr="00023854">
              <w:rPr>
                <w:rFonts w:ascii="Arial" w:hAnsi="Arial" w:cs="Arial"/>
                <w:b/>
                <w:bCs/>
              </w:rPr>
              <w:t>Medio ambiente (ESG)</w:t>
            </w:r>
          </w:p>
        </w:tc>
        <w:tc>
          <w:tcPr>
            <w:tcW w:w="3405" w:type="dxa"/>
            <w:vAlign w:val="center"/>
          </w:tcPr>
          <w:p w14:paraId="3461D0B4" w14:textId="77777777" w:rsidR="00B30752" w:rsidRDefault="00B30752" w:rsidP="00B30752">
            <w:pPr>
              <w:adjustRightInd w:val="0"/>
              <w:snapToGrid w:val="0"/>
              <w:jc w:val="both"/>
              <w:rPr>
                <w:rFonts w:ascii="Arial" w:hAnsi="Arial" w:cs="Arial"/>
              </w:rPr>
            </w:pPr>
            <w:r w:rsidRPr="00023854">
              <w:rPr>
                <w:rFonts w:ascii="Arial" w:hAnsi="Arial" w:cs="Arial"/>
              </w:rPr>
              <w:t xml:space="preserve">Empresas transnacionales están obligadas (por </w:t>
            </w:r>
            <w:r w:rsidRPr="00023854">
              <w:rPr>
                <w:rFonts w:ascii="Arial" w:hAnsi="Arial" w:cs="Arial"/>
                <w:i/>
                <w:iCs/>
              </w:rPr>
              <w:t>compliance</w:t>
            </w:r>
            <w:r w:rsidRPr="00023854">
              <w:rPr>
                <w:rFonts w:ascii="Arial" w:hAnsi="Arial" w:cs="Arial"/>
              </w:rPr>
              <w:t xml:space="preserve"> bursátil) a </w:t>
            </w:r>
            <w:r w:rsidRPr="00023854">
              <w:rPr>
                <w:rFonts w:ascii="Arial" w:hAnsi="Arial" w:cs="Arial"/>
              </w:rPr>
              <w:lastRenderedPageBreak/>
              <w:t>implementar cierres de fosas y mitigar emisiones.</w:t>
            </w:r>
          </w:p>
        </w:tc>
        <w:tc>
          <w:tcPr>
            <w:tcW w:w="3444" w:type="dxa"/>
            <w:vAlign w:val="center"/>
          </w:tcPr>
          <w:p w14:paraId="27905705" w14:textId="77777777" w:rsidR="00B30752" w:rsidRDefault="00B30752" w:rsidP="00B30752">
            <w:pPr>
              <w:adjustRightInd w:val="0"/>
              <w:snapToGrid w:val="0"/>
              <w:jc w:val="both"/>
              <w:rPr>
                <w:rFonts w:ascii="Arial" w:hAnsi="Arial" w:cs="Arial"/>
              </w:rPr>
            </w:pPr>
            <w:r w:rsidRPr="00023854">
              <w:rPr>
                <w:rFonts w:ascii="Arial" w:hAnsi="Arial" w:cs="Arial"/>
              </w:rPr>
              <w:lastRenderedPageBreak/>
              <w:t xml:space="preserve">Aceleración intensiva del daño en la biodiversidad del Orinoco debido a los </w:t>
            </w:r>
            <w:r w:rsidRPr="00023854">
              <w:rPr>
                <w:rFonts w:ascii="Arial" w:hAnsi="Arial" w:cs="Arial"/>
              </w:rPr>
              <w:lastRenderedPageBreak/>
              <w:t>megaproyectos y manejo de azufre/coque.</w:t>
            </w:r>
          </w:p>
        </w:tc>
      </w:tr>
      <w:tr w:rsidR="00B30752" w14:paraId="5AE76CBF" w14:textId="77777777" w:rsidTr="00B30752">
        <w:tc>
          <w:tcPr>
            <w:tcW w:w="1977" w:type="dxa"/>
            <w:vAlign w:val="center"/>
          </w:tcPr>
          <w:p w14:paraId="78A49904" w14:textId="77777777" w:rsidR="00B30752" w:rsidRDefault="00B30752" w:rsidP="00B30752">
            <w:pPr>
              <w:adjustRightInd w:val="0"/>
              <w:snapToGrid w:val="0"/>
              <w:jc w:val="both"/>
              <w:rPr>
                <w:rFonts w:ascii="Arial" w:hAnsi="Arial" w:cs="Arial"/>
              </w:rPr>
            </w:pPr>
            <w:r w:rsidRPr="00023854">
              <w:rPr>
                <w:rFonts w:ascii="Arial" w:hAnsi="Arial" w:cs="Arial"/>
                <w:b/>
                <w:bCs/>
              </w:rPr>
              <w:lastRenderedPageBreak/>
              <w:t>Seguridad jurídica (Ley</w:t>
            </w:r>
            <w:r>
              <w:rPr>
                <w:rFonts w:ascii="Arial" w:hAnsi="Arial" w:cs="Arial"/>
                <w:b/>
                <w:bCs/>
              </w:rPr>
              <w:t xml:space="preserve"> de</w:t>
            </w:r>
            <w:r w:rsidRPr="00023854">
              <w:rPr>
                <w:rFonts w:ascii="Arial" w:hAnsi="Arial" w:cs="Arial"/>
                <w:b/>
                <w:bCs/>
              </w:rPr>
              <w:t xml:space="preserve"> H</w:t>
            </w:r>
            <w:r>
              <w:rPr>
                <w:rFonts w:ascii="Arial" w:hAnsi="Arial" w:cs="Arial"/>
                <w:b/>
                <w:bCs/>
              </w:rPr>
              <w:t>idrocarburos</w:t>
            </w:r>
            <w:r w:rsidRPr="00023854">
              <w:rPr>
                <w:rFonts w:ascii="Arial" w:hAnsi="Arial" w:cs="Arial"/>
                <w:b/>
                <w:bCs/>
              </w:rPr>
              <w:t>)</w:t>
            </w:r>
          </w:p>
        </w:tc>
        <w:tc>
          <w:tcPr>
            <w:tcW w:w="3405" w:type="dxa"/>
            <w:vAlign w:val="center"/>
          </w:tcPr>
          <w:p w14:paraId="5D8F32B3" w14:textId="77777777" w:rsidR="00B30752" w:rsidRDefault="00B30752" w:rsidP="00B30752">
            <w:pPr>
              <w:adjustRightInd w:val="0"/>
              <w:snapToGrid w:val="0"/>
              <w:jc w:val="both"/>
              <w:rPr>
                <w:rFonts w:ascii="Arial" w:hAnsi="Arial" w:cs="Arial"/>
              </w:rPr>
            </w:pPr>
            <w:r w:rsidRPr="00023854">
              <w:rPr>
                <w:rFonts w:ascii="Arial" w:hAnsi="Arial" w:cs="Arial"/>
              </w:rPr>
              <w:t>Los contratos regidos por leyes foráneas y arbitraje internacional blindan a la Inversión Extranjera Directa (IED).</w:t>
            </w:r>
          </w:p>
        </w:tc>
        <w:tc>
          <w:tcPr>
            <w:tcW w:w="3444" w:type="dxa"/>
            <w:vAlign w:val="center"/>
          </w:tcPr>
          <w:p w14:paraId="5998EDCB" w14:textId="77777777" w:rsidR="00B30752" w:rsidRDefault="00B30752" w:rsidP="00B30752">
            <w:pPr>
              <w:adjustRightInd w:val="0"/>
              <w:snapToGrid w:val="0"/>
              <w:jc w:val="both"/>
              <w:rPr>
                <w:rFonts w:ascii="Arial" w:hAnsi="Arial" w:cs="Arial"/>
              </w:rPr>
            </w:pPr>
            <w:r w:rsidRPr="00023854">
              <w:rPr>
                <w:rFonts w:ascii="Arial" w:hAnsi="Arial" w:cs="Arial"/>
              </w:rPr>
              <w:t>Tensión permanente con los artículos constitucionales sobre soberanía nacional (Art. 302 y 303); posibles impugnaciones a largo plazo.</w:t>
            </w:r>
          </w:p>
        </w:tc>
      </w:tr>
    </w:tbl>
    <w:p w14:paraId="7B43B9B8" w14:textId="77777777" w:rsidR="00B30752" w:rsidRDefault="00B30752" w:rsidP="00023854">
      <w:pPr>
        <w:adjustRightInd w:val="0"/>
        <w:snapToGrid w:val="0"/>
        <w:jc w:val="both"/>
        <w:rPr>
          <w:rFonts w:ascii="Arial" w:hAnsi="Arial" w:cs="Arial"/>
        </w:rPr>
      </w:pPr>
    </w:p>
    <w:p w14:paraId="7038BBFB" w14:textId="77777777" w:rsidR="00B30752" w:rsidRPr="00023854" w:rsidRDefault="00B30752" w:rsidP="00023854">
      <w:pPr>
        <w:adjustRightInd w:val="0"/>
        <w:snapToGrid w:val="0"/>
        <w:jc w:val="both"/>
        <w:rPr>
          <w:rFonts w:ascii="Arial" w:hAnsi="Arial" w:cs="Arial"/>
        </w:rPr>
      </w:pPr>
    </w:p>
    <w:p w14:paraId="4B907ADA" w14:textId="77777777" w:rsidR="00023854" w:rsidRPr="00B30752" w:rsidRDefault="00023854" w:rsidP="00023854">
      <w:pPr>
        <w:adjustRightInd w:val="0"/>
        <w:snapToGrid w:val="0"/>
        <w:jc w:val="both"/>
        <w:outlineLvl w:val="1"/>
        <w:rPr>
          <w:rFonts w:ascii="Arial" w:hAnsi="Arial" w:cs="Arial"/>
          <w:b/>
          <w:bCs/>
          <w:sz w:val="40"/>
          <w:szCs w:val="40"/>
        </w:rPr>
      </w:pPr>
      <w:r w:rsidRPr="00023854">
        <w:rPr>
          <w:rFonts w:ascii="Arial" w:hAnsi="Arial" w:cs="Arial"/>
          <w:b/>
          <w:bCs/>
          <w:sz w:val="40"/>
          <w:szCs w:val="40"/>
        </w:rPr>
        <w:t>Conclusiones</w:t>
      </w:r>
    </w:p>
    <w:p w14:paraId="00C5E1FA" w14:textId="77777777" w:rsidR="00B30752" w:rsidRPr="00023854" w:rsidRDefault="00B30752" w:rsidP="00023854">
      <w:pPr>
        <w:adjustRightInd w:val="0"/>
        <w:snapToGrid w:val="0"/>
        <w:jc w:val="both"/>
        <w:outlineLvl w:val="1"/>
        <w:rPr>
          <w:rFonts w:ascii="Arial" w:hAnsi="Arial" w:cs="Arial"/>
          <w:b/>
          <w:bCs/>
          <w:sz w:val="36"/>
          <w:szCs w:val="36"/>
        </w:rPr>
      </w:pPr>
    </w:p>
    <w:p w14:paraId="427AF30F" w14:textId="77777777" w:rsidR="000217A9" w:rsidRDefault="00023854" w:rsidP="00023854">
      <w:pPr>
        <w:adjustRightInd w:val="0"/>
        <w:snapToGrid w:val="0"/>
        <w:jc w:val="both"/>
        <w:rPr>
          <w:rFonts w:ascii="Arial" w:hAnsi="Arial" w:cs="Arial"/>
        </w:rPr>
      </w:pPr>
      <w:r w:rsidRPr="00023854">
        <w:rPr>
          <w:rFonts w:ascii="Arial" w:hAnsi="Arial" w:cs="Arial"/>
        </w:rPr>
        <w:t>La configuración del acuerdo para ceder a corporaciones estadounidenses el control operativo sobre el 21,5% de las reservas petroleras probadas de Venezuela a lo largo del próximo cuarto de siglo debe analizarse desprovist</w:t>
      </w:r>
      <w:r w:rsidR="000217A9">
        <w:rPr>
          <w:rFonts w:ascii="Arial" w:hAnsi="Arial" w:cs="Arial"/>
        </w:rPr>
        <w:t>o</w:t>
      </w:r>
      <w:r w:rsidRPr="00023854">
        <w:rPr>
          <w:rFonts w:ascii="Arial" w:hAnsi="Arial" w:cs="Arial"/>
        </w:rPr>
        <w:t xml:space="preserve"> de dogmas políticos. </w:t>
      </w:r>
    </w:p>
    <w:p w14:paraId="01CB6BFB" w14:textId="77777777" w:rsidR="000217A9" w:rsidRDefault="000217A9" w:rsidP="00023854">
      <w:pPr>
        <w:adjustRightInd w:val="0"/>
        <w:snapToGrid w:val="0"/>
        <w:jc w:val="both"/>
        <w:rPr>
          <w:rFonts w:ascii="Arial" w:hAnsi="Arial" w:cs="Arial"/>
        </w:rPr>
      </w:pPr>
    </w:p>
    <w:p w14:paraId="73FA3FD7" w14:textId="77777777" w:rsidR="00B34BCF" w:rsidRDefault="00023854" w:rsidP="00023854">
      <w:pPr>
        <w:adjustRightInd w:val="0"/>
        <w:snapToGrid w:val="0"/>
        <w:jc w:val="both"/>
        <w:rPr>
          <w:rFonts w:ascii="Arial" w:hAnsi="Arial" w:cs="Arial"/>
        </w:rPr>
      </w:pPr>
      <w:r w:rsidRPr="00023854">
        <w:rPr>
          <w:rFonts w:ascii="Arial" w:hAnsi="Arial" w:cs="Arial"/>
        </w:rPr>
        <w:t xml:space="preserve">Para Washington, </w:t>
      </w:r>
      <w:r w:rsidR="000217A9">
        <w:rPr>
          <w:rFonts w:ascii="Arial" w:hAnsi="Arial" w:cs="Arial"/>
        </w:rPr>
        <w:t xml:space="preserve">el acuerdo </w:t>
      </w:r>
      <w:r w:rsidRPr="00023854">
        <w:rPr>
          <w:rFonts w:ascii="Arial" w:hAnsi="Arial" w:cs="Arial"/>
        </w:rPr>
        <w:t>asegura</w:t>
      </w:r>
      <w:r w:rsidR="000217A9">
        <w:rPr>
          <w:rFonts w:ascii="Arial" w:hAnsi="Arial" w:cs="Arial"/>
        </w:rPr>
        <w:t xml:space="preserve"> una provisión </w:t>
      </w:r>
      <w:r w:rsidRPr="00023854">
        <w:rPr>
          <w:rFonts w:ascii="Arial" w:hAnsi="Arial" w:cs="Arial"/>
        </w:rPr>
        <w:t>cercan</w:t>
      </w:r>
      <w:r w:rsidR="000217A9">
        <w:rPr>
          <w:rFonts w:ascii="Arial" w:hAnsi="Arial" w:cs="Arial"/>
        </w:rPr>
        <w:t xml:space="preserve">a </w:t>
      </w:r>
      <w:r w:rsidRPr="00023854">
        <w:rPr>
          <w:rFonts w:ascii="Arial" w:hAnsi="Arial" w:cs="Arial"/>
        </w:rPr>
        <w:t>y abundante de crudo pesado para alimentar la red refinadora del sur</w:t>
      </w:r>
      <w:r w:rsidR="000217A9">
        <w:rPr>
          <w:rFonts w:ascii="Arial" w:hAnsi="Arial" w:cs="Arial"/>
        </w:rPr>
        <w:t xml:space="preserve"> de los Estados Unidos</w:t>
      </w:r>
      <w:r w:rsidRPr="00023854">
        <w:rPr>
          <w:rFonts w:ascii="Arial" w:hAnsi="Arial" w:cs="Arial"/>
        </w:rPr>
        <w:t xml:space="preserve">, </w:t>
      </w:r>
      <w:r w:rsidR="00091931">
        <w:rPr>
          <w:rFonts w:ascii="Arial" w:hAnsi="Arial" w:cs="Arial"/>
        </w:rPr>
        <w:t>disminuyendo</w:t>
      </w:r>
      <w:r w:rsidRPr="00023854">
        <w:rPr>
          <w:rFonts w:ascii="Arial" w:hAnsi="Arial" w:cs="Arial"/>
        </w:rPr>
        <w:t xml:space="preserve"> el riesgo geopolítico </w:t>
      </w:r>
      <w:r w:rsidR="00091931">
        <w:rPr>
          <w:rFonts w:ascii="Arial" w:hAnsi="Arial" w:cs="Arial"/>
        </w:rPr>
        <w:t>por</w:t>
      </w:r>
      <w:r w:rsidRPr="00023854">
        <w:rPr>
          <w:rFonts w:ascii="Arial" w:hAnsi="Arial" w:cs="Arial"/>
        </w:rPr>
        <w:t xml:space="preserve"> las tensiones en Oriente Medio</w:t>
      </w:r>
      <w:r w:rsidR="00091931">
        <w:rPr>
          <w:rFonts w:ascii="Arial" w:hAnsi="Arial" w:cs="Arial"/>
        </w:rPr>
        <w:t>,</w:t>
      </w:r>
      <w:r w:rsidR="00B34BCF">
        <w:rPr>
          <w:rFonts w:ascii="Arial" w:hAnsi="Arial" w:cs="Arial"/>
        </w:rPr>
        <w:t xml:space="preserve"> </w:t>
      </w:r>
      <w:r w:rsidRPr="00023854">
        <w:rPr>
          <w:rFonts w:ascii="Arial" w:hAnsi="Arial" w:cs="Arial"/>
        </w:rPr>
        <w:t xml:space="preserve">mitigando presiones en los </w:t>
      </w:r>
      <w:r w:rsidR="00091931">
        <w:rPr>
          <w:rFonts w:ascii="Arial" w:hAnsi="Arial" w:cs="Arial"/>
        </w:rPr>
        <w:t>proveedore</w:t>
      </w:r>
      <w:r w:rsidRPr="00023854">
        <w:rPr>
          <w:rFonts w:ascii="Arial" w:hAnsi="Arial" w:cs="Arial"/>
        </w:rPr>
        <w:t>s domésticos y expulsando la influencia energética asiática de</w:t>
      </w:r>
      <w:r w:rsidR="00091931">
        <w:rPr>
          <w:rFonts w:ascii="Arial" w:hAnsi="Arial" w:cs="Arial"/>
        </w:rPr>
        <w:t>l</w:t>
      </w:r>
      <w:r w:rsidRPr="00023854">
        <w:rPr>
          <w:rFonts w:ascii="Arial" w:hAnsi="Arial" w:cs="Arial"/>
        </w:rPr>
        <w:t xml:space="preserve"> patio trasero</w:t>
      </w:r>
      <w:r w:rsidR="00091931">
        <w:rPr>
          <w:rFonts w:ascii="Arial" w:hAnsi="Arial" w:cs="Arial"/>
        </w:rPr>
        <w:t xml:space="preserve"> de Norteamérica</w:t>
      </w:r>
    </w:p>
    <w:p w14:paraId="62701C22" w14:textId="77777777" w:rsidR="00B34BCF" w:rsidRDefault="00B34BCF" w:rsidP="00023854">
      <w:pPr>
        <w:adjustRightInd w:val="0"/>
        <w:snapToGrid w:val="0"/>
        <w:jc w:val="both"/>
        <w:rPr>
          <w:rFonts w:ascii="Arial" w:hAnsi="Arial" w:cs="Arial"/>
        </w:rPr>
      </w:pPr>
    </w:p>
    <w:p w14:paraId="01F42CE1" w14:textId="77777777" w:rsidR="00023854" w:rsidRDefault="00023854" w:rsidP="00023854">
      <w:pPr>
        <w:adjustRightInd w:val="0"/>
        <w:snapToGrid w:val="0"/>
        <w:jc w:val="both"/>
        <w:rPr>
          <w:rFonts w:ascii="Arial" w:hAnsi="Arial" w:cs="Arial"/>
        </w:rPr>
      </w:pPr>
      <w:r w:rsidRPr="00023854">
        <w:rPr>
          <w:rFonts w:ascii="Arial" w:hAnsi="Arial" w:cs="Arial"/>
        </w:rPr>
        <w:t xml:space="preserve">La maquinaria jurídica (Licencias OFAC y la EO 14373) fue hilvanada a la perfección para garantizar que los fondos no fuesen absorbidos por el mercado secundario de deuda y los acreedores de </w:t>
      </w:r>
      <w:r w:rsidR="00091931">
        <w:rPr>
          <w:rFonts w:ascii="Arial" w:hAnsi="Arial" w:cs="Arial"/>
        </w:rPr>
        <w:t>Venezuela</w:t>
      </w:r>
      <w:r w:rsidRPr="00023854">
        <w:rPr>
          <w:rFonts w:ascii="Arial" w:hAnsi="Arial" w:cs="Arial"/>
        </w:rPr>
        <w:t>.</w:t>
      </w:r>
    </w:p>
    <w:p w14:paraId="0F6A7621" w14:textId="77777777" w:rsidR="00B34BCF" w:rsidRPr="00023854" w:rsidRDefault="00B34BCF" w:rsidP="00023854">
      <w:pPr>
        <w:adjustRightInd w:val="0"/>
        <w:snapToGrid w:val="0"/>
        <w:jc w:val="both"/>
        <w:rPr>
          <w:rFonts w:ascii="Arial" w:hAnsi="Arial" w:cs="Arial"/>
        </w:rPr>
      </w:pPr>
    </w:p>
    <w:p w14:paraId="024280EC" w14:textId="77777777" w:rsidR="00023854" w:rsidRDefault="00023854" w:rsidP="00023854">
      <w:pPr>
        <w:adjustRightInd w:val="0"/>
        <w:snapToGrid w:val="0"/>
        <w:jc w:val="both"/>
        <w:rPr>
          <w:rFonts w:ascii="Arial" w:hAnsi="Arial" w:cs="Arial"/>
        </w:rPr>
      </w:pPr>
      <w:r w:rsidRPr="00023854">
        <w:rPr>
          <w:rFonts w:ascii="Arial" w:hAnsi="Arial" w:cs="Arial"/>
        </w:rPr>
        <w:t>Para Caracas, desprovista ya de</w:t>
      </w:r>
      <w:r w:rsidR="00091931">
        <w:rPr>
          <w:rFonts w:ascii="Arial" w:hAnsi="Arial" w:cs="Arial"/>
        </w:rPr>
        <w:t>l</w:t>
      </w:r>
      <w:r w:rsidRPr="00023854">
        <w:rPr>
          <w:rFonts w:ascii="Arial" w:hAnsi="Arial" w:cs="Arial"/>
        </w:rPr>
        <w:t xml:space="preserve"> ancla internacional CITGO, es la última carta para evitar la obsolescencia </w:t>
      </w:r>
      <w:r w:rsidR="00091931">
        <w:rPr>
          <w:rFonts w:ascii="Arial" w:hAnsi="Arial" w:cs="Arial"/>
        </w:rPr>
        <w:t>y precariedad de la industria petrolera</w:t>
      </w:r>
      <w:r w:rsidRPr="00023854">
        <w:rPr>
          <w:rFonts w:ascii="Arial" w:hAnsi="Arial" w:cs="Arial"/>
        </w:rPr>
        <w:t xml:space="preserve">. Con un sistema de refinerías colapsado, pasivos ambientales alarmantes y nula capacidad de financiamiento soberano, la Reforma de la Ley de Hidrocarburos que instauró los Contratos de Participación Productiva fue el vehículo necesario para </w:t>
      </w:r>
      <w:r w:rsidR="00091931">
        <w:rPr>
          <w:rFonts w:ascii="Arial" w:hAnsi="Arial" w:cs="Arial"/>
        </w:rPr>
        <w:t>compartir el riesgo con los Estados Unidos.</w:t>
      </w:r>
    </w:p>
    <w:p w14:paraId="4C58994D" w14:textId="77777777" w:rsidR="00091931" w:rsidRPr="00023854" w:rsidRDefault="00091931" w:rsidP="00023854">
      <w:pPr>
        <w:adjustRightInd w:val="0"/>
        <w:snapToGrid w:val="0"/>
        <w:jc w:val="both"/>
        <w:rPr>
          <w:rFonts w:ascii="Arial" w:hAnsi="Arial" w:cs="Arial"/>
        </w:rPr>
      </w:pPr>
    </w:p>
    <w:p w14:paraId="7DFE0852" w14:textId="77777777" w:rsidR="00091931" w:rsidRDefault="00023854" w:rsidP="00023854">
      <w:pPr>
        <w:adjustRightInd w:val="0"/>
        <w:snapToGrid w:val="0"/>
        <w:jc w:val="both"/>
        <w:rPr>
          <w:rFonts w:ascii="Arial" w:hAnsi="Arial" w:cs="Arial"/>
        </w:rPr>
      </w:pPr>
      <w:r w:rsidRPr="00023854">
        <w:rPr>
          <w:rFonts w:ascii="Arial" w:hAnsi="Arial" w:cs="Arial"/>
        </w:rPr>
        <w:t xml:space="preserve">Sin embargo, el destino de la nación no dependerá de la cantidad de barriles que emerjan del subsuelo, sino de la arquitectura institucional con la que se administren esos 209.000 millones de dólares en ingresos fiscales proyectados. Si la afluencia de petrodólares financia el consumo improductivo, se reinstalará </w:t>
      </w:r>
      <w:r w:rsidR="00091931">
        <w:rPr>
          <w:rFonts w:ascii="Arial" w:hAnsi="Arial" w:cs="Arial"/>
        </w:rPr>
        <w:t>el</w:t>
      </w:r>
      <w:r w:rsidRPr="00023854">
        <w:rPr>
          <w:rFonts w:ascii="Arial" w:hAnsi="Arial" w:cs="Arial"/>
        </w:rPr>
        <w:t xml:space="preserve"> letal "</w:t>
      </w:r>
      <w:r w:rsidR="00091931">
        <w:rPr>
          <w:rFonts w:ascii="Arial" w:hAnsi="Arial" w:cs="Arial"/>
        </w:rPr>
        <w:t>mal</w:t>
      </w:r>
      <w:r w:rsidRPr="00023854">
        <w:rPr>
          <w:rFonts w:ascii="Arial" w:hAnsi="Arial" w:cs="Arial"/>
        </w:rPr>
        <w:t xml:space="preserve"> </w:t>
      </w:r>
      <w:r w:rsidR="00091931">
        <w:rPr>
          <w:rFonts w:ascii="Arial" w:hAnsi="Arial" w:cs="Arial"/>
        </w:rPr>
        <w:t>h</w:t>
      </w:r>
      <w:r w:rsidRPr="00023854">
        <w:rPr>
          <w:rFonts w:ascii="Arial" w:hAnsi="Arial" w:cs="Arial"/>
        </w:rPr>
        <w:t>oland</w:t>
      </w:r>
      <w:r w:rsidR="00091931">
        <w:rPr>
          <w:rFonts w:ascii="Arial" w:hAnsi="Arial" w:cs="Arial"/>
        </w:rPr>
        <w:t>és</w:t>
      </w:r>
      <w:r w:rsidRPr="00023854">
        <w:rPr>
          <w:rFonts w:ascii="Arial" w:hAnsi="Arial" w:cs="Arial"/>
        </w:rPr>
        <w:t xml:space="preserve">", apreciando el tipo de cambio y demoliendo a las </w:t>
      </w:r>
      <w:r w:rsidR="00091931">
        <w:rPr>
          <w:rFonts w:ascii="Arial" w:hAnsi="Arial" w:cs="Arial"/>
        </w:rPr>
        <w:t xml:space="preserve">pocas </w:t>
      </w:r>
      <w:r w:rsidRPr="00023854">
        <w:rPr>
          <w:rFonts w:ascii="Arial" w:hAnsi="Arial" w:cs="Arial"/>
        </w:rPr>
        <w:t>empresas venezolanas que</w:t>
      </w:r>
      <w:r w:rsidR="00091931">
        <w:rPr>
          <w:rFonts w:ascii="Arial" w:hAnsi="Arial" w:cs="Arial"/>
        </w:rPr>
        <w:t xml:space="preserve"> han </w:t>
      </w:r>
      <w:r w:rsidR="00091931" w:rsidRPr="00023854">
        <w:rPr>
          <w:rFonts w:ascii="Arial" w:hAnsi="Arial" w:cs="Arial"/>
        </w:rPr>
        <w:t>logrado</w:t>
      </w:r>
      <w:r w:rsidRPr="00023854">
        <w:rPr>
          <w:rFonts w:ascii="Arial" w:hAnsi="Arial" w:cs="Arial"/>
        </w:rPr>
        <w:t xml:space="preserve"> sobrevivir al colapso. </w:t>
      </w:r>
      <w:r w:rsidR="00091931">
        <w:rPr>
          <w:rFonts w:ascii="Arial" w:hAnsi="Arial" w:cs="Arial"/>
        </w:rPr>
        <w:t xml:space="preserve"> </w:t>
      </w:r>
    </w:p>
    <w:p w14:paraId="15923178" w14:textId="77777777" w:rsidR="00091931" w:rsidRDefault="00091931" w:rsidP="00023854">
      <w:pPr>
        <w:adjustRightInd w:val="0"/>
        <w:snapToGrid w:val="0"/>
        <w:jc w:val="both"/>
        <w:rPr>
          <w:rFonts w:ascii="Arial" w:hAnsi="Arial" w:cs="Arial"/>
        </w:rPr>
      </w:pPr>
    </w:p>
    <w:p w14:paraId="24808FDA" w14:textId="77777777" w:rsidR="00023854" w:rsidRDefault="00023854" w:rsidP="0026412C">
      <w:pPr>
        <w:adjustRightInd w:val="0"/>
        <w:snapToGrid w:val="0"/>
        <w:jc w:val="both"/>
        <w:rPr>
          <w:rFonts w:ascii="Arial" w:hAnsi="Arial" w:cs="Arial"/>
        </w:rPr>
      </w:pPr>
      <w:r w:rsidRPr="00023854">
        <w:rPr>
          <w:rFonts w:ascii="Arial" w:hAnsi="Arial" w:cs="Arial"/>
        </w:rPr>
        <w:t xml:space="preserve">Solo si el Estado </w:t>
      </w:r>
      <w:r w:rsidR="0026412C">
        <w:rPr>
          <w:rFonts w:ascii="Arial" w:hAnsi="Arial" w:cs="Arial"/>
        </w:rPr>
        <w:t>venezolano</w:t>
      </w:r>
      <w:r w:rsidRPr="00023854">
        <w:rPr>
          <w:rFonts w:ascii="Arial" w:hAnsi="Arial" w:cs="Arial"/>
        </w:rPr>
        <w:t xml:space="preserve"> asume esta nueva bonanza exclusivamente hacia la modernización de la infraestructura (energía, vialidad, sanidad y educación), el pacto trascenderá el carácter de enclave extractivo y </w:t>
      </w:r>
      <w:r w:rsidR="0026412C">
        <w:rPr>
          <w:rFonts w:ascii="Arial" w:hAnsi="Arial" w:cs="Arial"/>
        </w:rPr>
        <w:t xml:space="preserve">podría </w:t>
      </w:r>
      <w:r w:rsidRPr="00023854">
        <w:rPr>
          <w:rFonts w:ascii="Arial" w:hAnsi="Arial" w:cs="Arial"/>
        </w:rPr>
        <w:t>sentará las bases de la verdadera reconstrucción económica de Venezuela</w:t>
      </w:r>
    </w:p>
    <w:p w14:paraId="731B6E11" w14:textId="77777777" w:rsidR="0026412C" w:rsidRPr="00023854" w:rsidRDefault="0026412C" w:rsidP="00023854">
      <w:pPr>
        <w:adjustRightInd w:val="0"/>
        <w:snapToGrid w:val="0"/>
        <w:jc w:val="both"/>
        <w:rPr>
          <w:rFonts w:ascii="Arial" w:hAnsi="Arial" w:cs="Arial"/>
        </w:rPr>
      </w:pPr>
    </w:p>
    <w:p w14:paraId="7E5A7423"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023854">
        <w:rPr>
          <w:rFonts w:ascii="Arial" w:hAnsi="Arial" w:cs="Arial"/>
          <w:lang w:val="es-ES_tradnl"/>
        </w:rPr>
        <w:lastRenderedPageBreak/>
        <w:t xml:space="preserve">Baker McKenzie. (2022). </w:t>
      </w:r>
      <w:r w:rsidRPr="00023854">
        <w:rPr>
          <w:rFonts w:ascii="Arial" w:hAnsi="Arial" w:cs="Arial"/>
          <w:i/>
          <w:iCs/>
          <w:lang w:val="es-ES_tradnl"/>
        </w:rPr>
        <w:t>OFAC Issues Venezuela General License Authorizing Chevron to Resume Limited Extraction Operations</w:t>
      </w:r>
      <w:r w:rsidRPr="00023854">
        <w:rPr>
          <w:rFonts w:ascii="Arial" w:hAnsi="Arial" w:cs="Arial"/>
          <w:lang w:val="es-ES_tradnl"/>
        </w:rPr>
        <w:t xml:space="preserve">. Sanctions News. </w:t>
      </w:r>
      <w:hyperlink r:id="rId5" w:tgtFrame="_blank" w:history="1">
        <w:r w:rsidRPr="00023854">
          <w:rPr>
            <w:rStyle w:val="Hipervnculo"/>
            <w:rFonts w:ascii="Arial" w:eastAsiaTheme="majorEastAsia" w:hAnsi="Arial" w:cs="Arial"/>
            <w:lang w:val="es-ES_tradnl"/>
          </w:rPr>
          <w:t>https://sanctionsnews.bakermckenzie.com/ofac-issues-venezuela-general-license-authorizing-chevron-to-resume-limited-extraction-operations-related-faqs-and-extends-general-license-related-to-pdvsa-wind-down-transactions/</w:t>
        </w:r>
      </w:hyperlink>
    </w:p>
    <w:p w14:paraId="6F266D8E"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3045D0C1"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023854">
        <w:rPr>
          <w:rFonts w:ascii="Arial" w:hAnsi="Arial" w:cs="Arial"/>
          <w:lang w:val="es-ES_tradnl"/>
        </w:rPr>
        <w:t xml:space="preserve">CEIC Data. (2026). </w:t>
      </w:r>
      <w:r w:rsidRPr="00023854">
        <w:rPr>
          <w:rFonts w:ascii="Arial" w:hAnsi="Arial" w:cs="Arial"/>
          <w:i/>
          <w:iCs/>
          <w:lang w:val="es-ES_tradnl"/>
        </w:rPr>
        <w:t>Venezuela Crude Oil: Production</w:t>
      </w:r>
      <w:r w:rsidRPr="00023854">
        <w:rPr>
          <w:rFonts w:ascii="Arial" w:hAnsi="Arial" w:cs="Arial"/>
          <w:lang w:val="es-ES_tradnl"/>
        </w:rPr>
        <w:t xml:space="preserve">. </w:t>
      </w:r>
      <w:hyperlink r:id="rId6" w:tgtFrame="_blank" w:history="1">
        <w:r w:rsidRPr="00023854">
          <w:rPr>
            <w:rStyle w:val="Hipervnculo"/>
            <w:rFonts w:ascii="Arial" w:eastAsiaTheme="majorEastAsia" w:hAnsi="Arial" w:cs="Arial"/>
            <w:lang w:val="es-ES_tradnl"/>
          </w:rPr>
          <w:t>https://www.ceicdata.com/en/indicator/venezuela/crude-oil-production</w:t>
        </w:r>
      </w:hyperlink>
    </w:p>
    <w:p w14:paraId="016652CF"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4D8388BE"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023854">
        <w:rPr>
          <w:rFonts w:ascii="Arial" w:hAnsi="Arial" w:cs="Arial"/>
          <w:lang w:val="es-ES_tradnl"/>
        </w:rPr>
        <w:t xml:space="preserve">Cleary Trade Watch. (2026, 13 de febrero). </w:t>
      </w:r>
      <w:r w:rsidRPr="00023854">
        <w:rPr>
          <w:rFonts w:ascii="Arial" w:hAnsi="Arial" w:cs="Arial"/>
          <w:i/>
          <w:iCs/>
          <w:lang w:val="es-ES_tradnl"/>
        </w:rPr>
        <w:t>OFAC Issues General Licenses 49 and 50A Authorizing Contingent Investments and Additional Operations in Venezuelan Oil and Gas Sector</w:t>
      </w:r>
      <w:r w:rsidRPr="00023854">
        <w:rPr>
          <w:rFonts w:ascii="Arial" w:hAnsi="Arial" w:cs="Arial"/>
          <w:lang w:val="es-ES_tradnl"/>
        </w:rPr>
        <w:t xml:space="preserve">. </w:t>
      </w:r>
      <w:hyperlink r:id="rId7" w:tgtFrame="_blank" w:history="1">
        <w:r w:rsidRPr="00023854">
          <w:rPr>
            <w:rStyle w:val="Hipervnculo"/>
            <w:rFonts w:ascii="Arial" w:eastAsiaTheme="majorEastAsia" w:hAnsi="Arial" w:cs="Arial"/>
            <w:lang w:val="es-ES_tradnl"/>
          </w:rPr>
          <w:t>https://www.clearytradewatch.com/2026/02/ofac-issues-general-licenses-49-and-50a-authorizing-contingent-investments-and-additional-operations-in-venezuelan-oil-and-gas-sector/</w:t>
        </w:r>
      </w:hyperlink>
    </w:p>
    <w:p w14:paraId="4A21CE0C"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0DEA6C51"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023854">
        <w:rPr>
          <w:rFonts w:ascii="Arial" w:hAnsi="Arial" w:cs="Arial"/>
          <w:lang w:val="es-ES_tradnl"/>
        </w:rPr>
        <w:t xml:space="preserve">Energy In Depth. (2026). </w:t>
      </w:r>
      <w:r w:rsidRPr="00023854">
        <w:rPr>
          <w:rFonts w:ascii="Arial" w:hAnsi="Arial" w:cs="Arial"/>
          <w:i/>
          <w:iCs/>
          <w:lang w:val="es-ES_tradnl"/>
        </w:rPr>
        <w:t>New EIA Analysis: The United States Produced More Crude Oil in 2025 Than Any Other Country in History</w:t>
      </w:r>
      <w:r w:rsidRPr="00023854">
        <w:rPr>
          <w:rFonts w:ascii="Arial" w:hAnsi="Arial" w:cs="Arial"/>
          <w:lang w:val="es-ES_tradnl"/>
        </w:rPr>
        <w:t xml:space="preserve">. </w:t>
      </w:r>
      <w:hyperlink r:id="rId8" w:tgtFrame="_blank" w:history="1">
        <w:r w:rsidRPr="00023854">
          <w:rPr>
            <w:rStyle w:val="Hipervnculo"/>
            <w:rFonts w:ascii="Arial" w:eastAsiaTheme="majorEastAsia" w:hAnsi="Arial" w:cs="Arial"/>
            <w:lang w:val="es-ES_tradnl"/>
          </w:rPr>
          <w:t>https://www.energyindepth.org/new-eia-analysis-the-united-states-produced-more-crude-oil-in-2025-than-any-other-country-in-history/</w:t>
        </w:r>
      </w:hyperlink>
    </w:p>
    <w:p w14:paraId="754A1D9D"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375F0719"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023854">
        <w:rPr>
          <w:rFonts w:ascii="Arial" w:hAnsi="Arial" w:cs="Arial"/>
          <w:lang w:val="es-ES_tradnl"/>
        </w:rPr>
        <w:t xml:space="preserve">Federal Register. (2025, 23 de julio). </w:t>
      </w:r>
      <w:r w:rsidRPr="00023854">
        <w:rPr>
          <w:rFonts w:ascii="Arial" w:hAnsi="Arial" w:cs="Arial"/>
          <w:i/>
          <w:iCs/>
          <w:lang w:val="es-ES_tradnl"/>
        </w:rPr>
        <w:t>Publication of Venezuela Sanctions Regulations Web General Licenses 41A, 5R, and 41B</w:t>
      </w:r>
      <w:r w:rsidRPr="00023854">
        <w:rPr>
          <w:rFonts w:ascii="Arial" w:hAnsi="Arial" w:cs="Arial"/>
          <w:lang w:val="es-ES_tradnl"/>
        </w:rPr>
        <w:t xml:space="preserve">. </w:t>
      </w:r>
      <w:hyperlink r:id="rId9" w:tgtFrame="_blank" w:history="1">
        <w:r w:rsidRPr="00023854">
          <w:rPr>
            <w:rStyle w:val="Hipervnculo"/>
            <w:rFonts w:ascii="Arial" w:eastAsiaTheme="majorEastAsia" w:hAnsi="Arial" w:cs="Arial"/>
            <w:lang w:val="es-ES_tradnl"/>
          </w:rPr>
          <w:t>https://www.federalregister.gov/documents/2025/07/23/2025-13846/publication-of-venezuela-sanctions-regulations-web-general-licenses-41a-5r-and-41b</w:t>
        </w:r>
      </w:hyperlink>
    </w:p>
    <w:p w14:paraId="53A015AF"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3F6CBEFA"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26412C">
        <w:rPr>
          <w:rFonts w:ascii="Arial" w:hAnsi="Arial" w:cs="Arial"/>
          <w:lang w:val="en-US"/>
        </w:rPr>
        <w:t xml:space="preserve">Global Trade and Sanctions Law. </w:t>
      </w:r>
      <w:r w:rsidRPr="00023854">
        <w:rPr>
          <w:rFonts w:ascii="Arial" w:hAnsi="Arial" w:cs="Arial"/>
          <w:lang w:val="es-ES_tradnl"/>
        </w:rPr>
        <w:t xml:space="preserve">(2026, 3 de febrero). </w:t>
      </w:r>
      <w:r w:rsidRPr="00023854">
        <w:rPr>
          <w:rFonts w:ascii="Arial" w:hAnsi="Arial" w:cs="Arial"/>
          <w:i/>
          <w:iCs/>
          <w:lang w:val="es-ES_tradnl"/>
        </w:rPr>
        <w:t>OFAC Venezuela General Licenses - Oil</w:t>
      </w:r>
      <w:r w:rsidRPr="00023854">
        <w:rPr>
          <w:rFonts w:ascii="Arial" w:hAnsi="Arial" w:cs="Arial"/>
          <w:lang w:val="es-ES_tradnl"/>
        </w:rPr>
        <w:t xml:space="preserve">. </w:t>
      </w:r>
      <w:hyperlink r:id="rId10" w:tgtFrame="_blank" w:history="1">
        <w:r w:rsidRPr="00023854">
          <w:rPr>
            <w:rStyle w:val="Hipervnculo"/>
            <w:rFonts w:ascii="Arial" w:eastAsiaTheme="majorEastAsia" w:hAnsi="Arial" w:cs="Arial"/>
            <w:lang w:val="es-ES_tradnl"/>
          </w:rPr>
          <w:t>https://www.globaltradeandsanctionslaw.com/ofac-venezuela-general-licenses-oil/</w:t>
        </w:r>
      </w:hyperlink>
    </w:p>
    <w:p w14:paraId="49E765F2"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4D3EC8AF"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023854">
        <w:rPr>
          <w:rFonts w:ascii="Arial" w:hAnsi="Arial" w:cs="Arial"/>
          <w:lang w:val="es-ES_tradnl"/>
        </w:rPr>
        <w:t xml:space="preserve">Industrial Info Resources. (2026). </w:t>
      </w:r>
      <w:r w:rsidRPr="00023854">
        <w:rPr>
          <w:rFonts w:ascii="Arial" w:hAnsi="Arial" w:cs="Arial"/>
          <w:i/>
          <w:iCs/>
          <w:lang w:val="es-ES_tradnl"/>
        </w:rPr>
        <w:t>U.S. Crude Oil Inventories and 2025 Exports, Colombia-Venezuelan Gas Pipeline Restart</w:t>
      </w:r>
      <w:r w:rsidRPr="00023854">
        <w:rPr>
          <w:rFonts w:ascii="Arial" w:hAnsi="Arial" w:cs="Arial"/>
          <w:lang w:val="es-ES_tradnl"/>
        </w:rPr>
        <w:t xml:space="preserve">. IIR Energy. </w:t>
      </w:r>
      <w:hyperlink r:id="rId11" w:tgtFrame="_blank" w:history="1">
        <w:r w:rsidRPr="00023854">
          <w:rPr>
            <w:rStyle w:val="Hipervnculo"/>
            <w:rFonts w:ascii="Arial" w:eastAsiaTheme="majorEastAsia" w:hAnsi="Arial" w:cs="Arial"/>
            <w:lang w:val="es-ES_tradnl"/>
          </w:rPr>
          <w:t>https://www.industrialinfo.com/iirenergy/industry-news/article/us-crude-oil-inventories-and-2025-exports-colombia-venezuelan-gas-pipeline-restart-your-daily-energy--354693</w:t>
        </w:r>
      </w:hyperlink>
    </w:p>
    <w:p w14:paraId="7CA5BE42"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7D80DE43"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023854">
        <w:rPr>
          <w:rFonts w:ascii="Arial" w:hAnsi="Arial" w:cs="Arial"/>
          <w:lang w:val="es-ES_tradnl"/>
        </w:rPr>
        <w:t xml:space="preserve">Our World in Data. (2026). </w:t>
      </w:r>
      <w:r w:rsidRPr="00023854">
        <w:rPr>
          <w:rFonts w:ascii="Arial" w:hAnsi="Arial" w:cs="Arial"/>
          <w:i/>
          <w:iCs/>
          <w:lang w:val="es-ES_tradnl"/>
        </w:rPr>
        <w:t>Fossil fuels: Oil production</w:t>
      </w:r>
      <w:r w:rsidRPr="00023854">
        <w:rPr>
          <w:rFonts w:ascii="Arial" w:hAnsi="Arial" w:cs="Arial"/>
          <w:lang w:val="es-ES_tradnl"/>
        </w:rPr>
        <w:t xml:space="preserve">. </w:t>
      </w:r>
      <w:hyperlink r:id="rId12" w:tgtFrame="_blank" w:history="1">
        <w:r w:rsidRPr="00023854">
          <w:rPr>
            <w:rStyle w:val="Hipervnculo"/>
            <w:rFonts w:ascii="Arial" w:eastAsiaTheme="majorEastAsia" w:hAnsi="Arial" w:cs="Arial"/>
            <w:lang w:val="es-ES_tradnl"/>
          </w:rPr>
          <w:t>https://ourworldindata.org/grapher/fossil-fuels?fuel=oil&amp;metric=production&amp;per_capita=total</w:t>
        </w:r>
      </w:hyperlink>
    </w:p>
    <w:p w14:paraId="53DBACF2"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2D869C74"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023854">
        <w:rPr>
          <w:rFonts w:ascii="Arial" w:hAnsi="Arial" w:cs="Arial"/>
          <w:lang w:val="es-ES_tradnl"/>
        </w:rPr>
        <w:t xml:space="preserve">The Economic Times. (2026). </w:t>
      </w:r>
      <w:r w:rsidRPr="00023854">
        <w:rPr>
          <w:rFonts w:ascii="Arial" w:hAnsi="Arial" w:cs="Arial"/>
          <w:i/>
          <w:iCs/>
          <w:lang w:val="es-ES_tradnl"/>
        </w:rPr>
        <w:t>Russia is one of the world's top oil producers so why is it still importing petrol from India?</w:t>
      </w:r>
      <w:r w:rsidRPr="00023854">
        <w:rPr>
          <w:rFonts w:ascii="Arial" w:hAnsi="Arial" w:cs="Arial"/>
          <w:lang w:val="es-ES_tradnl"/>
        </w:rPr>
        <w:t xml:space="preserve"> </w:t>
      </w:r>
      <w:hyperlink r:id="rId13" w:tgtFrame="_blank" w:history="1">
        <w:r w:rsidRPr="00023854">
          <w:rPr>
            <w:rStyle w:val="Hipervnculo"/>
            <w:rFonts w:ascii="Arial" w:eastAsiaTheme="majorEastAsia" w:hAnsi="Arial" w:cs="Arial"/>
            <w:lang w:val="es-ES_tradnl"/>
          </w:rPr>
          <w:t>https://m.economictimes.com/industry/energy/oil-gas/russia-is-one-of-the-worlds-top-oil-producers-so-why-is-it-still-importing-petrol-from-india/articleshow/133624269.cms</w:t>
        </w:r>
      </w:hyperlink>
    </w:p>
    <w:p w14:paraId="202CCE22" w14:textId="77777777" w:rsidR="00023854" w:rsidRPr="00023854" w:rsidRDefault="00023854" w:rsidP="0026412C">
      <w:pPr>
        <w:pStyle w:val="NormalWeb"/>
        <w:adjustRightInd w:val="0"/>
        <w:snapToGrid w:val="0"/>
        <w:spacing w:before="0" w:beforeAutospacing="0" w:after="0" w:afterAutospacing="0"/>
        <w:ind w:left="360"/>
        <w:jc w:val="both"/>
        <w:rPr>
          <w:rFonts w:ascii="Arial" w:hAnsi="Arial" w:cs="Arial"/>
          <w:lang w:val="es-ES_tradnl"/>
        </w:rPr>
      </w:pPr>
    </w:p>
    <w:p w14:paraId="71ECA678"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26412C">
        <w:rPr>
          <w:rFonts w:ascii="Arial" w:hAnsi="Arial" w:cs="Arial"/>
          <w:lang w:val="en-US"/>
        </w:rPr>
        <w:t xml:space="preserve">U.S. Department of the Treasury. </w:t>
      </w:r>
      <w:r w:rsidRPr="00023854">
        <w:rPr>
          <w:rFonts w:ascii="Arial" w:hAnsi="Arial" w:cs="Arial"/>
          <w:lang w:val="es-ES_tradnl"/>
        </w:rPr>
        <w:t xml:space="preserve">(2022). </w:t>
      </w:r>
      <w:r w:rsidRPr="00023854">
        <w:rPr>
          <w:rFonts w:ascii="Arial" w:hAnsi="Arial" w:cs="Arial"/>
          <w:i/>
          <w:iCs/>
          <w:lang w:val="es-ES_tradnl"/>
        </w:rPr>
        <w:t>General License 41</w:t>
      </w:r>
      <w:r w:rsidRPr="00023854">
        <w:rPr>
          <w:rFonts w:ascii="Arial" w:hAnsi="Arial" w:cs="Arial"/>
          <w:lang w:val="es-ES_tradnl"/>
        </w:rPr>
        <w:t xml:space="preserve">. Office of Foreign Assets Control. </w:t>
      </w:r>
      <w:hyperlink r:id="rId14" w:tgtFrame="_blank" w:history="1">
        <w:r w:rsidRPr="00023854">
          <w:rPr>
            <w:rStyle w:val="Hipervnculo"/>
            <w:rFonts w:ascii="Arial" w:eastAsiaTheme="majorEastAsia" w:hAnsi="Arial" w:cs="Arial"/>
            <w:lang w:val="es-ES_tradnl"/>
          </w:rPr>
          <w:t>https://ofac.treasury.gov/media/934026/download?inline</w:t>
        </w:r>
      </w:hyperlink>
    </w:p>
    <w:p w14:paraId="1EBB4BAC"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1252C58D"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26412C">
        <w:rPr>
          <w:rFonts w:ascii="Arial" w:hAnsi="Arial" w:cs="Arial"/>
          <w:lang w:val="en-US"/>
        </w:rPr>
        <w:t xml:space="preserve">U.S. Department of the Treasury. </w:t>
      </w:r>
      <w:r w:rsidRPr="00023854">
        <w:rPr>
          <w:rFonts w:ascii="Arial" w:hAnsi="Arial" w:cs="Arial"/>
          <w:lang w:val="es-ES_tradnl"/>
        </w:rPr>
        <w:t xml:space="preserve">(2025, 24 de marzo). </w:t>
      </w:r>
      <w:r w:rsidRPr="00023854">
        <w:rPr>
          <w:rFonts w:ascii="Arial" w:hAnsi="Arial" w:cs="Arial"/>
          <w:i/>
          <w:iCs/>
          <w:lang w:val="es-ES_tradnl"/>
        </w:rPr>
        <w:t>General License 41B</w:t>
      </w:r>
      <w:r w:rsidRPr="00023854">
        <w:rPr>
          <w:rFonts w:ascii="Arial" w:hAnsi="Arial" w:cs="Arial"/>
          <w:lang w:val="es-ES_tradnl"/>
        </w:rPr>
        <w:t xml:space="preserve">. Office of Foreign Assets Control. </w:t>
      </w:r>
      <w:hyperlink r:id="rId15" w:tgtFrame="_blank" w:history="1">
        <w:r w:rsidRPr="00023854">
          <w:rPr>
            <w:rStyle w:val="Hipervnculo"/>
            <w:rFonts w:ascii="Arial" w:eastAsiaTheme="majorEastAsia" w:hAnsi="Arial" w:cs="Arial"/>
            <w:lang w:val="es-ES_tradnl"/>
          </w:rPr>
          <w:t>https://ofac.treasury.gov/recent-actions/20250324</w:t>
        </w:r>
      </w:hyperlink>
    </w:p>
    <w:p w14:paraId="0C717151"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7714E1A7"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26412C">
        <w:rPr>
          <w:rFonts w:ascii="Arial" w:hAnsi="Arial" w:cs="Arial"/>
          <w:lang w:val="en-US"/>
        </w:rPr>
        <w:t xml:space="preserve">U.S. Embassy in Venezuela. </w:t>
      </w:r>
      <w:r w:rsidRPr="00023854">
        <w:rPr>
          <w:rFonts w:ascii="Arial" w:hAnsi="Arial" w:cs="Arial"/>
          <w:lang w:val="es-ES_tradnl"/>
        </w:rPr>
        <w:t xml:space="preserve">(2022). </w:t>
      </w:r>
      <w:r w:rsidRPr="00023854">
        <w:rPr>
          <w:rFonts w:ascii="Arial" w:hAnsi="Arial" w:cs="Arial"/>
          <w:i/>
          <w:iCs/>
          <w:lang w:val="es-ES_tradnl"/>
        </w:rPr>
        <w:t>Treasury issues Venezuela General License 41 upon resumption of Mexico City talks</w:t>
      </w:r>
      <w:r w:rsidRPr="00023854">
        <w:rPr>
          <w:rFonts w:ascii="Arial" w:hAnsi="Arial" w:cs="Arial"/>
          <w:lang w:val="es-ES_tradnl"/>
        </w:rPr>
        <w:t xml:space="preserve">. </w:t>
      </w:r>
      <w:hyperlink r:id="rId16" w:tgtFrame="_blank" w:history="1">
        <w:r w:rsidRPr="00023854">
          <w:rPr>
            <w:rStyle w:val="Hipervnculo"/>
            <w:rFonts w:ascii="Arial" w:eastAsiaTheme="majorEastAsia" w:hAnsi="Arial" w:cs="Arial"/>
            <w:lang w:val="es-ES_tradnl"/>
          </w:rPr>
          <w:t>https://ve.usembassy.gov/treasury-issues-venezuela-general-license-41-upon-resumption-of-mexico-city-talks/</w:t>
        </w:r>
      </w:hyperlink>
    </w:p>
    <w:p w14:paraId="7721AA77"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61959F86"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26412C">
        <w:rPr>
          <w:rFonts w:ascii="Arial" w:hAnsi="Arial" w:cs="Arial"/>
          <w:lang w:val="en-US"/>
        </w:rPr>
        <w:t xml:space="preserve">U.S. Energy Information Administration. </w:t>
      </w:r>
      <w:r w:rsidRPr="00023854">
        <w:rPr>
          <w:rFonts w:ascii="Arial" w:hAnsi="Arial" w:cs="Arial"/>
          <w:lang w:val="es-ES_tradnl"/>
        </w:rPr>
        <w:t xml:space="preserve">(2024). </w:t>
      </w:r>
      <w:r w:rsidRPr="00023854">
        <w:rPr>
          <w:rFonts w:ascii="Arial" w:hAnsi="Arial" w:cs="Arial"/>
          <w:i/>
          <w:iCs/>
          <w:lang w:val="es-ES_tradnl"/>
        </w:rPr>
        <w:t>Venezuela - Analysis</w:t>
      </w:r>
      <w:r w:rsidRPr="00023854">
        <w:rPr>
          <w:rFonts w:ascii="Arial" w:hAnsi="Arial" w:cs="Arial"/>
          <w:lang w:val="es-ES_tradnl"/>
        </w:rPr>
        <w:t xml:space="preserve">. </w:t>
      </w:r>
      <w:hyperlink r:id="rId17" w:tgtFrame="_blank" w:history="1">
        <w:r w:rsidRPr="00023854">
          <w:rPr>
            <w:rStyle w:val="Hipervnculo"/>
            <w:rFonts w:ascii="Arial" w:eastAsiaTheme="majorEastAsia" w:hAnsi="Arial" w:cs="Arial"/>
            <w:lang w:val="es-ES_tradnl"/>
          </w:rPr>
          <w:t>https://www.eia.gov/international/overview/country/ven</w:t>
        </w:r>
      </w:hyperlink>
    </w:p>
    <w:p w14:paraId="4415C11B"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119DF217"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26412C">
        <w:rPr>
          <w:rFonts w:ascii="Arial" w:hAnsi="Arial" w:cs="Arial"/>
          <w:lang w:val="en-US"/>
        </w:rPr>
        <w:t xml:space="preserve">U.S. Energy Information Administration. </w:t>
      </w:r>
      <w:r w:rsidRPr="00023854">
        <w:rPr>
          <w:rFonts w:ascii="Arial" w:hAnsi="Arial" w:cs="Arial"/>
          <w:lang w:val="es-ES_tradnl"/>
        </w:rPr>
        <w:t xml:space="preserve">(2024). </w:t>
      </w:r>
      <w:r w:rsidRPr="00023854">
        <w:rPr>
          <w:rFonts w:ascii="Arial" w:hAnsi="Arial" w:cs="Arial"/>
          <w:i/>
          <w:iCs/>
          <w:lang w:val="es-ES_tradnl"/>
        </w:rPr>
        <w:t>Petroleum and other liquids - Venezuela</w:t>
      </w:r>
      <w:r w:rsidRPr="00023854">
        <w:rPr>
          <w:rFonts w:ascii="Arial" w:hAnsi="Arial" w:cs="Arial"/>
          <w:lang w:val="es-ES_tradnl"/>
        </w:rPr>
        <w:t xml:space="preserve">. </w:t>
      </w:r>
      <w:hyperlink r:id="rId18" w:tgtFrame="_blank" w:history="1">
        <w:r w:rsidRPr="00023854">
          <w:rPr>
            <w:rStyle w:val="Hipervnculo"/>
            <w:rFonts w:ascii="Arial" w:eastAsiaTheme="majorEastAsia" w:hAnsi="Arial" w:cs="Arial"/>
            <w:lang w:val="es-ES_tradnl"/>
          </w:rPr>
          <w:t>https://www.eia.gov/international/analysis/country/VEN</w:t>
        </w:r>
      </w:hyperlink>
    </w:p>
    <w:p w14:paraId="735D288E"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57E9C55F" w14:textId="77777777" w:rsidR="00023854" w:rsidRPr="00023854" w:rsidRDefault="00023854" w:rsidP="0026412C">
      <w:pPr>
        <w:pStyle w:val="NormalWeb"/>
        <w:numPr>
          <w:ilvl w:val="0"/>
          <w:numId w:val="4"/>
        </w:numPr>
        <w:adjustRightInd w:val="0"/>
        <w:snapToGrid w:val="0"/>
        <w:spacing w:before="0" w:beforeAutospacing="0" w:after="0" w:afterAutospacing="0"/>
        <w:jc w:val="both"/>
        <w:rPr>
          <w:rFonts w:ascii="Arial" w:hAnsi="Arial" w:cs="Arial"/>
          <w:lang w:val="es-ES_tradnl"/>
        </w:rPr>
      </w:pPr>
      <w:r w:rsidRPr="0026412C">
        <w:rPr>
          <w:rFonts w:ascii="Arial" w:hAnsi="Arial" w:cs="Arial"/>
          <w:lang w:val="en-US"/>
        </w:rPr>
        <w:t xml:space="preserve">U.S. Energy Information Administration. </w:t>
      </w:r>
      <w:r w:rsidRPr="00023854">
        <w:rPr>
          <w:rFonts w:ascii="Arial" w:hAnsi="Arial" w:cs="Arial"/>
          <w:lang w:val="es-ES_tradnl"/>
        </w:rPr>
        <w:t xml:space="preserve">(2026). </w:t>
      </w:r>
      <w:r w:rsidRPr="00023854">
        <w:rPr>
          <w:rFonts w:ascii="Arial" w:hAnsi="Arial" w:cs="Arial"/>
          <w:i/>
          <w:iCs/>
          <w:lang w:val="es-ES_tradnl"/>
        </w:rPr>
        <w:t>Petroleum Data: Crude reserves and production</w:t>
      </w:r>
      <w:r w:rsidRPr="00023854">
        <w:rPr>
          <w:rFonts w:ascii="Arial" w:hAnsi="Arial" w:cs="Arial"/>
          <w:lang w:val="es-ES_tradnl"/>
        </w:rPr>
        <w:t xml:space="preserve">. </w:t>
      </w:r>
      <w:hyperlink r:id="rId19" w:tgtFrame="_blank" w:history="1">
        <w:r w:rsidRPr="00023854">
          <w:rPr>
            <w:rStyle w:val="Hipervnculo"/>
            <w:rFonts w:ascii="Arial" w:eastAsiaTheme="majorEastAsia" w:hAnsi="Arial" w:cs="Arial"/>
            <w:lang w:val="es-ES_tradnl"/>
          </w:rPr>
          <w:t>https://www.eia.gov/petroleum/data.php</w:t>
        </w:r>
      </w:hyperlink>
    </w:p>
    <w:p w14:paraId="3E45BC08" w14:textId="77777777" w:rsidR="00023854" w:rsidRPr="00023854" w:rsidRDefault="00023854" w:rsidP="0026412C">
      <w:pPr>
        <w:pStyle w:val="NormalWeb"/>
        <w:adjustRightInd w:val="0"/>
        <w:snapToGrid w:val="0"/>
        <w:spacing w:before="0" w:beforeAutospacing="0" w:after="0" w:afterAutospacing="0"/>
        <w:ind w:left="720"/>
        <w:jc w:val="both"/>
        <w:rPr>
          <w:rFonts w:ascii="Arial" w:hAnsi="Arial" w:cs="Arial"/>
          <w:lang w:val="es-ES_tradnl"/>
        </w:rPr>
      </w:pPr>
    </w:p>
    <w:p w14:paraId="144B55AD" w14:textId="77777777" w:rsidR="00023854" w:rsidRPr="00023854" w:rsidRDefault="00023854" w:rsidP="00023854">
      <w:pPr>
        <w:adjustRightInd w:val="0"/>
        <w:snapToGrid w:val="0"/>
        <w:jc w:val="both"/>
        <w:rPr>
          <w:rFonts w:ascii="Arial" w:hAnsi="Arial" w:cs="Arial"/>
        </w:rPr>
      </w:pPr>
    </w:p>
    <w:sectPr w:rsidR="00023854" w:rsidRPr="00023854" w:rsidSect="000238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861663"/>
    <w:multiLevelType w:val="hybridMultilevel"/>
    <w:tmpl w:val="1E84FC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8C200EA"/>
    <w:multiLevelType w:val="multilevel"/>
    <w:tmpl w:val="6E5C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B095D"/>
    <w:multiLevelType w:val="hybridMultilevel"/>
    <w:tmpl w:val="E4DA32F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70D61C67"/>
    <w:multiLevelType w:val="multilevel"/>
    <w:tmpl w:val="9E4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899982">
    <w:abstractNumId w:val="1"/>
  </w:num>
  <w:num w:numId="2" w16cid:durableId="961501539">
    <w:abstractNumId w:val="3"/>
  </w:num>
  <w:num w:numId="3" w16cid:durableId="1799715316">
    <w:abstractNumId w:val="2"/>
  </w:num>
  <w:num w:numId="4" w16cid:durableId="17022477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E5"/>
    <w:rsid w:val="000217A9"/>
    <w:rsid w:val="00023854"/>
    <w:rsid w:val="000814F3"/>
    <w:rsid w:val="00091931"/>
    <w:rsid w:val="00185F13"/>
    <w:rsid w:val="001C2E65"/>
    <w:rsid w:val="001E20C3"/>
    <w:rsid w:val="0026412C"/>
    <w:rsid w:val="002940E5"/>
    <w:rsid w:val="002C5116"/>
    <w:rsid w:val="0035610F"/>
    <w:rsid w:val="004C356E"/>
    <w:rsid w:val="004D3EF3"/>
    <w:rsid w:val="005444D6"/>
    <w:rsid w:val="005666BD"/>
    <w:rsid w:val="00592D44"/>
    <w:rsid w:val="005A610D"/>
    <w:rsid w:val="005E016D"/>
    <w:rsid w:val="00623F66"/>
    <w:rsid w:val="006A3D9C"/>
    <w:rsid w:val="006E46FC"/>
    <w:rsid w:val="00777C46"/>
    <w:rsid w:val="007861D2"/>
    <w:rsid w:val="007C6E77"/>
    <w:rsid w:val="008720A8"/>
    <w:rsid w:val="00872FDA"/>
    <w:rsid w:val="008F56CF"/>
    <w:rsid w:val="0091473B"/>
    <w:rsid w:val="00962548"/>
    <w:rsid w:val="00986591"/>
    <w:rsid w:val="00AB284D"/>
    <w:rsid w:val="00B30752"/>
    <w:rsid w:val="00B34BCF"/>
    <w:rsid w:val="00BD1684"/>
    <w:rsid w:val="00BF2ECF"/>
    <w:rsid w:val="00C26B77"/>
    <w:rsid w:val="00C553AB"/>
    <w:rsid w:val="00C8588F"/>
    <w:rsid w:val="00D542C7"/>
    <w:rsid w:val="00D7230E"/>
    <w:rsid w:val="00D74429"/>
    <w:rsid w:val="00E2644A"/>
    <w:rsid w:val="00ED1930"/>
    <w:rsid w:val="00EE0696"/>
    <w:rsid w:val="00F97274"/>
    <w:rsid w:val="00FC248E"/>
    <w:rsid w:val="00FD6FD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1C90"/>
  <w15:chartTrackingRefBased/>
  <w15:docId w15:val="{266AA6D6-72AA-F84C-8366-82E5B420F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D6"/>
    <w:rPr>
      <w:rFonts w:ascii="Times New Roman" w:eastAsia="Times New Roman" w:hAnsi="Times New Roman" w:cs="Times New Roman"/>
      <w:kern w:val="0"/>
      <w:lang w:val="es-ES_tradnl" w:eastAsia="es-MX"/>
      <w14:ligatures w14:val="none"/>
    </w:rPr>
  </w:style>
  <w:style w:type="paragraph" w:styleId="Ttulo1">
    <w:name w:val="heading 1"/>
    <w:basedOn w:val="Normal"/>
    <w:next w:val="Normal"/>
    <w:link w:val="Ttulo1Car"/>
    <w:uiPriority w:val="9"/>
    <w:qFormat/>
    <w:rsid w:val="00023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23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238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38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38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385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385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385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385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854"/>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023854"/>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023854"/>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023854"/>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023854"/>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023854"/>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023854"/>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023854"/>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023854"/>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02385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3854"/>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02385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3854"/>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02385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23854"/>
    <w:rPr>
      <w:i/>
      <w:iCs/>
      <w:color w:val="404040" w:themeColor="text1" w:themeTint="BF"/>
      <w:lang w:val="es-ES_tradnl"/>
    </w:rPr>
  </w:style>
  <w:style w:type="paragraph" w:styleId="Prrafodelista">
    <w:name w:val="List Paragraph"/>
    <w:basedOn w:val="Normal"/>
    <w:uiPriority w:val="34"/>
    <w:qFormat/>
    <w:rsid w:val="00023854"/>
    <w:pPr>
      <w:ind w:left="720"/>
      <w:contextualSpacing/>
    </w:pPr>
  </w:style>
  <w:style w:type="character" w:styleId="nfasisintenso">
    <w:name w:val="Intense Emphasis"/>
    <w:basedOn w:val="Fuentedeprrafopredeter"/>
    <w:uiPriority w:val="21"/>
    <w:qFormat/>
    <w:rsid w:val="00023854"/>
    <w:rPr>
      <w:i/>
      <w:iCs/>
      <w:color w:val="0F4761" w:themeColor="accent1" w:themeShade="BF"/>
    </w:rPr>
  </w:style>
  <w:style w:type="paragraph" w:styleId="Citadestacada">
    <w:name w:val="Intense Quote"/>
    <w:basedOn w:val="Normal"/>
    <w:next w:val="Normal"/>
    <w:link w:val="CitadestacadaCar"/>
    <w:uiPriority w:val="30"/>
    <w:qFormat/>
    <w:rsid w:val="00023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3854"/>
    <w:rPr>
      <w:i/>
      <w:iCs/>
      <w:color w:val="0F4761" w:themeColor="accent1" w:themeShade="BF"/>
      <w:lang w:val="es-ES_tradnl"/>
    </w:rPr>
  </w:style>
  <w:style w:type="character" w:styleId="Referenciaintensa">
    <w:name w:val="Intense Reference"/>
    <w:basedOn w:val="Fuentedeprrafopredeter"/>
    <w:uiPriority w:val="32"/>
    <w:qFormat/>
    <w:rsid w:val="00023854"/>
    <w:rPr>
      <w:b/>
      <w:bCs/>
      <w:smallCaps/>
      <w:color w:val="0F4761" w:themeColor="accent1" w:themeShade="BF"/>
      <w:spacing w:val="5"/>
    </w:rPr>
  </w:style>
  <w:style w:type="paragraph" w:styleId="NormalWeb">
    <w:name w:val="Normal (Web)"/>
    <w:basedOn w:val="Normal"/>
    <w:uiPriority w:val="99"/>
    <w:semiHidden/>
    <w:unhideWhenUsed/>
    <w:rsid w:val="00023854"/>
    <w:pPr>
      <w:spacing w:before="100" w:beforeAutospacing="1" w:after="100" w:afterAutospacing="1"/>
    </w:pPr>
    <w:rPr>
      <w:lang w:val="es-VE"/>
    </w:rPr>
  </w:style>
  <w:style w:type="character" w:customStyle="1" w:styleId="button-container">
    <w:name w:val="button-container"/>
    <w:basedOn w:val="Fuentedeprrafopredeter"/>
    <w:rsid w:val="00023854"/>
  </w:style>
  <w:style w:type="paragraph" w:customStyle="1" w:styleId="animating">
    <w:name w:val="animating"/>
    <w:basedOn w:val="Normal"/>
    <w:rsid w:val="00023854"/>
    <w:pPr>
      <w:spacing w:before="100" w:beforeAutospacing="1" w:after="100" w:afterAutospacing="1"/>
    </w:pPr>
    <w:rPr>
      <w:lang w:val="es-VE"/>
    </w:rPr>
  </w:style>
  <w:style w:type="character" w:customStyle="1" w:styleId="animating1">
    <w:name w:val="animating1"/>
    <w:basedOn w:val="Fuentedeprrafopredeter"/>
    <w:rsid w:val="00023854"/>
  </w:style>
  <w:style w:type="character" w:customStyle="1" w:styleId="pending">
    <w:name w:val="pending"/>
    <w:basedOn w:val="Fuentedeprrafopredeter"/>
    <w:rsid w:val="00023854"/>
  </w:style>
  <w:style w:type="character" w:styleId="Fuerte">
    <w:name w:val="Strong"/>
    <w:basedOn w:val="Fuentedeprrafopredeter"/>
    <w:uiPriority w:val="22"/>
    <w:qFormat/>
    <w:rsid w:val="00023854"/>
    <w:rPr>
      <w:b/>
      <w:bCs/>
    </w:rPr>
  </w:style>
  <w:style w:type="character" w:styleId="Hipervnculo">
    <w:name w:val="Hyperlink"/>
    <w:basedOn w:val="Fuentedeprrafopredeter"/>
    <w:uiPriority w:val="99"/>
    <w:semiHidden/>
    <w:unhideWhenUsed/>
    <w:rsid w:val="00023854"/>
    <w:rPr>
      <w:color w:val="0000FF"/>
      <w:u w:val="single"/>
    </w:rPr>
  </w:style>
  <w:style w:type="table" w:styleId="Tablaconcuadrcula">
    <w:name w:val="Table Grid"/>
    <w:basedOn w:val="Tablanormal"/>
    <w:uiPriority w:val="39"/>
    <w:rsid w:val="00AB2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qyif">
    <w:name w:val="inqyif"/>
    <w:basedOn w:val="Fuentedeprrafopredeter"/>
    <w:rsid w:val="00544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407189">
      <w:bodyDiv w:val="1"/>
      <w:marLeft w:val="0"/>
      <w:marRight w:val="0"/>
      <w:marTop w:val="0"/>
      <w:marBottom w:val="0"/>
      <w:divBdr>
        <w:top w:val="none" w:sz="0" w:space="0" w:color="auto"/>
        <w:left w:val="none" w:sz="0" w:space="0" w:color="auto"/>
        <w:bottom w:val="none" w:sz="0" w:space="0" w:color="auto"/>
        <w:right w:val="none" w:sz="0" w:space="0" w:color="auto"/>
      </w:divBdr>
      <w:divsChild>
        <w:div w:id="1362895717">
          <w:marLeft w:val="0"/>
          <w:marRight w:val="0"/>
          <w:marTop w:val="0"/>
          <w:marBottom w:val="0"/>
          <w:divBdr>
            <w:top w:val="none" w:sz="0" w:space="0" w:color="auto"/>
            <w:left w:val="none" w:sz="0" w:space="0" w:color="auto"/>
            <w:bottom w:val="none" w:sz="0" w:space="0" w:color="auto"/>
            <w:right w:val="none" w:sz="0" w:space="0" w:color="auto"/>
          </w:divBdr>
        </w:div>
        <w:div w:id="1850489752">
          <w:marLeft w:val="0"/>
          <w:marRight w:val="0"/>
          <w:marTop w:val="0"/>
          <w:marBottom w:val="0"/>
          <w:divBdr>
            <w:top w:val="none" w:sz="0" w:space="0" w:color="auto"/>
            <w:left w:val="none" w:sz="0" w:space="0" w:color="auto"/>
            <w:bottom w:val="none" w:sz="0" w:space="0" w:color="auto"/>
            <w:right w:val="none" w:sz="0" w:space="0" w:color="auto"/>
          </w:divBdr>
        </w:div>
        <w:div w:id="1243636716">
          <w:marLeft w:val="0"/>
          <w:marRight w:val="0"/>
          <w:marTop w:val="0"/>
          <w:marBottom w:val="0"/>
          <w:divBdr>
            <w:top w:val="none" w:sz="0" w:space="0" w:color="auto"/>
            <w:left w:val="none" w:sz="0" w:space="0" w:color="auto"/>
            <w:bottom w:val="none" w:sz="0" w:space="0" w:color="auto"/>
            <w:right w:val="none" w:sz="0" w:space="0" w:color="auto"/>
          </w:divBdr>
        </w:div>
      </w:divsChild>
    </w:div>
    <w:div w:id="67728485">
      <w:bodyDiv w:val="1"/>
      <w:marLeft w:val="0"/>
      <w:marRight w:val="0"/>
      <w:marTop w:val="0"/>
      <w:marBottom w:val="0"/>
      <w:divBdr>
        <w:top w:val="none" w:sz="0" w:space="0" w:color="auto"/>
        <w:left w:val="none" w:sz="0" w:space="0" w:color="auto"/>
        <w:bottom w:val="none" w:sz="0" w:space="0" w:color="auto"/>
        <w:right w:val="none" w:sz="0" w:space="0" w:color="auto"/>
      </w:divBdr>
      <w:divsChild>
        <w:div w:id="1332177313">
          <w:marLeft w:val="0"/>
          <w:marRight w:val="0"/>
          <w:marTop w:val="0"/>
          <w:marBottom w:val="0"/>
          <w:divBdr>
            <w:top w:val="none" w:sz="0" w:space="0" w:color="auto"/>
            <w:left w:val="none" w:sz="0" w:space="0" w:color="auto"/>
            <w:bottom w:val="none" w:sz="0" w:space="0" w:color="auto"/>
            <w:right w:val="none" w:sz="0" w:space="0" w:color="auto"/>
          </w:divBdr>
          <w:divsChild>
            <w:div w:id="658341749">
              <w:marLeft w:val="0"/>
              <w:marRight w:val="0"/>
              <w:marTop w:val="0"/>
              <w:marBottom w:val="0"/>
              <w:divBdr>
                <w:top w:val="none" w:sz="0" w:space="0" w:color="auto"/>
                <w:left w:val="none" w:sz="0" w:space="0" w:color="auto"/>
                <w:bottom w:val="none" w:sz="0" w:space="0" w:color="auto"/>
                <w:right w:val="none" w:sz="0" w:space="0" w:color="auto"/>
              </w:divBdr>
            </w:div>
          </w:divsChild>
        </w:div>
        <w:div w:id="1463184071">
          <w:marLeft w:val="0"/>
          <w:marRight w:val="0"/>
          <w:marTop w:val="0"/>
          <w:marBottom w:val="0"/>
          <w:divBdr>
            <w:top w:val="none" w:sz="0" w:space="0" w:color="auto"/>
            <w:left w:val="none" w:sz="0" w:space="0" w:color="auto"/>
            <w:bottom w:val="none" w:sz="0" w:space="0" w:color="auto"/>
            <w:right w:val="none" w:sz="0" w:space="0" w:color="auto"/>
          </w:divBdr>
          <w:divsChild>
            <w:div w:id="702022538">
              <w:marLeft w:val="0"/>
              <w:marRight w:val="0"/>
              <w:marTop w:val="0"/>
              <w:marBottom w:val="0"/>
              <w:divBdr>
                <w:top w:val="none" w:sz="0" w:space="0" w:color="auto"/>
                <w:left w:val="none" w:sz="0" w:space="0" w:color="auto"/>
                <w:bottom w:val="none" w:sz="0" w:space="0" w:color="auto"/>
                <w:right w:val="none" w:sz="0" w:space="0" w:color="auto"/>
              </w:divBdr>
              <w:divsChild>
                <w:div w:id="1503546011">
                  <w:marLeft w:val="0"/>
                  <w:marRight w:val="0"/>
                  <w:marTop w:val="0"/>
                  <w:marBottom w:val="0"/>
                  <w:divBdr>
                    <w:top w:val="none" w:sz="0" w:space="0" w:color="auto"/>
                    <w:left w:val="none" w:sz="0" w:space="0" w:color="auto"/>
                    <w:bottom w:val="none" w:sz="0" w:space="0" w:color="auto"/>
                    <w:right w:val="none" w:sz="0" w:space="0" w:color="auto"/>
                  </w:divBdr>
                  <w:divsChild>
                    <w:div w:id="711686445">
                      <w:marLeft w:val="0"/>
                      <w:marRight w:val="0"/>
                      <w:marTop w:val="0"/>
                      <w:marBottom w:val="0"/>
                      <w:divBdr>
                        <w:top w:val="none" w:sz="0" w:space="0" w:color="auto"/>
                        <w:left w:val="none" w:sz="0" w:space="0" w:color="auto"/>
                        <w:bottom w:val="none" w:sz="0" w:space="0" w:color="auto"/>
                        <w:right w:val="none" w:sz="0" w:space="0" w:color="auto"/>
                      </w:divBdr>
                      <w:divsChild>
                        <w:div w:id="1737820035">
                          <w:marLeft w:val="0"/>
                          <w:marRight w:val="0"/>
                          <w:marTop w:val="0"/>
                          <w:marBottom w:val="0"/>
                          <w:divBdr>
                            <w:top w:val="none" w:sz="0" w:space="0" w:color="auto"/>
                            <w:left w:val="none" w:sz="0" w:space="0" w:color="auto"/>
                            <w:bottom w:val="none" w:sz="0" w:space="0" w:color="auto"/>
                            <w:right w:val="none" w:sz="0" w:space="0" w:color="auto"/>
                          </w:divBdr>
                          <w:divsChild>
                            <w:div w:id="81224994">
                              <w:marLeft w:val="0"/>
                              <w:marRight w:val="0"/>
                              <w:marTop w:val="0"/>
                              <w:marBottom w:val="0"/>
                              <w:divBdr>
                                <w:top w:val="none" w:sz="0" w:space="0" w:color="auto"/>
                                <w:left w:val="none" w:sz="0" w:space="0" w:color="auto"/>
                                <w:bottom w:val="none" w:sz="0" w:space="0" w:color="auto"/>
                                <w:right w:val="none" w:sz="0" w:space="0" w:color="auto"/>
                              </w:divBdr>
                              <w:divsChild>
                                <w:div w:id="377123092">
                                  <w:marLeft w:val="0"/>
                                  <w:marRight w:val="0"/>
                                  <w:marTop w:val="240"/>
                                  <w:marBottom w:val="0"/>
                                  <w:divBdr>
                                    <w:top w:val="none" w:sz="0" w:space="0" w:color="auto"/>
                                    <w:left w:val="none" w:sz="0" w:space="0" w:color="auto"/>
                                    <w:bottom w:val="none" w:sz="0" w:space="0" w:color="auto"/>
                                    <w:right w:val="none" w:sz="0" w:space="0" w:color="auto"/>
                                  </w:divBdr>
                                </w:div>
                                <w:div w:id="7698134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86617">
      <w:bodyDiv w:val="1"/>
      <w:marLeft w:val="0"/>
      <w:marRight w:val="0"/>
      <w:marTop w:val="0"/>
      <w:marBottom w:val="0"/>
      <w:divBdr>
        <w:top w:val="none" w:sz="0" w:space="0" w:color="auto"/>
        <w:left w:val="none" w:sz="0" w:space="0" w:color="auto"/>
        <w:bottom w:val="none" w:sz="0" w:space="0" w:color="auto"/>
        <w:right w:val="none" w:sz="0" w:space="0" w:color="auto"/>
      </w:divBdr>
    </w:div>
    <w:div w:id="286425049">
      <w:bodyDiv w:val="1"/>
      <w:marLeft w:val="0"/>
      <w:marRight w:val="0"/>
      <w:marTop w:val="0"/>
      <w:marBottom w:val="0"/>
      <w:divBdr>
        <w:top w:val="none" w:sz="0" w:space="0" w:color="auto"/>
        <w:left w:val="none" w:sz="0" w:space="0" w:color="auto"/>
        <w:bottom w:val="none" w:sz="0" w:space="0" w:color="auto"/>
        <w:right w:val="none" w:sz="0" w:space="0" w:color="auto"/>
      </w:divBdr>
      <w:divsChild>
        <w:div w:id="1628193427">
          <w:marLeft w:val="0"/>
          <w:marRight w:val="0"/>
          <w:marTop w:val="0"/>
          <w:marBottom w:val="0"/>
          <w:divBdr>
            <w:top w:val="none" w:sz="0" w:space="0" w:color="auto"/>
            <w:left w:val="none" w:sz="0" w:space="0" w:color="auto"/>
            <w:bottom w:val="none" w:sz="0" w:space="0" w:color="auto"/>
            <w:right w:val="none" w:sz="0" w:space="0" w:color="auto"/>
          </w:divBdr>
        </w:div>
        <w:div w:id="662246001">
          <w:marLeft w:val="0"/>
          <w:marRight w:val="0"/>
          <w:marTop w:val="0"/>
          <w:marBottom w:val="0"/>
          <w:divBdr>
            <w:top w:val="none" w:sz="0" w:space="0" w:color="auto"/>
            <w:left w:val="none" w:sz="0" w:space="0" w:color="auto"/>
            <w:bottom w:val="none" w:sz="0" w:space="0" w:color="auto"/>
            <w:right w:val="none" w:sz="0" w:space="0" w:color="auto"/>
          </w:divBdr>
        </w:div>
      </w:divsChild>
    </w:div>
    <w:div w:id="470488719">
      <w:bodyDiv w:val="1"/>
      <w:marLeft w:val="0"/>
      <w:marRight w:val="0"/>
      <w:marTop w:val="0"/>
      <w:marBottom w:val="0"/>
      <w:divBdr>
        <w:top w:val="none" w:sz="0" w:space="0" w:color="auto"/>
        <w:left w:val="none" w:sz="0" w:space="0" w:color="auto"/>
        <w:bottom w:val="none" w:sz="0" w:space="0" w:color="auto"/>
        <w:right w:val="none" w:sz="0" w:space="0" w:color="auto"/>
      </w:divBdr>
      <w:divsChild>
        <w:div w:id="765735799">
          <w:marLeft w:val="0"/>
          <w:marRight w:val="0"/>
          <w:marTop w:val="0"/>
          <w:marBottom w:val="0"/>
          <w:divBdr>
            <w:top w:val="none" w:sz="0" w:space="0" w:color="auto"/>
            <w:left w:val="none" w:sz="0" w:space="0" w:color="auto"/>
            <w:bottom w:val="none" w:sz="0" w:space="0" w:color="auto"/>
            <w:right w:val="none" w:sz="0" w:space="0" w:color="auto"/>
          </w:divBdr>
        </w:div>
        <w:div w:id="1351226880">
          <w:marLeft w:val="0"/>
          <w:marRight w:val="0"/>
          <w:marTop w:val="0"/>
          <w:marBottom w:val="0"/>
          <w:divBdr>
            <w:top w:val="none" w:sz="0" w:space="0" w:color="auto"/>
            <w:left w:val="none" w:sz="0" w:space="0" w:color="auto"/>
            <w:bottom w:val="none" w:sz="0" w:space="0" w:color="auto"/>
            <w:right w:val="none" w:sz="0" w:space="0" w:color="auto"/>
          </w:divBdr>
        </w:div>
      </w:divsChild>
    </w:div>
    <w:div w:id="999846690">
      <w:bodyDiv w:val="1"/>
      <w:marLeft w:val="0"/>
      <w:marRight w:val="0"/>
      <w:marTop w:val="0"/>
      <w:marBottom w:val="0"/>
      <w:divBdr>
        <w:top w:val="none" w:sz="0" w:space="0" w:color="auto"/>
        <w:left w:val="none" w:sz="0" w:space="0" w:color="auto"/>
        <w:bottom w:val="none" w:sz="0" w:space="0" w:color="auto"/>
        <w:right w:val="none" w:sz="0" w:space="0" w:color="auto"/>
      </w:divBdr>
      <w:divsChild>
        <w:div w:id="516235428">
          <w:marLeft w:val="0"/>
          <w:marRight w:val="0"/>
          <w:marTop w:val="0"/>
          <w:marBottom w:val="0"/>
          <w:divBdr>
            <w:top w:val="none" w:sz="0" w:space="0" w:color="auto"/>
            <w:left w:val="none" w:sz="0" w:space="0" w:color="auto"/>
            <w:bottom w:val="none" w:sz="0" w:space="0" w:color="auto"/>
            <w:right w:val="none" w:sz="0" w:space="0" w:color="auto"/>
          </w:divBdr>
        </w:div>
        <w:div w:id="1116414259">
          <w:marLeft w:val="0"/>
          <w:marRight w:val="0"/>
          <w:marTop w:val="0"/>
          <w:marBottom w:val="0"/>
          <w:divBdr>
            <w:top w:val="none" w:sz="0" w:space="0" w:color="auto"/>
            <w:left w:val="none" w:sz="0" w:space="0" w:color="auto"/>
            <w:bottom w:val="none" w:sz="0" w:space="0" w:color="auto"/>
            <w:right w:val="none" w:sz="0" w:space="0" w:color="auto"/>
          </w:divBdr>
        </w:div>
        <w:div w:id="590628880">
          <w:marLeft w:val="0"/>
          <w:marRight w:val="0"/>
          <w:marTop w:val="0"/>
          <w:marBottom w:val="0"/>
          <w:divBdr>
            <w:top w:val="none" w:sz="0" w:space="0" w:color="auto"/>
            <w:left w:val="none" w:sz="0" w:space="0" w:color="auto"/>
            <w:bottom w:val="none" w:sz="0" w:space="0" w:color="auto"/>
            <w:right w:val="none" w:sz="0" w:space="0" w:color="auto"/>
          </w:divBdr>
        </w:div>
      </w:divsChild>
    </w:div>
    <w:div w:id="2110809462">
      <w:bodyDiv w:val="1"/>
      <w:marLeft w:val="0"/>
      <w:marRight w:val="0"/>
      <w:marTop w:val="0"/>
      <w:marBottom w:val="0"/>
      <w:divBdr>
        <w:top w:val="none" w:sz="0" w:space="0" w:color="auto"/>
        <w:left w:val="none" w:sz="0" w:space="0" w:color="auto"/>
        <w:bottom w:val="none" w:sz="0" w:space="0" w:color="auto"/>
        <w:right w:val="none" w:sz="0" w:space="0" w:color="auto"/>
      </w:divBdr>
      <w:divsChild>
        <w:div w:id="1600986869">
          <w:marLeft w:val="0"/>
          <w:marRight w:val="0"/>
          <w:marTop w:val="0"/>
          <w:marBottom w:val="0"/>
          <w:divBdr>
            <w:top w:val="none" w:sz="0" w:space="0" w:color="auto"/>
            <w:left w:val="none" w:sz="0" w:space="0" w:color="auto"/>
            <w:bottom w:val="none" w:sz="0" w:space="0" w:color="auto"/>
            <w:right w:val="none" w:sz="0" w:space="0" w:color="auto"/>
          </w:divBdr>
          <w:divsChild>
            <w:div w:id="1066302662">
              <w:marLeft w:val="0"/>
              <w:marRight w:val="0"/>
              <w:marTop w:val="0"/>
              <w:marBottom w:val="0"/>
              <w:divBdr>
                <w:top w:val="none" w:sz="0" w:space="0" w:color="auto"/>
                <w:left w:val="none" w:sz="0" w:space="0" w:color="auto"/>
                <w:bottom w:val="none" w:sz="0" w:space="0" w:color="auto"/>
                <w:right w:val="none" w:sz="0" w:space="0" w:color="auto"/>
              </w:divBdr>
            </w:div>
          </w:divsChild>
        </w:div>
        <w:div w:id="1937864729">
          <w:marLeft w:val="0"/>
          <w:marRight w:val="0"/>
          <w:marTop w:val="0"/>
          <w:marBottom w:val="0"/>
          <w:divBdr>
            <w:top w:val="none" w:sz="0" w:space="0" w:color="auto"/>
            <w:left w:val="none" w:sz="0" w:space="0" w:color="auto"/>
            <w:bottom w:val="none" w:sz="0" w:space="0" w:color="auto"/>
            <w:right w:val="none" w:sz="0" w:space="0" w:color="auto"/>
          </w:divBdr>
          <w:divsChild>
            <w:div w:id="1539853577">
              <w:marLeft w:val="0"/>
              <w:marRight w:val="0"/>
              <w:marTop w:val="0"/>
              <w:marBottom w:val="0"/>
              <w:divBdr>
                <w:top w:val="none" w:sz="0" w:space="0" w:color="auto"/>
                <w:left w:val="none" w:sz="0" w:space="0" w:color="auto"/>
                <w:bottom w:val="none" w:sz="0" w:space="0" w:color="auto"/>
                <w:right w:val="none" w:sz="0" w:space="0" w:color="auto"/>
              </w:divBdr>
              <w:divsChild>
                <w:div w:id="1149319541">
                  <w:marLeft w:val="0"/>
                  <w:marRight w:val="0"/>
                  <w:marTop w:val="0"/>
                  <w:marBottom w:val="0"/>
                  <w:divBdr>
                    <w:top w:val="none" w:sz="0" w:space="0" w:color="auto"/>
                    <w:left w:val="none" w:sz="0" w:space="0" w:color="auto"/>
                    <w:bottom w:val="none" w:sz="0" w:space="0" w:color="auto"/>
                    <w:right w:val="none" w:sz="0" w:space="0" w:color="auto"/>
                  </w:divBdr>
                  <w:divsChild>
                    <w:div w:id="87387586">
                      <w:marLeft w:val="0"/>
                      <w:marRight w:val="0"/>
                      <w:marTop w:val="0"/>
                      <w:marBottom w:val="0"/>
                      <w:divBdr>
                        <w:top w:val="none" w:sz="0" w:space="0" w:color="auto"/>
                        <w:left w:val="none" w:sz="0" w:space="0" w:color="auto"/>
                        <w:bottom w:val="none" w:sz="0" w:space="0" w:color="auto"/>
                        <w:right w:val="none" w:sz="0" w:space="0" w:color="auto"/>
                      </w:divBdr>
                      <w:divsChild>
                        <w:div w:id="1421297779">
                          <w:marLeft w:val="0"/>
                          <w:marRight w:val="0"/>
                          <w:marTop w:val="0"/>
                          <w:marBottom w:val="0"/>
                          <w:divBdr>
                            <w:top w:val="none" w:sz="0" w:space="0" w:color="auto"/>
                            <w:left w:val="none" w:sz="0" w:space="0" w:color="auto"/>
                            <w:bottom w:val="none" w:sz="0" w:space="0" w:color="auto"/>
                            <w:right w:val="none" w:sz="0" w:space="0" w:color="auto"/>
                          </w:divBdr>
                          <w:divsChild>
                            <w:div w:id="221674387">
                              <w:marLeft w:val="0"/>
                              <w:marRight w:val="0"/>
                              <w:marTop w:val="0"/>
                              <w:marBottom w:val="0"/>
                              <w:divBdr>
                                <w:top w:val="none" w:sz="0" w:space="0" w:color="auto"/>
                                <w:left w:val="none" w:sz="0" w:space="0" w:color="auto"/>
                                <w:bottom w:val="none" w:sz="0" w:space="0" w:color="auto"/>
                                <w:right w:val="none" w:sz="0" w:space="0" w:color="auto"/>
                              </w:divBdr>
                              <w:divsChild>
                                <w:div w:id="2135247846">
                                  <w:marLeft w:val="0"/>
                                  <w:marRight w:val="0"/>
                                  <w:marTop w:val="240"/>
                                  <w:marBottom w:val="0"/>
                                  <w:divBdr>
                                    <w:top w:val="none" w:sz="0" w:space="0" w:color="auto"/>
                                    <w:left w:val="none" w:sz="0" w:space="0" w:color="auto"/>
                                    <w:bottom w:val="none" w:sz="0" w:space="0" w:color="auto"/>
                                    <w:right w:val="none" w:sz="0" w:space="0" w:color="auto"/>
                                  </w:divBdr>
                                </w:div>
                                <w:div w:id="186246950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indepth.org/new-eia-analysis-the-united-states-produced-more-crude-oil-in-2025-than-any-other-country-in-history/" TargetMode="External"/><Relationship Id="rId13" Type="http://schemas.openxmlformats.org/officeDocument/2006/relationships/hyperlink" Target="https://m.economictimes.com/industry/energy/oil-gas/russia-is-one-of-the-worlds-top-oil-producers-so-why-is-it-still-importing-petrol-from-india/articleshow/133624269.cms" TargetMode="External"/><Relationship Id="rId18" Type="http://schemas.openxmlformats.org/officeDocument/2006/relationships/hyperlink" Target="https://www.eia.gov/international/analysis/country/VE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learytradewatch.com/2026/02/ofac-issues-general-licenses-49-and-50a-authorizing-contingent-investments-and-additional-operations-in-venezuelan-oil-and-gas-sector/" TargetMode="External"/><Relationship Id="rId12" Type="http://schemas.openxmlformats.org/officeDocument/2006/relationships/hyperlink" Target="https://ourworldindata.org/grapher/fossil-fuels?fuel=oil&amp;metric=production&amp;per_capita=total" TargetMode="External"/><Relationship Id="rId17" Type="http://schemas.openxmlformats.org/officeDocument/2006/relationships/hyperlink" Target="https://www.eia.gov/international/overview/country/ven" TargetMode="External"/><Relationship Id="rId2" Type="http://schemas.openxmlformats.org/officeDocument/2006/relationships/styles" Target="styles.xml"/><Relationship Id="rId16" Type="http://schemas.openxmlformats.org/officeDocument/2006/relationships/hyperlink" Target="https://ve.usembassy.gov/treasury-issues-venezuela-general-license-41-upon-resumption-of-mexico-city-talk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eicdata.com/en/indicator/venezuela/crude-oil-production" TargetMode="External"/><Relationship Id="rId11" Type="http://schemas.openxmlformats.org/officeDocument/2006/relationships/hyperlink" Target="https://www.industrialinfo.com/iirenergy/industry-news/article/us-crude-oil-inventories-and-2025-exports-colombia-venezuelan-gas-pipeline-restart-your-daily-energy--354693" TargetMode="External"/><Relationship Id="rId5" Type="http://schemas.openxmlformats.org/officeDocument/2006/relationships/hyperlink" Target="https://sanctionsnews.bakermckenzie.com/ofac-issues-venezuela-general-license-authorizing-chevron-to-resume-limited-extraction-operations-related-faqs-and-extends-general-license-related-to-pdvsa-wind-down-transactions/" TargetMode="External"/><Relationship Id="rId15" Type="http://schemas.openxmlformats.org/officeDocument/2006/relationships/hyperlink" Target="https://ofac.treasury.gov/recent-actions/20250324" TargetMode="External"/><Relationship Id="rId10" Type="http://schemas.openxmlformats.org/officeDocument/2006/relationships/hyperlink" Target="https://www.globaltradeandsanctionslaw.com/ofac-venezuela-general-licenses-oil/" TargetMode="External"/><Relationship Id="rId19" Type="http://schemas.openxmlformats.org/officeDocument/2006/relationships/hyperlink" Target="https://www.eia.gov/petroleum/data.php" TargetMode="External"/><Relationship Id="rId4" Type="http://schemas.openxmlformats.org/officeDocument/2006/relationships/webSettings" Target="webSettings.xml"/><Relationship Id="rId9" Type="http://schemas.openxmlformats.org/officeDocument/2006/relationships/hyperlink" Target="https://www.federalregister.gov/documents/2025/07/23/2025-13846/publication-of-venezuela-sanctions-regulations-web-general-licenses-41a-5r-and-41b" TargetMode="External"/><Relationship Id="rId14" Type="http://schemas.openxmlformats.org/officeDocument/2006/relationships/hyperlink" Target="https://ofac.treasury.gov/media/934026/download?i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scardovalg/Dropbox/Mac/Desktop/ACUERDO-PETROLERO-USA-VZLA-AGO2026.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ACUERDO-PETROLERO-USA-VZLA-AGO2026.dotx</Template>
  <TotalTime>1</TotalTime>
  <Pages>14</Pages>
  <Words>5651</Words>
  <Characters>29841</Characters>
  <Application>Microsoft Office Word</Application>
  <DocSecurity>0</DocSecurity>
  <Lines>563</Lines>
  <Paragraphs>262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DOVAL G</dc:creator>
  <cp:keywords/>
  <dc:description/>
  <cp:lastModifiedBy>oscar doval</cp:lastModifiedBy>
  <cp:revision>1</cp:revision>
  <dcterms:created xsi:type="dcterms:W3CDTF">2026-08-31T00:02:00Z</dcterms:created>
  <dcterms:modified xsi:type="dcterms:W3CDTF">2026-08-31T00:03:00Z</dcterms:modified>
</cp:coreProperties>
</file>