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Gestion du changement au sein de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gestion du changement est le processus d'introduction à une transition, un changement ou un développement à long terme au sein d'une organisation. La gestion du changement est particulièrement importante lorsqu'il s'agit de grands changements tels que les changements culturels nécessaires pour réussir avec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Dans ce module, nous explorerons pourquoi il est important pour les organisations de gérer les changements et les éléments clés afin de contribuer à la réussite d'un processus de gestion des changements.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Qu'est-ce que la gestion des changements?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Pourquoi la gestion des changements est-elle importante dans les initiatives de données ouvertes?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Pourquoi la gestion des changements est-elle nécessaire?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Quels sont les éléments clés de la gestion du changement?</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Qu'est-ce que la gestion des changements?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t xml:space="preserve">La gestion du changement est </w:t>
      </w:r>
      <w:r w:rsidDel="00000000" w:rsidR="00000000" w:rsidRPr="00000000">
        <w:rPr>
          <w:b w:val="1"/>
          <w:rtl w:val="0"/>
        </w:rPr>
        <w:t xml:space="preserve">la procédure d'introduction à une transition, un changement ou un développement à long terme au sein d'une organisation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but ultime de la gestion du changement est de changer la manière dont l'organisation fonctionne à long terme. De l'adaptation de ses systèmes, de ses processus et de ses structures, à changer la manière dont les gens pensent et agissent.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gestion du changement est également pertinente pour le secteur public et le secteur privé, et pour les organisations à grande et à petite échelle.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Pourquoi la gestion des changements est-elle importante dans les initiatives de données ouvertes?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y a un mythe selon lequel les données ouvertes ne sont qu'un problème technologique. Cependant, la technologie pour les données ouvertes existe déjà depuis vingt ans, mais pas les données ouvertes elles-mêmes. L'un des plus grands changements de cette époque est la demande de transparence, entraînée par des scandales comme </w:t>
      </w:r>
      <w:hyperlink r:id="rId5">
        <w:r w:rsidDel="00000000" w:rsidR="00000000" w:rsidRPr="00000000">
          <w:rPr>
            <w:color w:val="0000ee"/>
            <w:u w:val="single"/>
            <w:rtl w:val="0"/>
          </w:rPr>
          <w:t xml:space="preserve">le scandale des dépenses des députés britanniques en 2009</w:t>
        </w:r>
      </w:hyperlink>
      <w:r w:rsidDel="00000000" w:rsidR="00000000" w:rsidRPr="00000000">
        <w:rPr>
          <w:rtl w:val="0"/>
        </w:rPr>
        <w:t xml:space="preserve"> et </w:t>
      </w:r>
      <w:hyperlink r:id="rId6">
        <w:r w:rsidDel="00000000" w:rsidR="00000000" w:rsidRPr="00000000">
          <w:rPr>
            <w:color w:val="0000ee"/>
            <w:u w:val="single"/>
            <w:rtl w:val="0"/>
          </w:rPr>
          <w:t xml:space="preserve">le scandale de corruption de la FIFA en 2016</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majorité des organisations se sentent encore très à l'aise en étant fermées par défaut, accordant uniquement l'accès aux informations et aux données sur demande ou dans le cadre d'accords de partage. L'ouverture par défaut est l'état d'esprit que toutes les données et informations devraient être ouvertes automatiquement, à moins qu'il y ait une justification solide pour expliquer pourquoi elle devrait rester fermée. La gestion du changement est essentielle à la fois pour le succès du projet et pour aider les personnes à travers le processus qui lutteront contre les changements d'état d'esprit nécessaires.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faciliter ce processus de gestion des changements, la </w:t>
      </w:r>
      <w:hyperlink r:id="rId7">
        <w:r w:rsidDel="00000000" w:rsidR="00000000" w:rsidRPr="00000000">
          <w:rPr>
            <w:color w:val="0000ee"/>
            <w:u w:val="single"/>
            <w:rtl w:val="0"/>
          </w:rPr>
          <w:t xml:space="preserve">Charte de l'open data</w:t>
        </w:r>
      </w:hyperlink>
      <w:r w:rsidDel="00000000" w:rsidR="00000000" w:rsidRPr="00000000">
        <w:rPr>
          <w:rtl w:val="0"/>
        </w:rPr>
        <w:t xml:space="preserve"> fournit un ensemble de principes pour une initiative de données ouvertes réussie. Beaucoup de pays se sont déjà inscrits à la Charte, y compris la </w:t>
      </w:r>
      <w:hyperlink r:id="rId8">
        <w:r w:rsidDel="00000000" w:rsidR="00000000" w:rsidRPr="00000000">
          <w:rPr>
            <w:color w:val="0000ee"/>
            <w:u w:val="single"/>
            <w:rtl w:val="0"/>
          </w:rPr>
          <w:t xml:space="preserve">France, l'Italie et le Royaume-Uni</w:t>
        </w:r>
      </w:hyperlink>
      <w:r w:rsidDel="00000000" w:rsidR="00000000" w:rsidRPr="00000000">
        <w:rPr>
          <w:rtl w:val="0"/>
        </w:rPr>
        <w:t xml:space="preserve">. </w:t>
      </w:r>
      <w:hyperlink r:id="rId9">
        <w:r w:rsidDel="00000000" w:rsidR="00000000" w:rsidRPr="00000000">
          <w:rPr>
            <w:color w:val="0000ee"/>
            <w:u w:val="single"/>
            <w:rtl w:val="0"/>
          </w:rPr>
          <w:t xml:space="preserve">L'Ukraine a utilisé la Charte pour aider à informer sa feuille de route à long terme </w:t>
        </w:r>
      </w:hyperlink>
      <w:r w:rsidDel="00000000" w:rsidR="00000000" w:rsidRPr="00000000">
        <w:rPr>
          <w:rtl w:val="0"/>
        </w:rPr>
        <w:t xml:space="preserve">et à obtenir l'adhésion de toutes les parties du gouvernement.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Pourquoi la gestion des changements est-elle nécessaire?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gestion efficace est essentielle à la réussite de tout projet ou initiative. La gestion du changement ne fait pas exception. Ci-dessous, nous explorons certaines des raisons principales pour lesquelles nous devons gérer le processus de changement.</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 changement ne se produit pas du jour au lendemain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est presque impossible de mettre en œuvre des changements du jour au lendemain, en particulier dans les grandes structures. Au fil du temps, les organisations s'habituent à fonctionner d'une certaine manière et il leur faut du temps pour changer.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Étant donné que la mise en œuvre du changement prend du temps, il faut une personne ou une équipe de personnes qui se consacrent à la supervision et à la gestion du processus de changement. Cela permet également de s'assurer que le processus continue.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hyperlink r:id="rId10">
        <w:r w:rsidDel="00000000" w:rsidR="00000000" w:rsidRPr="00000000">
          <w:rPr>
            <w:color w:val="0000ee"/>
            <w:u w:val="single"/>
            <w:rtl w:val="0"/>
          </w:rPr>
          <w:t xml:space="preserve">Un rapport allemand</w:t>
        </w:r>
      </w:hyperlink>
      <w:r w:rsidDel="00000000" w:rsidR="00000000" w:rsidRPr="00000000">
        <w:rPr>
          <w:rtl w:val="0"/>
        </w:rPr>
        <w:t xml:space="preserve"> a révélé que la collaboration est la clé de la gestion du changement et de la transformation numérique dans les petites et moyennes entreprises.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Réduire les risques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gestion du processus de changement réduit les risques globaux d'une organisation.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existe différentes raisons pour lesquelles une organisation souhaite mettre en œuvre un processus de gestion des changements. Parfois, cela peut être dû à des impacts négatifs venant de leur processus, système, structure ou mode de fonctionnement actuel.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Dans ces cas, il existe un risque de maintenir la situation actuelle car cela pourrait entraîner une perte de revenus ou une baisse de la réputation de l'organisation. C'était le cas avec </w:t>
      </w:r>
      <w:hyperlink r:id="rId11">
        <w:r w:rsidDel="00000000" w:rsidR="00000000" w:rsidRPr="00000000">
          <w:rPr>
            <w:color w:val="0000ee"/>
            <w:u w:val="single"/>
            <w:rtl w:val="0"/>
          </w:rPr>
          <w:t xml:space="preserve">Landmark</w:t>
        </w:r>
      </w:hyperlink>
      <w:r w:rsidDel="00000000" w:rsidR="00000000" w:rsidRPr="00000000">
        <w:rPr>
          <w:rtl w:val="0"/>
        </w:rPr>
        <w:t xml:space="preserve">, une société anglaise dont le modèle d'entreprise était sur le point de disparaître, car les données sur lesquelles ils s'appuyaient pour vendre à d'autres sont devenues ouvertes. Pour éviter la catastrophe, </w:t>
      </w:r>
      <w:hyperlink r:id="rId12">
        <w:r w:rsidDel="00000000" w:rsidR="00000000" w:rsidRPr="00000000">
          <w:rPr>
            <w:color w:val="0000ee"/>
            <w:u w:val="single"/>
            <w:rtl w:val="0"/>
          </w:rPr>
          <w:t xml:space="preserve">ils ont dû changer leur business</w:t>
        </w:r>
      </w:hyperlink>
      <w:r w:rsidDel="00000000" w:rsidR="00000000" w:rsidRPr="00000000">
        <w:rPr>
          <w:rtl w:val="0"/>
        </w:rPr>
        <w:t xml:space="preserve">, dirigé par le chef de la direction et pilotés par l'équipe.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Cependant, il pourrait être également risqué de mettre en œuvre des changements trop rapidement. La gestion du processus de changement est un moyen de contrôler ces risques et de s'assurer que le changement soit positif.</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Assurer la durabilité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gestion du processus de changement est essentielle pour sa durabilité. Le fait d'avoir un chef de file qui gère le processus de changement signifie que le changement est plus susceptible d'être durable à long terme. Cela ne doit pas nécessairement être la personne la plus expérimentée de l'organisation, mais ils doivent être en mesure de prendre des décisions.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Ils désignent d'autres personnes qui ont les compétences et les responsabilités nécessaires pour apporter des modifications dans la façon dont l'organisation fonctionne afin de conduire le changement à leur côté. C'est particulièrement le cas en Europe avec les données numériques et la data où il est maintenant nécessaire que les organisations disposent d'un agent de protection des données s'ils traitent les données des clients. À mesure que les normes numériques et ouvertes deviennent les normes, la gestion du changement et ayant les bonnes personnes dans la direction seront essentielles au succès d'une organisation.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Cela fait également partie de ce rôle pour s'assurer que d'autres, internes et externes à l'organisation, comprennent pourquoi le changement est nécessaire et qu'ils soutiennent ce changement. Sans ce soutien, il est peu probable que des changements soient durables.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Quels sont les éléments clés de la gestion du changement?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existe plusieurs éléments clés nécessaires pour une gestion efficace du changement au sein d'une organisation. Ces éléments sont pertinents pour les deux secteurs, privé et public.</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Vision claire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vision claire est importante pour la gestion du changement afin d'obtenir un soutien interne et externe à l'initiative. Cette vision devrait s'aligner avec les objectifs de l'organisation, sinon elle entrera en conflit avec les valeurs, la marque ou l'image de l'organisation.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ce qui concerne les données ouvertes, cette vision devrait décrire des aspects tels que l'ouverture par défaut, où toutes les données seront disponibles et sous quelle licence.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responsable du projet doit pouvoir articuler cette vision pour assurer son soutien interne et externe.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France, </w:t>
      </w:r>
      <w:hyperlink r:id="rId13">
        <w:r w:rsidDel="00000000" w:rsidR="00000000" w:rsidRPr="00000000">
          <w:rPr>
            <w:color w:val="0000ee"/>
            <w:u w:val="single"/>
            <w:rtl w:val="0"/>
          </w:rPr>
          <w:t xml:space="preserve">un responsable des données du gouvernement</w:t>
        </w:r>
      </w:hyperlink>
      <w:r w:rsidDel="00000000" w:rsidR="00000000" w:rsidRPr="00000000">
        <w:rPr>
          <w:rtl w:val="0"/>
        </w:rPr>
        <w:t xml:space="preserve"> a été nommé pour effectuer ces tâches, établissant un rapport des progrès réalisés en matière d'obtention du soutien à l'intérieur et à l'extérieur du gouvernement.</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Plan de gestion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Chaque organisation devrait disposer d'un plan de gestion des données qui explique comment les données sont stockées, sauvegardées et accessibles. Les données font partie de l'infrastructure d'une entreprise moderne, tout comme les bâtiments et autres ressources, il nécessite une gestion prudente.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ouvertes ne doivent pas être considérées comme une activité distincte dans les activités clés de gestion des données. Un bon point de départ pour intégrer les données ouvertes à votre plan de gestion des données est d'y appliquer la vision. Cela aide à assurer l'intégration de la stratégie dans les processus à long terme et les procédures d'exploitation de l'organisation.</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L'adhésion de la haute direction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Comme programme de changement, il est commun à ceux qui le conduisent de rencontrer une certaine résistance au sein de leurs organisations.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soutien actif de hauts responsables peut aider à encourager l'adhésion institutionnelle.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Travailler avec ces hauts responsables est essentiel, car une «stratégie d'insurrection» pour introduire des changements est peu susceptible d'être durable.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Métriques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En plus d'un plan de gestion des données, les organisations doivent mettre en place des processus clés et des cycles de vie qui détaillent la façon de se transmettre, puis conserver leurs données ouvertes.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L'alignement de ces plans et cycles de vie avec les indicateurs clés de performance (KPI) pour évaluer leur succès aidera à justifier l'investissement de temps et d'argent dans le programme de changement.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Lors de la conception de KPI, pensez à ce qui aura le plus d'impact. Dans le cadre des initiatives de données ouvertes, ne pensez pas seulement à l'étroitesse du nombre d'ensembles de données mis en ligne, mais aussi à leur impact et à leur alignement sur des mesures externes de succès, y compris l'indice d'</w:t>
      </w:r>
      <w:hyperlink r:id="rId14">
        <w:r w:rsidDel="00000000" w:rsidR="00000000" w:rsidRPr="00000000">
          <w:rPr>
            <w:color w:val="0000ee"/>
            <w:u w:val="single"/>
            <w:rtl w:val="0"/>
          </w:rPr>
          <w:t xml:space="preserve">Open Data Maturity</w:t>
        </w:r>
      </w:hyperlink>
      <w:r w:rsidDel="00000000" w:rsidR="00000000" w:rsidRPr="00000000">
        <w:rPr>
          <w:rtl w:val="0"/>
        </w:rPr>
        <w:t xml:space="preserve"> de la European Data Portal, qui est une bonne mesure du changement au sein des pays.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Communication de l'impact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Comprendre l'impact d'un processus de changement aidera à sécuriser son avenir.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Ceux qui stimulent un programme de changement devraient se concentrer sur l'impact tangible qui résulte directement du programme. Un bon endroit pour se concentrer est une victoire rapide: des domaines où un faible effort aura un impact immédiat.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communication claire des histoires d'impact aidera à obtenir le soutien de tous les acteurs impliqués dans le programme.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Dans le secteur public, de nombreux pays présentent des exemples où d'autres utilisent leurs données ouvertes, y compris l'</w:t>
      </w:r>
      <w:hyperlink r:id="rId15">
        <w:r w:rsidDel="00000000" w:rsidR="00000000" w:rsidRPr="00000000">
          <w:rPr>
            <w:color w:val="0000ee"/>
            <w:u w:val="single"/>
            <w:rtl w:val="0"/>
          </w:rPr>
          <w:t xml:space="preserve">Espagne</w:t>
        </w:r>
      </w:hyperlink>
      <w:r w:rsidDel="00000000" w:rsidR="00000000" w:rsidRPr="00000000">
        <w:rPr>
          <w:rtl w:val="0"/>
        </w:rPr>
        <w:t xml:space="preserve">, l'</w:t>
      </w:r>
      <w:hyperlink r:id="rId16">
        <w:r w:rsidDel="00000000" w:rsidR="00000000" w:rsidRPr="00000000">
          <w:rPr>
            <w:color w:val="0000ee"/>
            <w:u w:val="single"/>
            <w:rtl w:val="0"/>
          </w:rPr>
          <w:t xml:space="preserve">Irlande</w:t>
        </w:r>
      </w:hyperlink>
      <w:r w:rsidDel="00000000" w:rsidR="00000000" w:rsidRPr="00000000">
        <w:rPr>
          <w:rtl w:val="0"/>
        </w:rPr>
        <w:t xml:space="preserve"> et la </w:t>
      </w:r>
      <w:hyperlink r:id="rId17">
        <w:r w:rsidDel="00000000" w:rsidR="00000000" w:rsidRPr="00000000">
          <w:rPr>
            <w:color w:val="0000ee"/>
            <w:u w:val="single"/>
            <w:rtl w:val="0"/>
          </w:rPr>
          <w:t xml:space="preserve">France</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Prioritiés alignées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Aligner les priorités du projet, programme ou initiative avec les priorités de la personne responsable du budget.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Cela pourrait être le chef de la direction de votre entreprise, ou l'organisation qui gère votre financement. Il pourrait même s'agir de vos clients qui demandent des données ouvertes qu'ils peuvent partager avec d'autres, comme c'était le cas pour Thomson Reuters. Vous pouvez lire le rapport complet </w:t>
      </w:r>
      <w:hyperlink r:id="rId18">
        <w:r w:rsidDel="00000000" w:rsidR="00000000" w:rsidRPr="00000000">
          <w:rPr>
            <w:color w:val="0000ee"/>
            <w:u w:val="single"/>
            <w:rtl w:val="0"/>
          </w:rPr>
          <w:t xml:space="preserve">ici</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Aligner vos priorités contribuera à assurer la durabilité et l'impact de votre programme.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Êtes-vous prêt à gérer les changements?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Qu'est-ce que la gestion du changement?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La gestion du changement est...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 processus d'introduction d'une transition, d'un changement ou d'un développement à long terme dans une organisation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 processus d'introduction d'une altération ou d'un changement à court terme dans le secteur public</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 processus de publication de données ouvertes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Vous avez raison!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gestion du changement est le processus d'introduction d'une transition à long terme, le changement ou le développement d'une organisation.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Êtes-vous sûr?</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!La gestion du changement est le processus d'introduction d'une transition à long terme, le changement ou le développement d'une organisation.</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Pourquoi la gestion du changement est-elle importante?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La gestion du changement est importante parce que...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Vous pouvez utiliser les dernières techniques et stratégies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Elle aide à assurer la durabilité et à réduire les risques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 projet recevra plus de budget et de ressources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Vous avez raison!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gestion du changement est importante pour la réussite d'un programme, d'un projet ou d'une initiative, car elle permet d'assurer la durabilité et réduire les risques.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Êtes-vous sûr?</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La gestion du changement est importante pour la réussite d'un programme, d'un projet ou d'une initiative, car elle permet d'assurer la durabilité et réduire les risques.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Quels sont les éléments clés de la gestion du changement?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Les trois éléments clés de la gestion du changement sont...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En employant la bonne terminologie, travailler à partir de la base et introduire le changement rapidement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Avoir une vision et un leadership clairs, communiquer l'impact et établir des mesures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Travailler de haut en bas, imposer le changement et l'appliquer rapidement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Vous avez raison!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trois éléments clés de la gestion du changement sont les suivants: avoir une vision et un leadership clairs, communiquer l'impact et établir des indicateurs.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b w:val="1"/>
        </w:rPr>
      </w:pPr>
      <w:r w:rsidDel="00000000" w:rsidR="00000000" w:rsidRPr="00000000">
        <w:rPr>
          <w:b w:val="1"/>
          <w:rtl w:val="0"/>
        </w:rPr>
        <w:t xml:space="preserve">Êtes-vous sûr?</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Les trois éléments clés de la gestion du changement sont les suivants: avoir une vision et un leadership clairs, communiquer l'impact et établir des indicateurs.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Gestion du changement au sein de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gestion du changement est le processus d'introduction à une transition, un changement ou un développement à long terme au sein d'une organisation.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gestion efficace est essentielle pour le succès de tout projet ou initiative, et un programme de changement n'est pas différent.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éléments clés d'un programme de changement réussi incluent une propriété et une vision claires, l'adhésion de la haute direction, la mesure du succès grâce à des indicateurs clairs et la communication de cet impact.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contextualSpacing w:val="1"/>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landmark.co.uk/" TargetMode="External"/><Relationship Id="rId10" Type="http://schemas.openxmlformats.org/officeDocument/2006/relationships/hyperlink" Target="http://www.nortonrosefulbright.com/knowledge/publications/136571/the-digital-transformation-of-the-german-emmittelstandem" TargetMode="External"/><Relationship Id="rId13" Type="http://schemas.openxmlformats.org/officeDocument/2006/relationships/hyperlink" Target="http://www.computerweekly.com/news/450284803/France-takes-the-lead-in-the-global-open-data-race" TargetMode="External"/><Relationship Id="rId12" Type="http://schemas.openxmlformats.org/officeDocument/2006/relationships/hyperlink" Target="http://theodi.org/lunchtime-lectures/friday-lunchtime-lecture-changing-tracks-with-hs2-open-dat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opendatacharter.net/ukraine-used-charter-develop-open-data-roadmap/" TargetMode="External"/><Relationship Id="rId15" Type="http://schemas.openxmlformats.org/officeDocument/2006/relationships/hyperlink" Target="http://datos.gob.es/es/iniciativas" TargetMode="External"/><Relationship Id="rId14" Type="http://schemas.openxmlformats.org/officeDocument/2006/relationships/hyperlink" Target="http://www.europeandataportal.eu/en/highlights/open-data-maturity-europe" TargetMode="External"/><Relationship Id="rId17" Type="http://schemas.openxmlformats.org/officeDocument/2006/relationships/hyperlink" Target="http://www.data.gouv.fr/fr/" TargetMode="External"/><Relationship Id="rId16" Type="http://schemas.openxmlformats.org/officeDocument/2006/relationships/hyperlink" Target="http://data.gov.ie/showcase" TargetMode="External"/><Relationship Id="rId5" Type="http://schemas.openxmlformats.org/officeDocument/2006/relationships/hyperlink" Target="http://en.wikipedia.org/wiki/United_Kingdom_parliamentary_expenses_scandal" TargetMode="External"/><Relationship Id="rId6" Type="http://schemas.openxmlformats.org/officeDocument/2006/relationships/hyperlink" Target="http://www.britannica.com/topic/FIFA-Corruption-Scandal-The-2076091" TargetMode="External"/><Relationship Id="rId18" Type="http://schemas.openxmlformats.org/officeDocument/2006/relationships/hyperlink" Target="http://theodi.org/guides/data-identifiers-white-paper" TargetMode="External"/><Relationship Id="rId7" Type="http://schemas.openxmlformats.org/officeDocument/2006/relationships/hyperlink" Target="http://opendatacharter.net/" TargetMode="External"/><Relationship Id="rId8" Type="http://schemas.openxmlformats.org/officeDocument/2006/relationships/hyperlink" Target="http://opendatacharter.net/adopted-by-countries-and-cities/" TargetMode="External"/></Relationships>
</file>