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  <w:jc w:val="left"/>
      </w:pPr>
    </w:p>
    <w:p>
      <w:pPr>
        <w:spacing w:before="0" w:after="60"/>
        <w:jc w:val="left"/>
      </w:pPr>
    </w:p>
    <w:p>
      <w:pPr>
        <w:spacing w:before="120" w:after="60"/>
        <w:jc w:val="center"/>
      </w:pPr>
      <w:r>
        <w:drawing>
          <wp:inline distT="0" distB="0" distL="0" distR="0">
            <wp:extent cx="1905000" cy="1905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0B1F35"/>
          <w:sz w:val="56"/>
          <w:szCs w:val="56"/>
        </w:rPr>
        <w:t xml:space="preserve">Martillo</w:t>
      </w:r>
    </w:p>
    <w:p>
      <w:pPr>
        <w:spacing w:before="0" w:after="20"/>
        <w:jc w:val="center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Manual de Marca — Brand Guidelines</w:t>
      </w:r>
    </w:p>
    <w:p>
      <w:pPr>
        <w:spacing w:before="0" w:after="1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v1.1  |  GM Studios  |  martillo.app  |  2026</w:t>
      </w:r>
    </w:p>
    <w:p>
      <w:pPr>
        <w:pBdr>
          <w:bottom w:val="single" w:color="E2E8F0" w:sz="1"/>
        </w:pBdr>
        <w:spacing w:before="80" w:after="80"/>
      </w:pPr>
    </w:p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Secciones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3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Variantes SVG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40"/>
                <w:szCs w:val="40"/>
              </w:rPr>
              <w:t xml:space="preserve">6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color w:val="DBEAFE"/>
                <w:sz w:val="17"/>
                <w:szCs w:val="17"/>
              </w:rPr>
              <w:t xml:space="preserve">Colores de marca</w:t>
            </w:r>
          </w:p>
        </w:tc>
      </w:tr>
    </w:tbl>
    <w:p>
      <w:pPr>
        <w:spacing w:before="0" w:after="60"/>
        <w:jc w:val="left"/>
      </w:pPr>
    </w:p>
    <w:p>
      <w:pPr>
        <w:pBdr>
          <w:left w:val="thick" w:color="3B82C4" w:sz="8"/>
        </w:pBdr>
        <w:spacing w:before="0" w:after="80"/>
        <w:jc w:val="center"/>
      </w:pPr>
      <w:r>
        <w:rPr>
          <w:rFonts w:ascii="Arial" w:cs="Arial" w:eastAsia="Arial" w:hAnsi="Arial"/>
          <w:i/>
          <w:iCs/>
          <w:color w:val="64748B"/>
          <w:sz w:val="19"/>
          <w:szCs w:val="19"/>
        </w:rPr>
        <w:t xml:space="preserve">Este documento establece las reglas de uso de la identidad visual de Martillo. Su cumplimiento garantiza coherencia y reconocimiento de marca en todos los puntos de contacto: digital, impreso y audiovisual.</w:t>
      </w:r>
    </w:p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01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Filosofía de Marca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¿Qué representa Martillo?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El nombre Martillo captura el instante más poderoso de una subasta: el golpe del mazo que adjudica un bien. No es solo una herramienta — es el momento de certeza, de cierre, de valor reconocido. La identidad visual traduce ese instante en geometría pura.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Personalidad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Directa, confiable, moderna. No pretende ser otra cosa que lo que es: la plataforma que hace funcionar las subastas.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Tono de voz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Profesional sin ser frío. Técnico sin ser hermético. Habla como un rematador con 20 años de experiencia que también sabe usar tecnología.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Posicionamiento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El estándar tecnológico de las casas de remates en Latinoamérica.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Promesa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Cada puja llega. Cada adjudicación es definitiva. Martillo no falla cuando más importa.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Principios de Diseño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Claridad ante todo: si hay duda entre más detalle o menos, siempre menos.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Funcional en cualquier escala: igual de legible en favicon de 16px que en cartel de 3 metros.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Coherencia sistemática: cada elemento visual convive con los demás sin conflicto.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Confianza a través de la consistencia: no cambiar el logo por creatividad. La marca se construye con repetición.</w:t>
      </w:r>
    </w:p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02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El Logo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2.1 Isotipo — Las 3 variantes oficiales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El isotipo existe en tres variantes vectoriales (SVG). Cada una está diseñada para un contexto específico. Nunca crear variantes adicionales fuera de estas tres.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30"/>
              <w:jc w:val="center"/>
            </w:pPr>
            <w:r>
              <w:drawing>
                <wp:inline distT="0" distB="0" distL="0" distR="0">
                  <wp:extent cx="1524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Color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Uso principal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30"/>
              <w:jc w:val="center"/>
            </w:pPr>
            <w:r>
              <w:drawing>
                <wp:inline distT="0" distB="0" distL="0" distR="0">
                  <wp:extent cx="1524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20"/>
                <w:szCs w:val="20"/>
              </w:rPr>
              <w:t xml:space="preserve">Negro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Impresion / bordado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30"/>
              <w:jc w:val="center"/>
            </w:pPr>
            <w:r>
              <w:drawing>
                <wp:inline distT="0" distB="0" distL="0" distR="0">
                  <wp:extent cx="1524000" cy="1524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0" cy="152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Blanco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DBEAFE"/>
                <w:sz w:val="17"/>
                <w:szCs w:val="17"/>
              </w:rPr>
              <w:t xml:space="preserve">Fondos oscuros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2.2 Archivos SVG oficiales</w:t>
      </w:r>
    </w:p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280"/>
        <w:gridCol w:w="428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Archivo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Variante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usarlo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martillo_icon.svg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Color (navy + gris)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Sitio web, docs, presentaciones, emails — uso por defecto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martillo_icon_black.svg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Negro puro #000000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Impresión B&amp;N, bordado, grabado, serigrafía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martillo_icon_white.svg</w:t>
            </w:r>
          </w:p>
        </w:tc>
        <w:tc>
          <w:tcPr>
            <w:tcW w:type="dxa" w:w="2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Blanco puro #FFFFFF</w:t>
            </w:r>
          </w:p>
        </w:tc>
        <w:tc>
          <w:tcPr>
            <w:tcW w:type="dxa" w:w="42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Fondos oscuros, headers navy, banners premium, app dark mode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2.3 Anatomía del isotipo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drawing>
                <wp:inline distT="0" distB="0" distL="0" distR="0">
                  <wp:extent cx="2095500" cy="2095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0" cy="2095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68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Forma principal — Navy #1A3C5E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La cabeza y el mango del martillo. Forma en T invertida con esquinas redondeadas (radio 3px). Nunca cambiar este color.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64748B"/>
                <w:sz w:val="19"/>
                <w:szCs w:val="19"/>
              </w:rPr>
              <w:t xml:space="preserve">Elemento angular — Gris #64748B</w:t>
            </w:r>
          </w:p>
          <w:p>
            <w:pPr>
              <w:spacing w:before="0" w:after="6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Representa el instante del impacto, la adjudicación. Comparte el mismo radio de esquinas que la forma principal.</w:t>
            </w:r>
          </w:p>
          <w:p>
            <w:pPr>
              <w:spacing w:before="20" w:after="20"/>
              <w:jc w:val="left"/>
            </w:pPr>
            <w:r>
              <w:rPr>
                <w:rFonts w:ascii="Arial" w:cs="Arial" w:eastAsia="Arial" w:hAnsi="Arial"/>
                <w:b/>
                <w:bCs/>
                <w:color w:val="3B82C4"/>
                <w:sz w:val="19"/>
                <w:szCs w:val="19"/>
              </w:rPr>
              <w:t xml:space="preserve">Fondo — siempre transparente en SVG</w:t>
            </w:r>
          </w:p>
          <w:p>
            <w:pPr>
              <w:spacing w:before="0" w:after="80"/>
              <w:jc w:val="left"/>
            </w:pPr>
            <w:r>
              <w:rPr>
                <w:rFonts w:ascii="Arial" w:cs="Arial" w:eastAsia="Arial" w:hAnsi="Arial"/>
                <w:color w:val="0F172A"/>
                <w:sz w:val="18"/>
                <w:szCs w:val="18"/>
              </w:rPr>
              <w:t xml:space="preserve">El SVG no tiene fondo. Se adapta al color de la superficie donde se coloca.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2.4 Wordmark</w:t>
      </w:r>
    </w:p>
    <w:p>
      <w:pPr>
        <w:spacing w:before="60" w:after="8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El wordmark combina el isotipo con el nombre "Martillo" en tipografía geométrica semibold. Es la versión principal para encabezados, presentaciones y material comercial.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40"/>
              <w:jc w:val="center"/>
            </w:pPr>
            <w:r>
              <w:drawing>
                <wp:inline distT="0" distB="0" distL="0" distR="0">
                  <wp:extent cx="4572000" cy="45720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0" cy="4572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18"/>
                <w:szCs w:val="18"/>
              </w:rPr>
              <w:t xml:space="preserve">Wordmark horizontal — Versión principal  |  Fondo blanco</w:t>
            </w:r>
          </w:p>
        </w:tc>
      </w:tr>
    </w:tbl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03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Sistema de Color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3.1 Paleta principal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La paleta está construida sobre el navy azul profundo como color dominante, el gris carbón como acento, y una gama de azules y grises claros para fondos y estados de interfaz.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8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20"/>
              <w:jc w:val="center"/>
            </w:pPr>
            <w:r>
              <w:drawing>
                <wp:inline distT="0" distB="0" distL="0" distR="0">
                  <wp:extent cx="9525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8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20"/>
              <w:jc w:val="center"/>
            </w:pPr>
            <w:r>
              <w:drawing>
                <wp:inline distT="0" distB="0" distL="0" distR="0">
                  <wp:extent cx="9525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C4" w:val="clear"/>
            <w:tcMar>
              <w:top w:type="dxa" w:w="8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20"/>
              <w:jc w:val="center"/>
            </w:pPr>
            <w:r>
              <w:drawing>
                <wp:inline distT="0" distB="0" distL="0" distR="0">
                  <wp:extent cx="9525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8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20"/>
              <w:jc w:val="center"/>
            </w:pPr>
            <w:r>
              <w:drawing>
                <wp:inline distT="0" distB="0" distL="0" distR="0">
                  <wp:extent cx="9525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8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20"/>
              <w:jc w:val="center"/>
            </w:pPr>
            <w:r>
              <w:drawing>
                <wp:inline distT="0" distB="0" distL="0" distR="0">
                  <wp:extent cx="9525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8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20"/>
              <w:jc w:val="center"/>
            </w:pPr>
            <w:r>
              <w:drawing>
                <wp:inline distT="0" distB="0" distL="0" distR="0">
                  <wp:extent cx="952500" cy="6381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6381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Navy Principal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Gris Carbón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Azul Medio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Azul Claro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Negro Texto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2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7"/>
                <w:szCs w:val="17"/>
              </w:rPr>
              <w:t xml:space="preserve">Blanco Off</w:t>
            </w:r>
          </w:p>
        </w:tc>
      </w:tr>
      <w:tr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#1A3C5E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4748B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#64748B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82C4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#3B82C4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#DBEAFE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0F172A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ourier New" w:cs="Courier New" w:eastAsia="Courier New" w:hAnsi="Courier New"/>
                <w:color w:val="DBEAFE"/>
                <w:sz w:val="16"/>
                <w:szCs w:val="16"/>
              </w:rPr>
              <w:t xml:space="preserve">#0F172A</w:t>
            </w:r>
          </w:p>
        </w:tc>
        <w:tc>
          <w:tcPr>
            <w:tcW w:type="dxa" w:w="15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8FAFC" w:val="clear"/>
            <w:tcMar>
              <w:top w:type="dxa" w:w="100"/>
              <w:left w:type="dxa" w:w="160"/>
              <w:bottom w:type="dxa" w:w="80"/>
              <w:right w:type="dxa" w:w="160"/>
            </w:tcMar>
            <w:vAlign w:val="center"/>
          </w:tcPr>
          <w:p>
            <w:pPr>
              <w:spacing w:before="0" w:after="30"/>
              <w:jc w:val="center"/>
            </w:pPr>
            <w:r>
              <w:rPr>
                <w:rFonts w:ascii="Courier New" w:cs="Courier New" w:eastAsia="Courier New" w:hAnsi="Courier New"/>
                <w:color w:val="64748B"/>
                <w:sz w:val="16"/>
                <w:szCs w:val="16"/>
              </w:rPr>
              <w:t xml:space="preserve">#F8FAFC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3.2 Uso de color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Navy #1A3C5E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Color primario. Headers, CTAs, elementos de énfasis, fondo de componentes principales.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Gris #64748B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Color secundario. Elementos de soporte, texto secundario, iconos inactivos.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Azul #3B82C4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Interacciones, hover states, links, indicadores de progreso.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Azul claro #DBEAFE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Fondos de tarjetas, áreas de destacado, banners informativos.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Negro #0F172A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Texto principal en fondos claros. Nunca usar negro puro #000000.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Blanco #F8FAFC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Fondo principal de la app. Nunca usar blanco puro #FFFFFF en fondos grandes.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3.3 Combinaciones aprobadas de logo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2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18"/>
                <w:szCs w:val="18"/>
              </w:rPr>
              <w:t xml:space="preserve">Color sobre blanco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Uso principal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2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Blanco sobre navy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DBEAFE"/>
                <w:sz w:val="16"/>
                <w:szCs w:val="16"/>
              </w:rPr>
              <w:t xml:space="preserve">Headers y banners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20"/>
              <w:jc w:val="center"/>
            </w:pPr>
            <w:r>
              <w:drawing>
                <wp:inline distT="0" distB="0" distL="0" distR="0">
                  <wp:extent cx="952500" cy="9525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00" cy="952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10"/>
              <w:jc w:val="center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Negro sobre blanco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6"/>
                <w:szCs w:val="16"/>
              </w:rPr>
              <w:t xml:space="preserve">Impresion / B&amp;N</w:t>
            </w:r>
          </w:p>
        </w:tc>
      </w:tr>
    </w:tbl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04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Tipografía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4.1 Familia tipográfica principal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Martillo usa Inter como tipografía del sistema. Es gratuita, diseñada específicamente para pantallas y con excelente legibilidad en tamaños pequeños — fundamental para una interfaz de subastas en tiempo real.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3B82C4" w:sz="1"/>
              <w:left w:val="single" w:color="3B82C4" w:sz="1"/>
              <w:bottom w:val="single" w:color="3B82C4" w:sz="1"/>
              <w:right w:val="single" w:color="3B82C4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48"/>
                <w:szCs w:val="48"/>
              </w:rPr>
              <w:t xml:space="preserve">Inter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Principal — UI y docs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36"/>
                <w:szCs w:val="36"/>
              </w:rPr>
              <w:t xml:space="preserve">Geist Sans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Alternativa — Headings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8"/>
                <w:szCs w:val="28"/>
              </w:rPr>
              <w:t xml:space="preserve">Geist Mono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Codigo y datos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4.2 Escala tipográfica</w:t>
      </w:r>
    </w:p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Uso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Estilo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Títulos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Inter Bold 700 — 32–48px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Plataforma de Subastas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Subtítulos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Inter SemiBold 600 — 20–28px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Gestión de Remates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Cuerpo texto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Inter Regular 400 — 14–16px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Administra tus lotes con facilidad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Etiquetas UI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Inter Medium 500 — 11–13px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ESTADO: ACTIVO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/>
                <w:bCs/>
                <w:color w:val="0F172A"/>
                <w:sz w:val="18"/>
                <w:szCs w:val="18"/>
              </w:rPr>
              <w:t xml:space="preserve">Código / datos</w:t>
            </w:r>
          </w:p>
        </w:tc>
        <w:tc>
          <w:tcPr>
            <w:tcW w:type="dxa" w:w="3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Geist Mono Regular — 12–14px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martillo.app/api/v1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4.3 Reglas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 usar más de 2 pesos tipográficos en la misma pieza.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Interlineado mínimo: 1.4 en cuerpo, 1.2 en títulos grandes.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No usar tracking negativo. Solo letter-spacing positivo y sutil.</w:t>
      </w:r>
    </w:p>
    <w:p>
      <w:pPr>
        <w:pStyle w:val="ListParagraph"/>
        <w:numPr>
          <w:ilvl w:val="0"/>
          <w:numId w:val="2"/>
        </w:numPr>
        <w:spacing w:before="40" w:after="4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Mayúsculas completas solo en etiquetas cortas de UI (máximo 3 palabras).</w:t>
      </w:r>
    </w:p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05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Uso Correcto del Logo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5.1 Zona de exclusión</w:t>
      </w:r>
    </w:p>
    <w:p>
      <w:pPr>
        <w:spacing w:before="80" w:after="10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El logo siempre debe estar rodeado por un espacio libre de otros elementos visuales o texto. Este espacio se mide usando la altura del isotipo como unidad.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Espacio mínimo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2563A8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Espacio recomendado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3B82C4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Tamaño mínimo</w:t>
            </w:r>
          </w:p>
        </w:tc>
      </w:tr>
      <w:tr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= altura del isotipo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En todos los lados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2"/>
                <w:szCs w:val="22"/>
              </w:rPr>
              <w:t xml:space="preserve">= 2x altura del isotipo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En comunicaciones formales</w:t>
            </w:r>
          </w:p>
        </w:tc>
        <w:tc>
          <w:tcPr>
            <w:tcW w:type="dxa" w:w="312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EFF6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20"/>
              <w:jc w:val="center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24px / 80px wordmark</w:t>
            </w:r>
          </w:p>
          <w:p>
            <w:pPr>
              <w:spacing w:before="0" w:after="60"/>
              <w:jc w:val="center"/>
            </w:pPr>
            <w:r>
              <w:rPr>
                <w:rFonts w:ascii="Arial" w:cs="Arial" w:eastAsia="Arial" w:hAnsi="Arial"/>
                <w:i/>
                <w:iCs/>
                <w:color w:val="64748B"/>
                <w:sz w:val="17"/>
                <w:szCs w:val="17"/>
              </w:rPr>
              <w:t xml:space="preserve">Por debajo pierde legibilidad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5.2 Prohibiciones absolutas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Rotar el logo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El isotipo nunca debe aparecer girado ni en diagonal.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Cambiar colores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reemplazar el navy por otro color. No aplicar degradados al logo.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Agregar efectos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Sin sombras, resplandores, brillos, texturas ni efectos 3D.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Separar elementos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usar el elemento gris angular de forma independiente.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Cambiar tipografía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reemplazar "Martillo" por otra fuente en el wordmark.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Recrear el logo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Siempre usar los SVG originales. Nunca redibujar a mano.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Modificar proporciones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estirar, comprimir ni distorsionar el logo en ningún eje.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Fondos de bajo contraste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No colocar la versión color sobre fondos grises medios o coloridos.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5.3 Selección de variante según contexto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Fondo blanco o claro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martillo_icon.svg (color) — siempre primera opción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Fondo navy o muy oscuro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martillo_icon_white.svg — contraste garantizado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Impresión B&amp;N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martillo_icon_black.svg — tinta negra, sin degradados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Bordado / grabado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martillo_icon_black.svg — forma única, máxima definición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DBEAF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Dark mode (app)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martillo_icon_white.svg — se integra al tema oscuro</w:t>
            </w:r>
          </w:p>
        </w:tc>
      </w:tr>
      <w:tr>
        <w:tc>
          <w:tcPr>
            <w:tcW w:type="dxa" w:w="2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Favicon / app icon</w:t>
            </w:r>
          </w:p>
        </w:tc>
        <w:tc>
          <w:tcPr>
            <w:tcW w:type="dxa" w:w="6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70" w:after="70"/>
              <w:jc w:val="left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martillo_icon.svg con fondo navy (#1A3C5E) como relleno</w:t>
            </w:r>
          </w:p>
        </w:tc>
      </w:tr>
    </w:tbl>
    <w:p>
      <w:pPr>
        <w:spacing w:before="80" w:after="80"/>
        <w:jc w:val="left"/>
      </w:pPr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8160"/>
      </w:tblGrid>
      <w:tr>
        <w:tc>
          <w:tcPr>
            <w:tcW w:type="dxa" w:w="1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8"/>
                <w:szCs w:val="28"/>
              </w:rPr>
              <w:t xml:space="preserve">06</w:t>
            </w:r>
          </w:p>
        </w:tc>
        <w:tc>
          <w:tcPr>
            <w:tcW w:type="dxa" w:w="81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8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6"/>
                <w:szCs w:val="26"/>
              </w:rPr>
              <w:t xml:space="preserve">Archivos y Formatos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6.1 Archivos SVG entregados</w:t>
      </w:r>
    </w:p>
    <w:p>
      <w:pPr>
        <w:spacing w:before="80" w:after="80"/>
        <w:jc w:val="left"/>
      </w:pPr>
      <w:r>
        <w:rPr>
          <w:rFonts w:ascii="Arial" w:cs="Arial" w:eastAsia="Arial" w:hAnsi="Arial"/>
          <w:color w:val="0F172A"/>
          <w:sz w:val="20"/>
          <w:szCs w:val="20"/>
        </w:rPr>
        <w:t xml:space="preserve">Los siguientes SVG son los archivos maestros oficiales de Martillo. Todos los demás formatos (PNG, PDF, ICO) deben derivarse de estos tres archivos.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30"/>
              <w:jc w:val="left"/>
            </w:pPr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Archivos SVG maestros:</w:t>
            </w:r>
          </w:p>
          <w:p>
            <w:pPr>
              <w:spacing w:before="0" w:after="12"/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martillo_icon.svg         — isotipo color (uso principal)</w:t>
            </w:r>
          </w:p>
          <w:p>
            <w:pPr>
              <w:spacing w:before="0" w:after="12"/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martillo_icon_black.svg   — isotipo negro (impresion)</w:t>
            </w:r>
          </w:p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martillo_icon_white.svg   — isotipo blanco (fondos oscuros)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6.2 Estructura de carpetas recomendada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20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1A3C5E"/>
                <w:sz w:val="20"/>
                <w:szCs w:val="20"/>
              </w:rPr>
              <w:t xml:space="preserve">/martillo-brand/</w:t>
            </w:r>
          </w:p>
          <w:p>
            <w:pPr>
              <w:spacing w:before="0" w:after="10"/>
              <w:jc w:val="left"/>
            </w:pPr>
            <w:r>
              <w:rPr>
                <w:rFonts w:ascii="Courier New" w:cs="Courier New" w:eastAsia="Courier New" w:hAnsi="Courier New"/>
                <w:color w:val="3B82C4"/>
                <w:sz w:val="19"/>
                <w:szCs w:val="19"/>
              </w:rPr>
              <w:t xml:space="preserve">    /svg/</w:t>
            </w:r>
          </w:p>
          <w:p>
            <w:pPr>
              <w:spacing w:before="0" w:after="6"/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martillo_icon.svg</w:t>
            </w:r>
          </w:p>
          <w:p>
            <w:pPr>
              <w:spacing w:before="0" w:after="6"/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martillo_icon_black.svg</w:t>
            </w:r>
          </w:p>
          <w:p>
            <w:pPr>
              <w:spacing w:before="0" w:after="6"/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martillo_icon_white.svg</w:t>
            </w:r>
          </w:p>
          <w:p>
            <w:pPr>
              <w:spacing w:before="0" w:after="12"/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martillo_wordmark.svg</w:t>
            </w:r>
          </w:p>
          <w:p>
            <w:pPr>
              <w:spacing w:before="0" w:after="10"/>
              <w:jc w:val="left"/>
            </w:pPr>
            <w:r>
              <w:rPr>
                <w:rFonts w:ascii="Courier New" w:cs="Courier New" w:eastAsia="Courier New" w:hAnsi="Courier New"/>
                <w:color w:val="3B82C4"/>
                <w:sz w:val="19"/>
                <w:szCs w:val="19"/>
              </w:rPr>
              <w:t xml:space="preserve">    /png/</w:t>
            </w:r>
          </w:p>
          <w:p>
            <w:pPr>
              <w:spacing w:before="0" w:after="6"/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martillo_icon_512.png</w:t>
            </w:r>
          </w:p>
          <w:p>
            <w:pPr>
              <w:spacing w:before="0" w:after="6"/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martillo_icon_1024.png</w:t>
            </w:r>
          </w:p>
          <w:p>
            <w:pPr>
              <w:spacing w:before="0" w:after="12"/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martillo_wordmark_2x.png</w:t>
            </w:r>
          </w:p>
          <w:p>
            <w:pPr>
              <w:spacing w:before="0" w:after="10"/>
              <w:jc w:val="left"/>
            </w:pPr>
            <w:r>
              <w:rPr>
                <w:rFonts w:ascii="Courier New" w:cs="Courier New" w:eastAsia="Courier New" w:hAnsi="Courier New"/>
                <w:color w:val="3B82C4"/>
                <w:sz w:val="19"/>
                <w:szCs w:val="19"/>
              </w:rPr>
              <w:t xml:space="preserve">    /favicon/</w:t>
            </w:r>
          </w:p>
          <w:p>
            <w:pPr>
              <w:spacing w:before="0" w:after="6"/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favicon.ico  (16/32/64px)</w:t>
            </w:r>
          </w:p>
          <w:p>
            <w:pPr>
              <w:spacing w:before="0" w:after="60"/>
              <w:jc w:val="left"/>
            </w:pPr>
            <w:r>
              <w:rPr>
                <w:rFonts w:ascii="Courier New" w:cs="Courier New" w:eastAsia="Courier New" w:hAnsi="Courier New"/>
                <w:color w:val="0F172A"/>
                <w:sz w:val="18"/>
                <w:szCs w:val="18"/>
              </w:rPr>
              <w:t xml:space="preserve">        apple-touch-icon.png  (180x180px)</w:t>
            </w:r>
          </w:p>
        </w:tc>
      </w:tr>
    </w:tbl>
    <w:p>
      <w:pPr>
        <w:spacing w:before="0" w:after="60"/>
        <w:jc w:val="left"/>
      </w:pPr>
    </w:p>
    <w:p>
      <w:pPr>
        <w:pStyle w:val="Heading2"/>
        <w:spacing w:before="240" w:after="100"/>
        <w:jc w:val="left"/>
      </w:pPr>
      <w:r>
        <w:rPr>
          <w:rFonts w:ascii="Arial" w:cs="Arial" w:eastAsia="Arial" w:hAnsi="Arial"/>
          <w:b/>
          <w:bCs/>
          <w:color w:val="1A3C5E"/>
          <w:sz w:val="26"/>
          <w:szCs w:val="26"/>
        </w:rPr>
        <w:t xml:space="preserve">6.3 Formatos por caso de uso</w:t>
      </w:r>
    </w:p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560"/>
        <w:gridCol w:w="4360"/>
      </w:tblGrid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Cuándo usarlo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0" w:after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SVG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Uso digital general — web, app, documentos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Escalable infinitamente. Siempre preferir sobre PNG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PNG 512px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Redes sociales, presentaciones, Word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Con fondo transparente (PNG-24 con alpha)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PNG 1024px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Impresión digital, banners online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Alta resolución para pantallas retina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PDF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Impresión profesional, imprenta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Entregar a diseñadores e imprentas siempre en PDF</w:t>
            </w:r>
          </w:p>
        </w:tc>
      </w:tr>
      <w:tr>
        <w:tc>
          <w:tcPr>
            <w:tcW w:type="dxa" w:w="144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Courier New" w:cs="Courier New" w:eastAsia="Courier New" w:hAnsi="Courier New"/>
                <w:b/>
                <w:bCs/>
                <w:color w:val="0F172A"/>
                <w:sz w:val="18"/>
                <w:szCs w:val="18"/>
              </w:rPr>
              <w:t xml:space="preserve">ICO/WebP</w:t>
            </w:r>
          </w:p>
        </w:tc>
        <w:tc>
          <w:tcPr>
            <w:tcW w:type="dxa" w:w="35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Favicon del sitio martillo.app</w:t>
            </w:r>
          </w:p>
        </w:tc>
        <w:tc>
          <w:tcPr>
            <w:tcW w:type="dxa" w:w="436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65" w:after="65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F172A"/>
                <w:sz w:val="18"/>
                <w:szCs w:val="18"/>
              </w:rPr>
              <w:t xml:space="preserve">16x16, 32x32 y 64x64 en el mismo archivo ICO</w:t>
            </w:r>
          </w:p>
        </w:tc>
      </w:tr>
    </w:tbl>
    <w:p>
      <w:pPr>
        <w:spacing w:before="0" w:after="60"/>
        <w:jc w:val="left"/>
      </w:pPr>
    </w:p>
    <w:p>
      <w:pPr>
        <w:spacing w:before="0" w:after="60"/>
        <w:jc w:val="left"/>
      </w:pPr>
    </w:p>
    <w:p>
      <w:pPr>
        <w:pBdr>
          <w:bottom w:val="single" w:color="3B82C4" w:sz="1"/>
        </w:pBdr>
        <w:spacing w:before="80" w:after="80"/>
      </w:pPr>
    </w:p>
    <w:p>
      <w:pPr>
        <w:spacing w:before="0" w:after="60"/>
        <w:jc w:val="left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before="8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¿Dudas sobre el uso de la marca?</w:t>
            </w:r>
          </w:p>
          <w:p>
            <w:pPr>
              <w:spacing w:before="0" w:after="80"/>
              <w:jc w:val="center"/>
            </w:pPr>
            <w:r>
              <w:rPr>
                <w:rFonts w:ascii="Arial" w:cs="Arial" w:eastAsia="Arial" w:hAnsi="Arial"/>
                <w:i/>
                <w:iCs/>
                <w:color w:val="DBEAFE"/>
                <w:sz w:val="18"/>
                <w:szCs w:val="18"/>
              </w:rPr>
              <w:t xml:space="preserve">GM Studios  |  martillo.app  |  2026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single" w:color="E2E8F0" w:sz="1"/>
            <w:left w:val="single" w:color="E2E8F0" w:sz="1"/>
            <w:bottom w:val="single" w:color="E2E8F0" w:sz="1"/>
            <w:right w:val="single" w:color="E2E8F0" w:sz="1"/>
          </w:tcBorders>
          <w:shd w:fill="F8FAFC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spacing w:before="40" w:after="40"/>
            <w:jc w:val="left"/>
          </w:pPr>
          <w:r>
            <w:rPr>
              <w:rFonts w:ascii="Arial" w:cs="Arial" w:eastAsia="Arial" w:hAnsi="Arial"/>
              <w:i/>
              <w:iCs/>
              <w:color w:val="64748B"/>
              <w:sz w:val="16"/>
              <w:szCs w:val="16"/>
            </w:rPr>
            <w:t xml:space="preserve">Uso interno y externo autorizado  |  GM Studios  |  martillo.app</w:t>
          </w:r>
        </w:p>
      </w:tc>
      <w:tc>
        <w:tcPr>
          <w:tcW w:type="dxa" w:w="2880"/>
          <w:tcBorders>
            <w:top w:val="single" w:color="E2E8F0" w:sz="1"/>
            <w:left w:val="single" w:color="E2E8F0" w:sz="1"/>
            <w:bottom w:val="single" w:color="E2E8F0" w:sz="1"/>
            <w:right w:val="single" w:color="E2E8F0" w:sz="1"/>
          </w:tcBorders>
          <w:shd w:fill="F8FAFC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spacing w:before="40" w:after="40"/>
            <w:jc w:val="right"/>
          </w:pPr>
          <w:r>
            <w:rPr>
              <w:rFonts w:ascii="Arial" w:cs="Arial" w:eastAsia="Arial" w:hAnsi="Arial"/>
              <w:color w:val="3B82C4"/>
              <w:sz w:val="16"/>
              <w:szCs w:val="16"/>
            </w:rPr>
            <w:t xml:space="preserve">Pág. </w:t>
          </w:r>
          <w:r>
            <w:rPr>
              <w:rFonts w:ascii="Arial" w:cs="Arial" w:eastAsia="Arial" w:hAnsi="Arial"/>
              <w:color w:val="3B82C4"/>
              <w:sz w:val="16"/>
              <w:szCs w:val="16"/>
            </w:rPr>
            <w:fldChar w:fldCharType="begin"/>
            <w:instrText xml:space="preserve">PAGE</w:instrText>
            <w:fldChar w:fldCharType="separate"/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08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7200"/>
      <w:gridCol w:w="2880"/>
    </w:tblGrid>
    <w:tr>
      <w:tc>
        <w:tcPr>
          <w:tcW w:type="dxa" w:w="7200"/>
          <w:tcBorders>
            <w:top w:val="single" w:color="E2E8F0" w:sz="1"/>
            <w:left w:val="single" w:color="E2E8F0" w:sz="1"/>
            <w:bottom w:val="single" w:color="E2E8F0" w:sz="1"/>
            <w:right w:val="single" w:color="E2E8F0" w:sz="1"/>
          </w:tcBorders>
          <w:shd w:fill="1A3C5E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spacing w:before="55" w:after="55"/>
            <w:jc w:val="left"/>
          </w:pPr>
          <w:r>
            <w:rPr>
              <w:rFonts w:ascii="Arial" w:cs="Arial" w:eastAsia="Arial" w:hAnsi="Arial"/>
              <w:b/>
              <w:bCs/>
              <w:color w:val="FFFFFF"/>
              <w:sz w:val="18"/>
              <w:szCs w:val="18"/>
            </w:rPr>
            <w:t xml:space="preserve">Martillo  —  Manual de Marca</w:t>
          </w:r>
        </w:p>
      </w:tc>
      <w:tc>
        <w:tcPr>
          <w:tcW w:type="dxa" w:w="2880"/>
          <w:tcBorders>
            <w:top w:val="single" w:color="E2E8F0" w:sz="1"/>
            <w:left w:val="single" w:color="E2E8F0" w:sz="1"/>
            <w:bottom w:val="single" w:color="E2E8F0" w:sz="1"/>
            <w:right w:val="single" w:color="E2E8F0" w:sz="1"/>
          </w:tcBorders>
          <w:shd w:fill="3B82C4" w:val="clear"/>
          <w:tcMar>
            <w:top w:type="dxa" w:w="100"/>
            <w:left w:type="dxa" w:w="160"/>
            <w:bottom w:type="dxa" w:w="100"/>
            <w:right w:type="dxa" w:w="160"/>
          </w:tcMar>
          <w:vAlign w:val="center"/>
        </w:tcPr>
        <w:p>
          <w:pPr>
            <w:spacing w:before="55" w:after="55"/>
            <w:jc w:val="right"/>
          </w:pPr>
          <w:r>
            <w:rPr>
              <w:rFonts w:ascii="Arial" w:cs="Arial" w:eastAsia="Arial" w:hAnsi="Arial"/>
              <w:color w:val="FFFFFF"/>
              <w:sz w:val="17"/>
              <w:szCs w:val="17"/>
            </w:rPr>
            <w:t xml:space="preserve">Brand Guidelines  v1.1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120"/>
      <w:outlineLvl w:val="0"/>
    </w:pPr>
    <w:rPr>
      <w:rFonts w:ascii="Arial" w:cs="Arial" w:eastAsia="Arial" w:hAnsi="Arial"/>
      <w:b/>
      <w:bCs/>
      <w:color w:val="0B1F35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100"/>
      <w:outlineLvl w:val="1"/>
    </w:pPr>
    <w:rPr>
      <w:rFonts w:ascii="Arial" w:cs="Arial" w:eastAsia="Arial" w:hAnsi="Arial"/>
      <w:b/>
      <w:bCs/>
      <w:color w:val="1A3C5E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60" w:after="60"/>
      <w:outlineLvl w:val="2"/>
    </w:pPr>
    <w:rPr>
      <w:rFonts w:ascii="Arial" w:cs="Arial" w:eastAsia="Arial" w:hAnsi="Arial"/>
      <w:b/>
      <w:bCs/>
      <w:color w:val="3B82C4"/>
      <w:sz w:val="21"/>
      <w:szCs w:val="21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image" Target="media/d75d3fc6bcda33c864669a1869ce5bc2bb07f394.png"/><Relationship Id="rId9" Type="http://schemas.openxmlformats.org/officeDocument/2006/relationships/image" Target="media/a4c130fb1b8161aba8a074ff54e13758c33542d5.png"/><Relationship Id="rId10" Type="http://schemas.openxmlformats.org/officeDocument/2006/relationships/image" Target="media/efb05dbb294ad8878d76851a240643eedce01b17.png"/><Relationship Id="rId11" Type="http://schemas.openxmlformats.org/officeDocument/2006/relationships/image" Target="media/0fffd915ce1ad905cc953d0cccb186563dffcf66.png"/><Relationship Id="rId12" Type="http://schemas.openxmlformats.org/officeDocument/2006/relationships/image" Target="media/959d9eb7fe09ea72ea08ae604e16178fdaa24381.png"/><Relationship Id="rId13" Type="http://schemas.openxmlformats.org/officeDocument/2006/relationships/image" Target="media/1d28e584293a12ab4f35c323c528a549a84c3752.png"/><Relationship Id="rId14" Type="http://schemas.openxmlformats.org/officeDocument/2006/relationships/image" Target="media/2e9abafd18cb6a45355552e15cacea007c7dffb4.png"/><Relationship Id="rId15" Type="http://schemas.openxmlformats.org/officeDocument/2006/relationships/image" Target="media/73b5ce49b241bef2229df83e88bf7bc36735bc2d.png"/><Relationship Id="rId16" Type="http://schemas.openxmlformats.org/officeDocument/2006/relationships/image" Target="media/5e3d6c04be094902d33f965ecc104a229ead87cc.png"/><Relationship Id="rId17" Type="http://schemas.openxmlformats.org/officeDocument/2006/relationships/image" Target="media/96e4af15805bb4d4a80cef683645cdf8c56c8fb1.png"/><Relationship Id="rId1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2026-02-13T22:34:19.414Z</dcterms:created>
  <dcterms:modified xsi:type="dcterms:W3CDTF">2026-02-13T22:34:19.415Z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