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 w:line="264" w:lineRule="auto"/>
      </w:pPr>
      <w:r>
        <w:rPr>
          <w:rFonts w:ascii="Calibri" w:hAnsi="Calibri"/>
          <w:b/>
          <w:i w:val="0"/>
          <w:color w:val="7A5A00"/>
          <w:sz w:val="22"/>
        </w:rPr>
        <w:t>INFORME EJECUTIVO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52A38"/>
          <w:sz w:val="50"/>
        </w:rPr>
        <w:t>Bitácora de desarrollo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1F4D78"/>
          <w:sz w:val="30"/>
        </w:rPr>
        <w:t>Integración NetSuite - Facturama para certificación CFDI 4.0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Proyecto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9"/>
              </w:rPr>
              <w:t>NS PAC Integration Facturama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Repositorio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9"/>
              </w:rPr>
              <w:t>saulkgames/NS_PAC_Integration_Facturama | rama main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Periodo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9"/>
              </w:rPr>
              <w:t>1 al 14 de agosto de 2026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Fuente principal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9"/>
              </w:rPr>
              <w:t>docs/development-log.md y código vigente en GitHub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Estado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9"/>
              </w:rPr>
              <w:t>Pendiente de validación end-to-end</w:t>
            </w:r>
          </w:p>
        </w:tc>
      </w:tr>
    </w:tbl>
    <w:p>
      <w:pPr>
        <w:pStyle w:val="Heading1"/>
        <w:keepLines/>
        <w:keepNext/>
      </w:pPr>
      <w:r>
        <w:t>Mensaje ejecutivo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FF2CC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Conclusion: </w:t>
            </w:r>
            <w:r>
              <w:rPr>
                <w:rFonts w:ascii="Calibri" w:hAnsi="Calibri"/>
                <w:b w:val="0"/>
                <w:i w:val="0"/>
                <w:color w:val="152A38"/>
                <w:sz w:val="22"/>
              </w:rPr>
              <w:t>La integración ya cuenta con una arquitectura modular y un contrato de retorno alineado con E-Documents. El bloqueo para declarar el flujo listo no está en el timbrado: está en preservar el éxito fiscal cuando fallan tareas locales posteriores como recuperar el XML o generar el PDF.</w:t>
            </w:r>
          </w:p>
        </w:tc>
      </w:tr>
    </w:tbl>
    <w:p>
      <w:pPr>
        <w:spacing w:after="40"/>
      </w:pP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Avance confirmado: existe evidencia reportada de conexion y timbrado de una Cash Sale, junto con XML y captura de campos certificados.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Madurez técnica: el flujo separa configuración, API, manejo de respuestas, campos CFDI, archivos y logging; el Audit Trail se delega al framework nativo.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Brecha crítica: una excepcion posterior al UUID cae en el catch general y devuelve estado de error, lo que puede ocultar una certificación ya realizada y favorecer un reintento duplicado.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Prioridad recomendada: persistir UUID e identificador del PAC inmediatamente después del éxito fiscal y desacoplar las operaciones recuperables de XML/PDF.</w:t>
      </w:r>
    </w:p>
    <w:p>
      <w:r>
        <w:br w:type="page"/>
      </w:r>
    </w:p>
    <w:p>
      <w:pPr>
        <w:pStyle w:val="Heading1"/>
        <w:keepLines/>
        <w:keepNext/>
      </w:pPr>
      <w:r>
        <w:t>1. Estado del desarrollo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152A38"/>
          <w:sz w:val="22"/>
        </w:rPr>
        <w:t>La bitácora registra tres hitos consecutivos. Todos permanecen pendientes de validación porque la evidencia disponible no demuestra una ejecución única y completa desde el envio hasta el Audit Trail nativo.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960"/>
        <w:gridCol w:w="16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Fecha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Hito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Evidencia principal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01 ago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Base inicial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Proyecto SDF, plug-in SuiteScript 2.0 y cuatro módulos; commit 999df9c.</w:t>
            </w:r>
          </w:p>
        </w:tc>
        <w:tc>
          <w:tcPr>
            <w:tcW w:type="dxa" w:w="1600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Por validar</w:t>
            </w: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Por validar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07 ago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Cash Sale y auditoría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Timbrado reportado, XML y captura de campos; commit 3322e51 y merge cb65f02.</w:t>
            </w:r>
          </w:p>
        </w:tc>
        <w:tc>
          <w:tcPr>
            <w:tcW w:type="dxa" w:w="1600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Por validar</w:t>
            </w: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Por validar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14 ago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Retorno nativo y PDF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Response handler, buildExtraFields, plantillas por tipo y mejoras de error; commits 9e8defb, cd3501b y 535a06e.</w:t>
            </w:r>
          </w:p>
        </w:tc>
        <w:tc>
          <w:tcPr>
            <w:tcW w:type="dxa" w:w="1600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Por validar</w:t>
            </w: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Por validar</w:t>
            </w:r>
          </w:p>
        </w:tc>
      </w:tr>
    </w:tbl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Tabla 1. Evolucion documentada en la bitácora oficial. Fuente: docs/development-log.md.</w:t>
      </w:r>
    </w:p>
    <w:p>
      <w:pPr>
        <w:pStyle w:val="Heading2"/>
        <w:keepLines/>
        <w:keepNext/>
      </w:pPr>
      <w:r>
        <w:t>Lectura ejecutiva del estado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Funcionalidad existente: preparacion del payload, autenticación, POST al PAC, clasificación de respuestas, descarga/guardado de XML, mapeo fiscal, QR, PDF y retorno nativo.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Validacion parcial: el mensaje del commit y los artefactos de prueba respaldan el timbrado de Cash Sale, pero no una prueba end-to-end reproducible con el código vigente.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Cobertura pendiente: Invoice, Cash Sale, Credit Memo, Item Fulfillment y Customer Payment; estados, botones, correo, permisos y gobernanza.</w:t>
      </w:r>
    </w:p>
    <w:p>
      <w:r>
        <w:br w:type="page"/>
      </w:r>
    </w:p>
    <w:p>
      <w:pPr>
        <w:pStyle w:val="Heading1"/>
        <w:keepLines/>
        <w:keepNext/>
      </w:pPr>
      <w:r>
        <w:t>2. Lógica implementada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52A38"/>
          <w:sz w:val="22"/>
        </w:rPr>
        <w:t>El Sending Method opera de forma síncrona. Primero obtiene y certifica el documento; después ejecuta tareas locales necesarias para completar la experiencia de E-Documents.</w:t>
      </w:r>
    </w:p>
    <w:p>
      <w:pPr>
        <w:spacing w:before="6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 descr="Diagrama de flujo del Sending Method: invocacion, configuracion, timbrado, clasificacion de respuesta, XML, campos fiscales, PDF y retorno nativo, con el riesgo de error posterior a la certificac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Figura 1. Flujo actual y punto de riesgo posterior al timbrado. Elaboracion propia a partir del código vigente.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BE3E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Hallazgo central: </w:t>
            </w:r>
            <w:r>
              <w:rPr>
                <w:rFonts w:ascii="Calibri" w:hAnsi="Calibri"/>
                <w:b w:val="0"/>
                <w:i w:val="0"/>
                <w:color w:val="152A38"/>
                <w:sz w:val="22"/>
              </w:rPr>
              <w:t>El código reconoce como éxito los códigos HTTP 200, 201 y 208, o cualquier respuesta con UUID. Sin embargo, getXml, saveXml, buildExtraFields y generateCertifiedPdf siguen dentro del mismo try/catch; una falla en cualquiera de esas etapas devuelve eDocStatus 4.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Lines/>
        <w:keepNext/>
      </w:pPr>
      <w:r>
        <w:t>3. Mapa conceptual de arquitectura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52A38"/>
          <w:sz w:val="22"/>
        </w:rPr>
        <w:t>La solución se implementa como una personalización SDF de NetSuite y utiliza un plug-in SuiteScript 2.0 como orquestador. La modularidad actual permite aislar responsabilidades y facilita la siguiente etapa de robustecimiento.</w:t>
      </w:r>
    </w:p>
    <w:p>
      <w:pPr>
        <w:spacing w:before="6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5806440" cy="3812896"/>
            <wp:docPr id="2" name="Picture 2" descr="Mapa conceptual de arquitectura con NetSuite y Mexico Compliance, orquestador SuiteScript, modulos de configuracion, API, response handler, CFDI, archivos y logger, custom record, File Cabinet, Facturama y S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Figura 2. Arquitectura lógica vigente del proyecto. Fuente: manifest.xml y módulos SuiteScript en main.</w:t>
      </w:r>
    </w:p>
    <w:p>
      <w:pPr>
        <w:pStyle w:val="Heading2"/>
        <w:keepLines/>
        <w:keepNext/>
      </w:pPr>
      <w:r>
        <w:t>Capas y responsabilidades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Plataforma: NetSuite E-Documents, Mexico Compliance, transacciones y plantillas FreeMarker.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Orquestacion: pi_sads_fama_connector.js coordina contexto, configuración, PAC, artefactos y retorno al framework.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Servicios internos: config, API, response handler, CFDI, archivos y logger encapsulan responsabilidades especializadas.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Persistencia: custom record por subsidiaria y File Cabinet; las definiciones SDF de los custom records no están actualmente versionadas.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Servicios externos: Facturama API-Lite certifica CFDI 4.0; el QR dirige al servicio de verificacion del SAT.</w:t>
      </w:r>
    </w:p>
    <w:p>
      <w:r>
        <w:br w:type="page"/>
      </w:r>
    </w:p>
    <w:p>
      <w:pPr>
        <w:pStyle w:val="Heading1"/>
        <w:keepLines/>
        <w:keepNext/>
      </w:pPr>
      <w:r>
        <w:t>4. Confirmado, interpretado y pendiente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Clasificacion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Contenido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Implicacion ejecutiva</w:t>
            </w:r>
          </w:p>
        </w:tc>
      </w:tr>
      <w:tr>
        <w:tc>
          <w:tcPr>
            <w:tcW w:type="dxa" w:w="1900"/>
            <w:shd w:fill="E3F1E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F7A4D"/>
                <w:sz w:val="19"/>
              </w:rPr>
              <w:t>Hecho confirmado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El repositorio contiene un proyecto SDF Account Customization y un plug-in SuiteScript 2.0 modular.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La base de solución y sus limites son auditables en código.</w:t>
            </w:r>
          </w:p>
        </w:tc>
      </w:tr>
      <w:tr>
        <w:tc>
          <w:tcPr>
            <w:tcW w:type="dxa" w:w="1900"/>
            <w:shd w:fill="E3F1E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F7A4D"/>
                <w:sz w:val="19"/>
              </w:rPr>
              <w:t>Hecho confirmado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El response handler acepta 200, 201, 208 o UUID como certificación; el conector usa buildExtraFields y retorno eiStatus.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Las correcciones estructurales del 14 de agosto están presentes en main.</w:t>
            </w:r>
          </w:p>
        </w:tc>
      </w:tr>
      <w:tr>
        <w:tc>
          <w:tcPr>
            <w:tcW w:type="dxa" w:w="1900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Evidencia reportada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El commit del 7 de agosto reporta conexion y timbrado de Cash Sale; existen XML y captura de prueba.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Hay una señal funcional positiva, aunque no una validación reproducible completa.</w:t>
            </w:r>
          </w:p>
        </w:tc>
      </w:tr>
      <w:tr>
        <w:tc>
          <w:tcPr>
            <w:tcW w:type="dxa" w:w="1900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Interpretacion técnica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El UUID es el límite transaccional fiscal y debe persistirse antes de XML/PDF.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Reduce el riesgo de duplicidad y permite reintentos locales controlados.</w:t>
            </w:r>
          </w:p>
        </w:tc>
      </w:tr>
      <w:tr>
        <w:tc>
          <w:tcPr>
            <w:tcW w:type="dxa" w:w="1900"/>
            <w:shd w:fill="FBE3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No existe evidencia de una misma corrida con estado, Audit Trail, XML, PDF y campos completados.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No se recomienda declarar el desarrollo listo para producción.</w:t>
            </w:r>
          </w:p>
        </w:tc>
      </w:tr>
      <w:tr>
        <w:tc>
          <w:tcPr>
            <w:tcW w:type="dxa" w:w="1900"/>
            <w:shd w:fill="FBE3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No están documentados permisos, consumo de gobernanza ni pruebas de los cinco tipos de transacción.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El riesgo operativo y de capacidad aún no está cuantificado.</w:t>
            </w:r>
          </w:p>
        </w:tc>
      </w:tr>
    </w:tbl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Tabla 2. Separacion entre evidencia, interpretacion y trabajo pendiente.</w:t>
      </w:r>
    </w:p>
    <w:p>
      <w:pPr>
        <w:pStyle w:val="Heading2"/>
        <w:keepLines/>
        <w:keepNext/>
      </w:pPr>
      <w:r>
        <w:t>Decisiones tecnicas relevantes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Delegar el Audit Trail al framework nativo, descartando la insercion manual del registro de auditoría.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Tratar 208 Already Reported y la presencia de UUID como éxito fiscal para recuperar documentos ya certificados.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Resolver plantillas PDF por tipo interno de transacción desde la configuración de cada subsidiaria.</w:t>
      </w:r>
    </w:p>
    <w:p>
      <w:r>
        <w:br w:type="page"/>
      </w:r>
    </w:p>
    <w:p>
      <w:pPr>
        <w:pStyle w:val="Heading1"/>
        <w:keepLines/>
        <w:keepNext/>
      </w:pPr>
      <w:r>
        <w:t>5. Riesgos y controles prioritarios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52A38"/>
          <w:sz w:val="22"/>
        </w:rPr>
        <w:t>La prioridad combina impacto fiscal, probabilidad operativa y capacidad de recuperación. Las acciones propuestas no implican que el riesgo ya haya ocurrido; indican donde concentrar la validación.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850"/>
        <w:gridCol w:w="2460"/>
        <w:gridCol w:w="270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Prioridad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Riesgo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Evidencia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Control recomendado</w:t>
            </w:r>
          </w:p>
        </w:tc>
      </w:tr>
      <w:tr>
        <w:tc>
          <w:tcPr>
            <w:tcW w:type="dxa" w:w="1350"/>
            <w:shd w:fill="FBE3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Crítica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Retimbrado de un CFDI ya certificado por fallo posterior en XML/PDF.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Catch general devuelve estado 4 después de obtener UUID.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Persistir UUID/Id PAC; separar estado fiscal y estado local; reintentos idempotentes.</w:t>
            </w:r>
          </w:p>
        </w:tc>
      </w:tr>
      <w:tr>
        <w:tc>
          <w:tcPr>
            <w:tcW w:type="dxa" w:w="1350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Alta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Falsa sensación de cierre por pruebas parciales.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No hay evidencia end-to-end en una sola ejecución.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Caso controlado con trazabilidad completa, capturas, archivos y Audit Trail.</w:t>
            </w:r>
          </w:p>
        </w:tc>
      </w:tr>
      <w:tr>
        <w:tc>
          <w:tcPr>
            <w:tcW w:type="dxa" w:w="1350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Alta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Dependencias de configuración no reproducibles.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Custom records retirados de SDF mientras el código los consulta.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Versionarlos o declararlos formalmente como prerrequisito de despliegue.</w:t>
            </w:r>
          </w:p>
        </w:tc>
      </w:tr>
      <w:tr>
        <w:tc>
          <w:tcPr>
            <w:tcW w:type="dxa" w:w="1350"/>
            <w:shd w:fill="FFF2C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Alta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Exposición de datos fiscales o credenciales.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Logger y artefactos de Tests pueden contener información operativa.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Permisos minimos, redaccion, retención y sanitizacion del repositorio.</w:t>
            </w:r>
          </w:p>
        </w:tc>
      </w:tr>
      <w:tr>
        <w:tc>
          <w:tcPr>
            <w:tcW w:type="dxa" w:w="1350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Media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Destino de archivos dependiente del entorno.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Folder ID -15 permanece fijo en el módulo de archivos.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Parametrizar carpeta y validar permisos en sandbox/producción.</w:t>
            </w:r>
          </w:p>
        </w:tc>
      </w:tr>
      <w:tr>
        <w:tc>
          <w:tcPr>
            <w:tcW w:type="dxa" w:w="1350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0"/>
                <w:sz w:val="19"/>
              </w:rPr>
              <w:t>Media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7"/>
              </w:rPr>
              <w:t>Consumo sincrónico no cuantificado.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No hay medicion de unidades de gobernanza.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7"/>
              </w:rPr>
              <w:t>Instrumentar consumo y definir umbrales por tipo de transacción.</w:t>
            </w:r>
          </w:p>
        </w:tc>
      </w:tr>
    </w:tbl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Tabla 3. Registro ejecutivo de riesgos derivado de la bitácora y la inspección del código actual.</w:t>
      </w:r>
    </w:p>
    <w:p>
      <w:r>
        <w:br w:type="page"/>
      </w:r>
    </w:p>
    <w:p>
      <w:pPr>
        <w:pStyle w:val="Heading1"/>
        <w:keepLines/>
        <w:keepNext/>
      </w:pPr>
      <w:r>
        <w:t>6. Hoja de ruta para cierre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3F1E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F7A4D"/>
                <w:sz w:val="22"/>
              </w:rPr>
              <w:t xml:space="preserve">Criterio de salida: </w:t>
            </w:r>
            <w:r>
              <w:rPr>
                <w:rFonts w:ascii="Calibri" w:hAnsi="Calibri"/>
                <w:b w:val="0"/>
                <w:i w:val="0"/>
                <w:color w:val="152A38"/>
                <w:sz w:val="22"/>
              </w:rPr>
              <w:t>Un documento debe poder certificar, conservar UUID e Id del PAC, recuperar/guardar XML, generar/adjuntar PDF, actualizar campos y dejar Audit Trail nativo sin riesgo de duplicar el timbrado.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Fase 1 - Proteger el resultado fiscal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Persistir UUID e identificador del PAC inmediatamente después de una respuesta fiscal exitosa.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Separar errores del PAC de errores locales; impedir que XML/PDF cambien una certificación a fallo de certificación.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Definir comportamiento idempotente para 208, UUID existente y reintentos de recuperación.</w:t>
      </w:r>
    </w:p>
    <w:p>
      <w:pPr>
        <w:pStyle w:val="Heading2"/>
        <w:keepLines/>
        <w:keepNext/>
      </w:pPr>
      <w:r>
        <w:t>Fase 2 - Validar el camino completo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Corregir y probar la decodificación Base64 y el guardado del XML en una carpeta parametrizada.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Ejecutar Cash Sale end-to-end y recopilar evidencia: respuesta PAC, UUID, XML, PDF, campos, estado y Audit Trail.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Validar matriz de respuestas 200, 201, 208, 400, 401, 403, 404, 500, 503 y respuesta con UUID.</w:t>
      </w:r>
    </w:p>
    <w:p>
      <w:pPr>
        <w:pStyle w:val="Heading2"/>
        <w:keepLines/>
        <w:keepNext/>
      </w:pPr>
      <w:r>
        <w:t>Fase 3 - Preparar operación y despliegue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Probar Invoice, Cash Sale, Credit Memo, Item Fulfillment y Customer Payment, incluyendo envio por correo.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Versionar o documentar prerrequisitos de custom records y campos de plantillas; validar roles y permisos.</w:t>
      </w:r>
    </w:p>
    <w:p>
      <w:pPr>
        <w:pStyle w:val="ExecutiveNumber"/>
      </w:pPr>
      <w:r>
        <w:rPr>
          <w:rFonts w:ascii="Calibri" w:hAnsi="Calibri"/>
          <w:b w:val="0"/>
          <w:i w:val="0"/>
          <w:color w:val="152A38"/>
          <w:sz w:val="22"/>
        </w:rPr>
        <w:t>Medir gobernanza, sanitizar artefactos de prueba y acordar retención del logger.</w:t>
      </w:r>
    </w:p>
    <w:p>
      <w:pPr>
        <w:pStyle w:val="Heading2"/>
        <w:keepLines/>
        <w:keepNext/>
      </w:pPr>
      <w:r>
        <w:t>Indicadores de aceptación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Dominio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Evidencia mínima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Fiscal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UUID, Id PAC y código de respuesta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No se vuelve a timbrar un CFDI certificado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NetSuite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Estado, campos y Audit Trail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Actualizacion nativa consistente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Artefactos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XML legible y PDF correcto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Archivos adjuntos y recuperables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2A38"/>
                <w:sz w:val="18"/>
              </w:rPr>
              <w:t>Operacion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Permisos, correo y gobernanza</w:t>
            </w:r>
          </w:p>
        </w:tc>
        <w:tc>
          <w:tcPr>
            <w:tcW w:type="dxa" w:w="3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A38"/>
                <w:sz w:val="18"/>
              </w:rPr>
              <w:t>Ejecucion controlada por rol y volumen</w:t>
            </w:r>
          </w:p>
        </w:tc>
      </w:tr>
    </w:tbl>
    <w:p>
      <w:pPr>
        <w:spacing w:before="60" w:after="160" w:line="264" w:lineRule="auto"/>
        <w:jc w:val="center"/>
        <w:keepLines/>
      </w:pPr>
      <w:r>
        <w:rPr>
          <w:rFonts w:ascii="Calibri" w:hAnsi="Calibri"/>
          <w:b w:val="0"/>
          <w:i/>
          <w:color w:val="5B6870"/>
          <w:sz w:val="18"/>
        </w:rPr>
        <w:t>Tabla 4. Evidencia necesaria para cambiar el estado de pendiente de validación a completado.</w:t>
      </w:r>
    </w:p>
    <w:p>
      <w:r>
        <w:br w:type="page"/>
      </w:r>
    </w:p>
    <w:p>
      <w:pPr>
        <w:pStyle w:val="Heading1"/>
        <w:keepLines/>
        <w:keepNext/>
      </w:pPr>
      <w:r>
        <w:t>7. Fuentes y trazabilidad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152A38"/>
          <w:sz w:val="22"/>
        </w:rPr>
        <w:t>El informe se basa exclusivamente en la bitácora oficial y en archivos vigentes consultados en la rama main. No se utilizaron conversaciones externas ni se reprodujeron credenciales o datos fiscales sensibles.</w:t>
      </w:r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Bitácora oficial: </w:t>
      </w:r>
      <w:hyperlink r:id="rId13">
        <w:r>
          <w:rPr>
            <w:color w:val="2E74B5"/>
            <w:u w:val="single"/>
            <w:rFonts w:ascii="Calibri" w:hAnsi="Calibri"/>
          </w:rPr>
          <w:t>docs/development-log.md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Commit inicial: </w:t>
      </w:r>
      <w:hyperlink r:id="rId14">
        <w:r>
          <w:rPr>
            <w:color w:val="2E74B5"/>
            <w:u w:val="single"/>
            <w:rFonts w:ascii="Calibri" w:hAnsi="Calibri"/>
          </w:rPr>
          <w:t>999df9c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Cash Sale y auditoría: </w:t>
      </w:r>
      <w:hyperlink r:id="rId15">
        <w:r>
          <w:rPr>
            <w:color w:val="2E74B5"/>
            <w:u w:val="single"/>
            <w:rFonts w:ascii="Calibri" w:hAnsi="Calibri"/>
          </w:rPr>
          <w:t>3322e51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Retorno nativo: </w:t>
      </w:r>
      <w:hyperlink r:id="rId16">
        <w:r>
          <w:rPr>
            <w:color w:val="2E74B5"/>
            <w:u w:val="single"/>
            <w:rFonts w:ascii="Calibri" w:hAnsi="Calibri"/>
          </w:rPr>
          <w:t>9e8defb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PDF y flujo: </w:t>
      </w:r>
      <w:hyperlink r:id="rId17">
        <w:r>
          <w:rPr>
            <w:color w:val="2E74B5"/>
            <w:u w:val="single"/>
            <w:rFonts w:ascii="Calibri" w:hAnsi="Calibri"/>
          </w:rPr>
          <w:t>cd3501b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Response handler: </w:t>
      </w:r>
      <w:hyperlink r:id="rId18">
        <w:r>
          <w:rPr>
            <w:color w:val="2E74B5"/>
            <w:u w:val="single"/>
            <w:rFonts w:ascii="Calibri" w:hAnsi="Calibri"/>
          </w:rPr>
          <w:t>535a06e</w:t>
        </w:r>
      </w:hyperlink>
    </w:p>
    <w:p>
      <w:pPr>
        <w:pStyle w:val="ExecutiveBullet"/>
      </w:pPr>
      <w:r>
        <w:rPr>
          <w:rFonts w:ascii="Calibri" w:hAnsi="Calibri"/>
          <w:b/>
          <w:i w:val="0"/>
          <w:color w:val="152A38"/>
          <w:sz w:val="22"/>
        </w:rPr>
        <w:t xml:space="preserve">Comparación reciente: </w:t>
      </w:r>
      <w:hyperlink r:id="rId19">
        <w:r>
          <w:rPr>
            <w:color w:val="2E74B5"/>
            <w:u w:val="single"/>
            <w:rFonts w:ascii="Calibri" w:hAnsi="Calibri"/>
          </w:rPr>
          <w:t>243f13c...535a06e</w:t>
        </w:r>
      </w:hyperlink>
    </w:p>
    <w:p>
      <w:pPr>
        <w:pStyle w:val="Heading2"/>
        <w:keepLines/>
        <w:keepNext/>
      </w:pPr>
      <w:r>
        <w:t>Archivos de código inspeccionados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pac_facturama_integration/src/manifest.xml y deploy.xml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pi_sads_fama_connector.js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lib/sads_fama_response_handler.js</w:t>
      </w:r>
    </w:p>
    <w:p>
      <w:pPr>
        <w:pStyle w:val="ExecutiveBullet"/>
      </w:pPr>
      <w:r>
        <w:rPr>
          <w:rFonts w:ascii="Calibri" w:hAnsi="Calibri"/>
          <w:b w:val="0"/>
          <w:i w:val="0"/>
          <w:color w:val="152A38"/>
          <w:sz w:val="22"/>
        </w:rPr>
        <w:t>lib/sads_fama_api.js, sads_fama_cfdi.js, sads_fama_config.js y sads_fama_files.js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2D8"/>
              <w:left w:val="single" w:sz="6" w:color="C9D2D8"/>
              <w:bottom w:val="single" w:sz="6" w:color="C9D2D8"/>
              <w:right w:val="single" w:sz="6" w:color="C9D2D8"/>
              <w:insideH w:val="single" w:sz="6" w:color="C9D2D8"/>
              <w:insideV w:val="single" w:sz="6" w:color="C9D2D8"/>
            </w:tcBorders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5B6870"/>
                <w:sz w:val="22"/>
              </w:rPr>
              <w:t xml:space="preserve">Limitación: </w:t>
            </w:r>
            <w:r>
              <w:rPr>
                <w:rFonts w:ascii="Calibri" w:hAnsi="Calibri"/>
                <w:b w:val="0"/>
                <w:i w:val="0"/>
                <w:color w:val="152A38"/>
                <w:sz w:val="22"/>
              </w:rPr>
              <w:t>La ausencia de pull requests e incidencias se reporta según la bitácora. El informe no sustituye una validación funcional en sandbox ni una revisión de seguridad de la cuenta NetSuite.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870"/>
        <w:sz w:val="18"/>
      </w:rPr>
      <w:t xml:space="preserve">Página </w:t>
    </w:r>
    <w:fldSimple w:instr="PAGE"/>
    <w:r>
      <w:rPr>
        <w:rFonts w:ascii="Calibri" w:hAnsi="Calibri"/>
        <w:b w:val="0"/>
        <w:i w:val="0"/>
        <w:color w:val="5B6870"/>
        <w:sz w:val="18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B8C5CC"/>
      </w:pBdr>
    </w:pPr>
    <w:r>
      <w:rPr>
        <w:rFonts w:ascii="Calibri" w:hAnsi="Calibri"/>
        <w:b/>
        <w:i w:val="0"/>
        <w:color w:val="5B6870"/>
        <w:sz w:val="18"/>
      </w:rPr>
      <w:t>NS PAC Integration Facturama</w:t>
    </w:r>
    <w:r>
      <w:tab/>
    </w:r>
    <w:r>
      <w:rPr>
        <w:rFonts w:ascii="Calibri" w:hAnsi="Calibri"/>
        <w:b w:val="0"/>
        <w:i w:val="0"/>
        <w:color w:val="5B6870"/>
        <w:sz w:val="18"/>
      </w:rPr>
      <w:t>Informe ejecutivo | 14 ago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52A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pos="9288" w:val="left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Bullet">
    <w:name w:val="Executive Bullet"/>
    <w:basedOn w:val="Normal"/>
    <w:pPr>
      <w:spacing w:after="160" w:line="280" w:lineRule="auto"/>
      <w:ind w:left="720" w:hanging="360"/>
      <w:numPr>
        <w:ilvl w:val="0"/>
        <w:numId w:val="10"/>
      </w:numPr>
    </w:pPr>
  </w:style>
  <w:style w:type="paragraph" w:customStyle="1" w:styleId="ExecutiveNumber">
    <w:name w:val="Executive Number"/>
    <w:basedOn w:val="Normal"/>
    <w:pPr>
      <w:spacing w:after="16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saulkgames/NS_PAC_Integration_Facturama/blob/main/docs/development-log.md" TargetMode="External"/><Relationship Id="rId14" Type="http://schemas.openxmlformats.org/officeDocument/2006/relationships/hyperlink" Target="https://github.com/saulkgames/NS_PAC_Integration_Facturama/commit/999df9cc28e2ba1a8fc545e6b7a4b221a34ce73c" TargetMode="External"/><Relationship Id="rId15" Type="http://schemas.openxmlformats.org/officeDocument/2006/relationships/hyperlink" Target="https://github.com/saulkgames/NS_PAC_Integration_Facturama/commit/3322e5138ab4793baa7d013b13c1280c07a02376" TargetMode="External"/><Relationship Id="rId16" Type="http://schemas.openxmlformats.org/officeDocument/2006/relationships/hyperlink" Target="https://github.com/saulkgames/NS_PAC_Integration_Facturama/commit/9e8defb45bfa8d84bdc8ddd0f340d24c4ffd7be8" TargetMode="External"/><Relationship Id="rId17" Type="http://schemas.openxmlformats.org/officeDocument/2006/relationships/hyperlink" Target="https://github.com/saulkgames/NS_PAC_Integration_Facturama/commit/cd3501b8af552502ea929a2a1554b7a32d95dbe8" TargetMode="External"/><Relationship Id="rId18" Type="http://schemas.openxmlformats.org/officeDocument/2006/relationships/hyperlink" Target="https://github.com/saulkgames/NS_PAC_Integration_Facturama/commit/535a06eea5b60dd0285b376230c76f01f27f2be4" TargetMode="External"/><Relationship Id="rId19" Type="http://schemas.openxmlformats.org/officeDocument/2006/relationships/hyperlink" Target="https://github.com/saulkgames/NS_PAC_Integration_Facturama/compare/243f13c1bc45f661a0b67e21d92a60802bcf57b3...535a06eea5b60dd0285b376230c76f01f27f2b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la bitácora de desarrollo - NS PAC Integration Facturama</dc:title>
  <dc:subject>Estado, flujo logico, arquitectura, riesgos y hoja de ruta</dc:subject>
  <dc:creator>Chalan Saul</dc:creator>
  <cp:keywords>NetSuite, SuiteCloud, SuiteScript, Facturama, CFDI, E-Documents, SDF</cp:keywords>
  <dc:description>Generado a partir de evidencia verificable del repositorio; sin secretos ni datos fiscales sensibles.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