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31520" cy="7184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u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18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Guia do professor de docking molecular</w:t>
      </w:r>
    </w:p>
    <w:p>
      <w:r>
        <w:rPr>
          <w:b/>
        </w:rPr>
        <w:t>Fundamentos para estudo e roteiro de uma aula de duas horas</w:t>
      </w:r>
    </w:p>
    <w:p>
      <w:r>
        <w:rPr>
          <w:b w:val="0"/>
        </w:rPr>
        <w:t>Prof. Dr. Saulo Mendes</w:t>
        <w:br/>
        <w:t>Bioprospecção e Bioprodutos na Saúde</w:t>
        <w:br/>
        <w:t>Mestrado em Biociências Aplicadas à Saúde</w:t>
        <w:br/>
        <w:t>Universidade Ceuma</w:t>
      </w:r>
    </w:p>
    <w:p>
      <w:r>
        <w:rPr>
          <w:b w:val="0"/>
        </w:rPr>
        <w:t>Versão revisada em 19 de outubro de 2026</w:t>
      </w:r>
    </w:p>
    <w:p>
      <w:pPr>
        <w:pStyle w:val="Heading2"/>
      </w:pPr>
      <w:r>
        <w:t>Como usar este guia</w:t>
      </w:r>
    </w:p>
    <w:p>
      <w:r>
        <w:t>Este material reúne uma revisão conceitual e orientações para conduzir a aula interativa. A exposição começa pela pergunta biológica, pelo reconhecimento molecular e pela termodinâmica. O jogo final permite aplicar os conceitos em decisões de pesquisa. Os capítulos de proteína, preparação e gridbox são aprofundamento para seu estudo, sem operação obrigatória de DockThor pelos alunos.</w:t>
      </w:r>
    </w:p>
    <w:p>
      <w:r>
        <w:t>Para estudar, leia primeiro os capítulos de reconhecimento, interações e termodinâmica. A explicação para os alunos começa pela analogia de peças articuladas. As contas são opcionais. Em seguida, ensaie as oito decisões do jogo. Os capítulos de preparação e gridbox são apoio para sua compreensão, sem necessidade de apresentar toda a operação de um portal à turma.</w:t>
      </w:r>
    </w:p>
    <w:p>
      <w:pPr>
        <w:pStyle w:val="Heading2"/>
      </w:pPr>
      <w:r>
        <w:t>Resultados de aprendizagem</w:t>
      </w:r>
    </w:p>
    <w:p>
      <w:r>
        <w:rPr>
          <w:b w:val="0"/>
        </w:rPr>
        <w:t>O aluno deverá explicar docking como busca e pontuação de poses, reconhecer interações não covalentes, interpretar qualitativamente ΔG = ΔH − TΔS, justificar uma estrutura e uma região de busca e distinguir recuperação de pose de demonstração de afinidade ou eficácia.</w:t>
      </w:r>
    </w:p>
    <w:p>
      <w:r>
        <w:t>A atividade final é o jogo Expedição Bioprodutos, com oito decisões de pesquisa. O professor controla a abertura, revelação e avanço das rodadas. O docking aparece como uma etapa de um percurso mais amplo de bioprospecção. Não se exige execução de DockThor pelos alunos. O caso 1HPV e os capítulos operacionais permanecem como aprofundamento opcional para o professor.</w:t>
      </w:r>
    </w:p>
    <w:p>
      <w:r>
        <w:br w:type="page"/>
      </w:r>
    </w:p>
    <w:p>
      <w:pPr>
        <w:pStyle w:val="Heading1"/>
      </w:pPr>
      <w:r>
        <w:t>Plano de condução em duas horas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168"/>
            <w:shd w:fill="2544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20"/>
              </w:rPr>
              <w:t>Estação</w:t>
            </w:r>
          </w:p>
        </w:tc>
        <w:tc>
          <w:tcPr>
            <w:tcW w:type="dxa" w:w="1440"/>
            <w:shd w:fill="2544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20"/>
              </w:rPr>
              <w:t>Intervalo</w:t>
            </w:r>
          </w:p>
        </w:tc>
        <w:tc>
          <w:tcPr>
            <w:tcW w:type="dxa" w:w="5184"/>
            <w:shd w:fill="2544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20"/>
              </w:rPr>
              <w:t>Objetivo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1 Pergunta biológica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00–10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Situar o docking na bioprospecção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2 Encaixe e movimento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10–22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Alvo, ligante, sítio e pose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3 Interações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22–37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Distância, orientação, cargas e solvente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4 Como o docking calcula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37–49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Amostragem, pontuação e limitações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5 Termodinâmica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49–67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Entalpia, entropia e Gibbs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6 Leitura crítica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67–75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Pose, RMSD e interpretação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7 Expedição Bioprodutos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75–110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Oito decisões e discussão moderada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8 Retorno à pesquisa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110–120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Conclusão e próximo experimento</w:t>
            </w:r>
          </w:p>
        </w:tc>
      </w:tr>
    </w:tbl>
    <w:p>
      <w:pPr>
        <w:pStyle w:val="Heading2"/>
      </w:pPr>
      <w:r>
        <w:t>Gestão do tempo</w:t>
      </w:r>
    </w:p>
    <w:p>
      <w:r>
        <w:t>Reserve 75 minutos aos fundamentos. Na estação 5, comece com a imagem das peças separadas. Una as peças e pergunte o que ganharam e o que perderam. Depois, use os cenários qualitativos. A fórmula fica recolhida como aprofundamento; não é pré-requisito para jogar.</w:t>
      </w:r>
    </w:p>
    <w:p>
      <w:r>
        <w:t>Com dispositivos variados, cada aluno entra pelo celular, tablet ou notebook usando código e apelido. Equipes também podem compartilhar um aparelho. O professor projeta sua mesa de moderação e escolhe quando abrir e revelar cada rodada. O modo de demonstração é individual, sem conexão com outros aparelhos.</w:t>
      </w:r>
    </w:p>
    <w:p>
      <w:pPr>
        <w:pStyle w:val="Heading2"/>
      </w:pPr>
      <w:r>
        <w:t>Preparação anterior à aula</w:t>
      </w:r>
    </w:p>
    <w:p>
      <w:r>
        <w:t>Abra a aula e o jogo, confira internet e projeção e ensaie a sala com pelo menos um aparelho de aluno. O jogo precisa do serviço de sincronização publicado na internet. O GitHub Pages pode continuar hospedando a aula. Evite reiniciar ou atualizar o serviço durante a partida: as salas desta versão são temporárias.</w:t>
      </w:r>
    </w:p>
    <w:p>
      <w:r>
        <w:t>Se a conexão falhar, use a demonstração na projeção e recolha decisões por equipes. Informe que esse modo não sincroniza os celulares. Preserve o tempo de discussão das respostas. O percurso foi organizado em 3 minutos de entrada, 28 minutos de desafios e 4 minutos de síntese.</w:t>
      </w:r>
    </w:p>
    <w:p>
      <w:r>
        <w:br w:type="page"/>
      </w:r>
    </w:p>
    <w:p>
      <w:pPr>
        <w:pStyle w:val="Heading1"/>
      </w:pPr>
      <w:r>
        <w:t>Reconhecimento molecular e vocabulário</w:t>
      </w:r>
    </w:p>
    <w:p>
      <w:pPr>
        <w:pStyle w:val="Heading2"/>
      </w:pPr>
      <w:r>
        <w:t>O que é docking molecular</w:t>
      </w:r>
    </w:p>
    <w:p>
      <w:r>
        <w:rPr>
          <w:b w:val="0"/>
        </w:rPr>
        <w:t>Docking é um procedimento computacional que busca configurações plausíveis de um complexo e as avalia por uma função de pontuação. Na situação mais comum desta aula, o alvo é uma proteína e o ligante é uma pequena molécula. A configuração relativa recebe o nome de pose. O método opera sobre modelos estruturais e aproximações físico-químicas.</w:t>
      </w:r>
    </w:p>
    <w:p>
      <w:r>
        <w:rPr>
          <w:b w:val="0"/>
        </w:rPr>
        <w:t>Uma pose inclui a posição do ligante no espaço, sua orientação em relação à proteína e sua conformação interna. A conformação muda por rotações em ligações e outras mudanças geométricas permitidas. Não confunda conformação com mudança de identidade química ou de configuração de um centro estereogênico.</w:t>
      </w:r>
    </w:p>
    <w:p>
      <w:pPr>
        <w:pStyle w:val="Heading2"/>
      </w:pPr>
      <w:r>
        <w:t>Como explicar os modelos históricos</w:t>
      </w:r>
    </w:p>
    <w:p>
      <w:r>
        <w:rPr>
          <w:b w:val="0"/>
        </w:rPr>
        <w:t>O modelo chave–fechadura de Fischer, de 1894, introduz a ideia de complementaridade. O encaixe induzido de Koshland, de 1958, enfatiza que a ligação pode envolver mudanças estruturais. A seleção conformacional considera estados que a proteína já acessa antes da ligação. Os mecanismos podem se combinar. Nenhuma dessas analogias significa que a proteína seja uma peça rígida.</w:t>
      </w:r>
    </w:p>
    <w:p>
      <w:r>
        <w:rPr>
          <w:b w:val="0"/>
        </w:rPr>
        <w:t>Kuntz e colaboradores publicaram em 1982 uma abordagem geométrica para interações macromolécula–ligante. O trabalho do Vina, de 2010, exemplifica a evolução da busca e da pontuação. Métodos atuais também empregam aprendizado de máquina. Cite esses marcos para mostrar a evolução das perguntas e das ferramentas, sem transformar a aula em uma cronologia extensa.</w:t>
      </w:r>
    </w:p>
    <w:p>
      <w:r>
        <w:rPr>
          <w:b/>
        </w:rPr>
        <w:t>Fala sugerida</w:t>
      </w:r>
    </w:p>
    <w:p>
      <w:r>
        <w:rPr>
          <w:b w:val="0"/>
        </w:rPr>
        <w:t>“Imagine que temos vários modos possíveis de aproximar uma molécula de uma proteína. O docking explora essas possibilidades e usa regras para escolher as mais promissoras. Nossa tarefa é entender as regras e examinar as soluções.”</w:t>
      </w:r>
    </w:p>
    <w:p>
      <w:pPr>
        <w:pStyle w:val="Heading2"/>
      </w:pPr>
      <w:r>
        <w:t>Demonstração da estação 2</w:t>
      </w:r>
    </w:p>
    <w:p>
      <w:r>
        <w:rPr>
          <w:b w:val="0"/>
        </w:rPr>
        <w:t>Mova primeiro apenas a posição. Depois, altere a orientação. Por fim, altere a conformação. Pergunte o que permaneceu igual em cada mudança. A resposta esperada é a identidade molecular, enquanto a geometria relativa foi modificada. O desenho é conceitual e não calcula energia.</w:t>
      </w:r>
    </w:p>
    <w:p>
      <w:r>
        <w:rPr>
          <w:b w:val="0"/>
        </w:rPr>
        <w:t>Distinga sítio de ligação de sítio ativo: o sítio ativo participa da catálise de uma enzima; um sítio de ligação pode também ser alostérico ou ter outra função. Um programa localizar uma cavidade não comprova sua função biológica.</w:t>
      </w:r>
    </w:p>
    <w:p>
      <w:r>
        <w:br w:type="page"/>
      </w:r>
    </w:p>
    <w:p>
      <w:pPr>
        <w:pStyle w:val="Heading1"/>
      </w:pPr>
      <w:r>
        <w:t>Interações entre o ligante e a proteína</w:t>
      </w:r>
    </w:p>
    <w:p>
      <w:pPr>
        <w:pStyle w:val="Heading2"/>
      </w:pPr>
      <w:r>
        <w:t>Interações não covalentes</w:t>
      </w:r>
    </w:p>
    <w:p>
      <w:r>
        <w:rPr>
          <w:b w:val="0"/>
        </w:rPr>
        <w:t>O docking convencional discutido na aula investiga principalmente reconhecimento não covalente. A estabilidade resulta de um balanço de muitos contatos e do ambiente. Uma ligação covalente entre ligante e alvo exige procedimentos específicos. Não use “ligação” como sinônimo de qualquer linha desenhada por um visualizador.</w:t>
      </w:r>
    </w:p>
    <w:p>
      <w:r>
        <w:rPr>
          <w:b w:val="0"/>
        </w:rPr>
        <w:t>Uma ligação de hidrogênio envolve um doador com H e um aceptor apropriado. A força e a plausibilidade dependem dos átomos, da distância e da orientação. Em muitos contatos, uma geometria D–H···A mais próxima de linear é favorável. As faixas exibidas no simulador são ilustrativas e não constituem um critério universal para classificar todos os contatos.</w:t>
      </w:r>
    </w:p>
    <w:p>
      <w:r>
        <w:rPr>
          <w:b w:val="0"/>
        </w:rPr>
        <w:t>As interações eletrostáticas dependem da distribuição de cargas, da distância e do meio. Grupos de sinais opostos podem se atrair e grupos de mesmo sinal se repelir. O solvente, os íons e a protonação alteram esse cenário. Uma ponte salina entre grupos carregados é um exemplo, mas sua contribuição líquida também inclui dessolvatação.</w:t>
      </w:r>
    </w:p>
    <w:p>
      <w:r>
        <w:rPr>
          <w:b w:val="0"/>
        </w:rPr>
        <w:t>As interações de van der Waals incluem contribuições atrativas de curto alcance. Ao aproximar demais os átomos, a repulsão cresce fortemente. A boa complementaridade geométrica permite contatos sem interpenetração indevida. Um único contato inadequado pode comprometer uma pose aparentemente bem encaixada.</w:t>
      </w:r>
    </w:p>
    <w:p>
      <w:pPr>
        <w:pStyle w:val="Heading2"/>
      </w:pPr>
      <w:r>
        <w:t>O efeito hidrofóbico e a água</w:t>
      </w:r>
    </w:p>
    <w:p>
      <w:r>
        <w:rPr>
          <w:b w:val="0"/>
        </w:rPr>
        <w:t>O efeito hidrofóbico descreve fenômenos de associação de superfícies apolares em meio aquoso. Ele envolve a água e não deve ser apresentado como uma ligação específica entre dois átomos de carbono. A reorganização do solvente pode favorecer a associação, mas a contribuição entálpica ou entrópica depende do sistema. Algumas águas são deslocadas, outras permanecem e podem mediar contatos.</w:t>
      </w:r>
    </w:p>
    <w:p>
      <w:r>
        <w:rPr>
          <w:b/>
        </w:rPr>
        <w:t>Fala sugerida</w:t>
      </w:r>
    </w:p>
    <w:p>
      <w:r>
        <w:rPr>
          <w:b w:val="0"/>
        </w:rPr>
        <w:t>“Antes da ligação, a proteína e o ligante já estão interagindo com a água. Para encostar um no outro, parte dessas interações muda. Vamos olhar o que ganhamos e o que precisamos reorganizar.”</w:t>
      </w:r>
    </w:p>
    <w:p>
      <w:pPr>
        <w:pStyle w:val="Heading2"/>
      </w:pPr>
      <w:r>
        <w:t>Condução do modelo interativo</w:t>
      </w:r>
    </w:p>
    <w:p>
      <w:r>
        <w:rPr>
          <w:b w:val="0"/>
        </w:rPr>
        <w:t>Na aba de ligação de H, mantenha uma distância próxima e altere o ângulo. Depois, restaure a direção e afaste os grupos. Na aba de cargas, alterne sinais opostos e iguais. Em van der Waals, aproxime excessivamente os grupos. Na aba de água, mostre a mudança de distribuição dos pontos azuis. Solicite uma explicação verbal antes de revelar o texto do modelo.</w:t>
      </w:r>
    </w:p>
    <w:p>
      <w:r>
        <w:rPr>
          <w:b w:val="0"/>
        </w:rPr>
        <w:t>Pergunta de verificação: “Por que contar cinco ligações de H não prova maior afinidade?” Resposta: precisamos do balanço com solvente, geometria, flexibilidade, cargas e outros custos. O modelo não estima energia nem representa 1HPV.</w:t>
      </w:r>
    </w:p>
    <w:p>
      <w:r>
        <w:br w:type="page"/>
      </w:r>
    </w:p>
    <w:p>
      <w:pPr>
        <w:pStyle w:val="Heading1"/>
      </w:pPr>
      <w:r>
        <w:t>Entalpia e entropia para estudar</w:t>
      </w:r>
    </w:p>
    <w:p>
      <w:pPr>
        <w:pStyle w:val="Heading2"/>
      </w:pPr>
      <w:r>
        <w:t>Entalpia e sua variação</w:t>
      </w:r>
    </w:p>
    <w:p>
      <w:r>
        <w:rPr>
          <w:b w:val="0"/>
        </w:rPr>
        <w:t>A entalpia é uma função de estado, definida por H = U + pV. Na associação molecular, interessa a variação ΔH entre os estados considerados. Sob pressão constante e nas condições termodinâmicas usuais, a troca de calor corresponde à variação de entalpia. Um ΔH negativo indica um processo exotérmico e uma contribuição entálpica favorável à associação.</w:t>
      </w:r>
    </w:p>
    <w:p>
      <w:r>
        <w:rPr>
          <w:b w:val="0"/>
        </w:rPr>
        <w:t>Evite reduzir ΔH à energia das novas ligações proteína–ligante. O processo também modifica interações proteína–água, ligante–água, águas entre si e, em alguns sistemas, protonação e interações com o tampão. Formar contatos favoráveis pode compensar custos anteriores. A soma determina o valor líquido.</w:t>
      </w:r>
    </w:p>
    <w:p>
      <w:pPr>
        <w:pStyle w:val="Heading2"/>
      </w:pPr>
      <w:r>
        <w:t>Entropia e estados acessíveis</w:t>
      </w:r>
    </w:p>
    <w:p>
      <w:r>
        <w:rPr>
          <w:b w:val="0"/>
        </w:rPr>
        <w:t>A entropia se relaciona à multiplicidade e à probabilidade dos estados microscópicos acessíveis. Para esta aula, prefira a ideia de possibilidades de movimento e organização do sistema à expressão isolada “grau de desordem”. O termo inclui o solvente, a proteína e o ligante, não apenas a molécula desenhada no sítio.</w:t>
      </w:r>
    </w:p>
    <w:p>
      <w:r>
        <w:rPr>
          <w:b w:val="0"/>
        </w:rPr>
        <w:t>Uma associação pode restringir translação, rotação e conformações, gerando contribuições entrópicas desfavoráveis. Ao mesmo tempo, a liberação ou reorganização de águas pode produzir contribuições favoráveis. O sinal líquido de ΔS depende de todos esses componentes. Não ensine que a entropia sempre diminui ao ligar ou sempre aumenta quando há grupos apolares.</w:t>
      </w:r>
    </w:p>
    <w:p>
      <w:pPr>
        <w:pStyle w:val="Heading2"/>
      </w:pPr>
      <w:r>
        <w:t>Como traduzir para a turma</w:t>
      </w:r>
    </w:p>
    <w:p>
      <w:r>
        <w:rPr>
          <w:b/>
        </w:rPr>
        <w:t>Fala sugerida</w:t>
      </w:r>
    </w:p>
    <w:p>
      <w:r>
        <w:rPr>
          <w:b w:val="0"/>
        </w:rPr>
        <w:t>“A entalpia acompanha o balanço energético de contatos que se formam e se desfazem. A entropia acompanha as possibilidades microscópicas do sistema. Ao formar o complexo, o ligante costuma perder liberdade, mas a água também pode ganhar novas possibilidades. Precisamos considerar os dois efeitos juntos.”</w:t>
      </w:r>
    </w:p>
    <w:p>
      <w:r>
        <w:t>Use as peças articuladas da estação 5. Separadas, elas podem mudar de posição e forma; juntas, ganham contatos, mas perdem movimentos independentes. Esclareça que se trata de analogia e não de medida termodinâmica. Acrescente a água para evitar atribuir a entropia apenas ao ligante.</w:t>
      </w:r>
    </w:p>
    <w:p>
      <w:r>
        <w:rPr>
          <w:b w:val="0"/>
        </w:rPr>
        <w:t>Ponto para estudo: um ligante pré-organizado pode perder menos liberdade conformacional ao ligar, mas isso não garante maior afinidade. Mudanças químicas também afetam contatos e solvatação. A compensação entre contribuições entálpicas e entrópicas pode reduzir o ganho líquido esperado.</w:t>
      </w:r>
    </w:p>
    <w:p>
      <w:r>
        <w:br w:type="page"/>
      </w:r>
    </w:p>
    <w:p>
      <w:pPr>
        <w:pStyle w:val="Heading1"/>
      </w:pPr>
      <w:r>
        <w:t>Energia livre de Gibbs e o simulador</w:t>
      </w:r>
    </w:p>
    <w:p>
      <w:pPr>
        <w:pStyle w:val="Heading2"/>
      </w:pPr>
      <w:r>
        <w:t>A equação e os sinais</w:t>
      </w:r>
    </w:p>
    <w:p>
      <w:r>
        <w:rPr>
          <w:b w:val="0"/>
        </w:rPr>
        <w:t>A energia livre de Gibbs é G = H − TS. Para uma transformação comparada à mesma temperatura, usamos ΔG = ΔH − TΔS. Temperatura deve estar em kelvin. Se ΔH estiver em kJ/mol e ΔS em J/(mol·K), divida o produto TΔS por 1.000 antes de combiná-lo com ΔH.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3744"/>
            <w:shd w:fill="2544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20"/>
              </w:rPr>
              <w:t>Cenário fictício a 298 K</w:t>
            </w:r>
          </w:p>
        </w:tc>
        <w:tc>
          <w:tcPr>
            <w:tcW w:type="dxa" w:w="1440"/>
            <w:shd w:fill="2544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20"/>
              </w:rPr>
              <w:t>ΔH kJ/mol</w:t>
            </w:r>
          </w:p>
        </w:tc>
        <w:tc>
          <w:tcPr>
            <w:tcW w:type="dxa" w:w="2304"/>
            <w:shd w:fill="2544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20"/>
              </w:rPr>
              <w:t>ΔS J/(mol·K)</w:t>
            </w:r>
          </w:p>
        </w:tc>
        <w:tc>
          <w:tcPr>
            <w:tcW w:type="dxa" w:w="2304"/>
            <w:shd w:fill="2544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20"/>
              </w:rPr>
              <w:t>ΔG kJ/mol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Contatos e restrição de movimento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−40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−50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−25,1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Ganho entrópico predominante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+10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+100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−19,8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Custo entrópico maior que o ganho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−10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−100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+19,8</w:t>
            </w:r>
          </w:p>
        </w:tc>
      </w:tr>
    </w:tbl>
    <w:p>
      <w:r>
        <w:rPr>
          <w:b w:val="0"/>
        </w:rPr>
        <w:t>No primeiro cenário, TΔS = −14,9 kJ/mol. O termo subtraído é negativo, portanto ΔG = −40 + 14,9 = −25,1 kJ/mol. A restrição entrópica desfavorece o processo, mas não anula o ganho entálpico. No segundo cenário, ΔH positivo é compensado pelo termo entrópico. No terceiro, ΔH negativo não basta.</w:t>
      </w:r>
    </w:p>
    <w:p>
      <w:pPr>
        <w:pStyle w:val="Heading2"/>
      </w:pPr>
      <w:r>
        <w:t>Como demonstrar em sala</w:t>
      </w:r>
    </w:p>
    <w:p>
      <w:r>
        <w:t>No percurso principal, escolha “Bons contatos, pouca restrição”, depois “Bons contatos, muita restrição”. Pergunte por que a mesma aparência de contatos pode ter um custo diferente. Só depois mostre “A água muda o balanço”. Se a turma desejar aprofundar, abra os controles numéricos dentro do detalhe opcional e discuta os sinais.</w:t>
      </w:r>
    </w:p>
    <w:p>
      <w:r>
        <w:t>O gráfico numérico está na área opcional. As barras qualitativas do percurso principal são apenas recursos de raciocínio e não representam medidas, energias calculadas ou termos quantitativos de ΔG. No gráfico opcional, os valores também são fictícios. Ao variar T, ΔH e ΔS ficam constantes por simplificação, o que não precisa ocorrer em sistemas reais.</w:t>
      </w:r>
    </w:p>
    <w:p>
      <w:pPr>
        <w:pStyle w:val="Heading2"/>
      </w:pPr>
      <w:r>
        <w:t>ΔG e ΔG padrão não são a mesma coisa</w:t>
      </w:r>
    </w:p>
    <w:p>
      <w:r>
        <w:rPr>
          <w:b w:val="0"/>
        </w:rPr>
        <w:t>A variação ΔG nas condições atuais depende também das atividades e da composição. No equilíbrio, ΔG = 0. A variação padrão ΔG° se relaciona a uma constante de equilíbrio adimensional por ΔG° = −RT ln K°. Ela pode ser diferente de zero no equilíbrio. Evite dizer que “no equilíbrio ΔG precisa ser negativo”.</w:t>
      </w:r>
    </w:p>
    <w:p>
      <w:r>
        <w:rPr>
          <w:b w:val="0"/>
        </w:rPr>
        <w:t>Um ΔG negativo favorece o avanço do processo nas condições especificadas, mas não informa a velocidade. Barreiras de ativação e mecanismos controlam a cinética. Também não permite concluir eficácia, seletividade ou segurança. Não converta automaticamente um score de docking em constante de dissociação.</w:t>
      </w:r>
    </w:p>
    <w:p>
      <w:r>
        <w:br w:type="page"/>
      </w:r>
    </w:p>
    <w:p>
      <w:pPr>
        <w:pStyle w:val="Heading1"/>
      </w:pPr>
      <w:r>
        <w:t>Como o algoritmo calcula uma pose</w:t>
      </w:r>
    </w:p>
    <w:p>
      <w:pPr>
        <w:pStyle w:val="Heading2"/>
      </w:pPr>
      <w:r>
        <w:t>Amostragem e graus de liberdade</w:t>
      </w:r>
    </w:p>
    <w:p>
      <w:r>
        <w:rPr>
          <w:b w:val="0"/>
        </w:rPr>
        <w:t>A busca explora um espaço de possibilidades. Mesmo com o receptor rígido, o ligante pode mudar posição e orientação. Se ligações rotacionáveis forem permitidas, acrescentam graus de liberdade internos. O número de combinações cresce rapidamente e o programa não examina necessariamente todas elas.</w:t>
      </w:r>
    </w:p>
    <w:p>
      <w:r>
        <w:rPr>
          <w:b w:val="0"/>
        </w:rPr>
        <w:t>Buscas estocásticas usam escolhas probabilísticas e podem produzir resultados diferentes entre execuções. Algoritmos genéticos trabalham com populações de soluções, seleção e alterações que exploram novas poses. Múltiplas execuções ajudam a investigar a robustez da busca, dentro dos limites do algoritmo e do modelo físico.</w:t>
      </w:r>
    </w:p>
    <w:p>
      <w:pPr>
        <w:pStyle w:val="Heading2"/>
      </w:pPr>
      <w:r>
        <w:t>O que a pontuação representa</w:t>
      </w:r>
    </w:p>
    <w:p>
      <w:r>
        <w:rPr>
          <w:b w:val="0"/>
        </w:rPr>
        <w:t>Funções de pontuação atribuem valores às poses e orientam a busca ou o ranking. Podem ter base em campos de força, ajustes empíricos, padrões estatísticos de estruturas ou aprendizado de máquina. O objetivo pode ser recuperar uma pose, ordenar ligantes ou estimar afinidade. Bom desempenho em um desses objetivos não garante os demais.</w:t>
      </w:r>
    </w:p>
    <w:p>
      <w:r>
        <w:rPr>
          <w:b w:val="0"/>
        </w:rPr>
        <w:t>O DockThor combina receptor rígido e ligante flexível com busca genética e o campo MMFF94S. A documentação distingue energia total e estimativa de afinidade por DockTScore. O Vina emprega outra combinação de busca e função. Não compare números entre programas como se fossem medidas obtidas na mesma escala experimental.</w:t>
      </w:r>
    </w:p>
    <w:p>
      <w:pPr>
        <w:pStyle w:val="Heading2"/>
      </w:pPr>
      <w:r>
        <w:t>Falha de busca e falha de pontuação</w:t>
      </w:r>
    </w:p>
    <w:p>
      <w:r>
        <w:rPr>
          <w:b w:val="0"/>
        </w:rPr>
        <w:t>Se o algoritmo não gera uma pose próxima da experimental, há uma possível limitação de amostragem, preparação ou região de busca. Se ele gera uma boa pose, mas a coloca em posição baixa, a ordenação pode ser inadequada. Essa distinção é central: aumentar a busca não corrige necessariamente a função de pontuação.</w:t>
      </w:r>
    </w:p>
    <w:p>
      <w:r>
        <w:rPr>
          <w:b/>
        </w:rPr>
        <w:t>Fala sugerida</w:t>
      </w:r>
    </w:p>
    <w:p>
      <w:r>
        <w:rPr>
          <w:b w:val="0"/>
        </w:rPr>
        <w:t>“O computador tem duas tarefas relacionadas: procurar possibilidades e decidir quais parecem melhores segundo seu modelo. Ele pode falhar em uma delas ou nas duas. Por isso, vamos inspecionar o resultado em vez de apenas copiar a primeira pontuação.”</w:t>
      </w:r>
    </w:p>
    <w:p>
      <w:pPr>
        <w:pStyle w:val="Heading2"/>
      </w:pPr>
      <w:r>
        <w:t>Escopo dos métodos</w:t>
      </w:r>
    </w:p>
    <w:p>
      <w:r>
        <w:rPr>
          <w:b w:val="0"/>
        </w:rPr>
        <w:t>No docking rígido variam as posições relativas; no docking com ligante flexível também variam suas torsões. Receptor flexível e ensemble docking incorporam mobilidade de outras maneiras. Triagem virtual organiza a seleção de muitas moléculas. Em produtos naturais, carga, tautomeria, estereoquímica e grande flexibilidade exigem atenção especial. Um extrato sem composição definida não deve ser tratado como um único ligante.</w:t>
      </w:r>
    </w:p>
    <w:p>
      <w:r>
        <w:br w:type="page"/>
      </w:r>
    </w:p>
    <w:p>
      <w:pPr>
        <w:pStyle w:val="Heading1"/>
      </w:pPr>
      <w:r>
        <w:t>Aprofundamento sobre estruturas no PDB</w:t>
      </w:r>
    </w:p>
    <w:p>
      <w:pPr>
        <w:pStyle w:val="Heading2"/>
      </w:pPr>
      <w:r>
        <w:t>A melhor estrutura depende da pergunta</w:t>
      </w:r>
    </w:p>
    <w:p>
      <w:r>
        <w:rPr>
          <w:b w:val="0"/>
        </w:rPr>
        <w:t>Primeiro confirme identidade, espécie, sequência, mutações e estado funcional. Uma estrutura com resolução excelente pode ser inadequada se o sítio ou a forma biológica não representarem a pergunta. Em seguida, confira a montagem biológica e as cadeias que participam do sítio. Não elimine cadeias apenas para simplificar a imagem.</w:t>
      </w:r>
    </w:p>
    <w:p>
      <w:r>
        <w:rPr>
          <w:b w:val="0"/>
        </w:rPr>
        <w:t>Em cristalografia, a resolução é expressa em angstroms. Um número menor representa maior detalhamento potencial dos dados, mas não garante um modelo local perfeito. Uma faixa como 2,0–2,5 Å pode ajudar na seleção inicial, sem ser uma regra absoluta. Outras técnicas exigem avaliação adequada ao método.</w:t>
      </w:r>
    </w:p>
    <w:p>
      <w:r>
        <w:rPr>
          <w:b w:val="0"/>
        </w:rPr>
        <w:t>R-work avalia a concordância do modelo com dados usados no refinamento. R-free utiliza um subconjunto separado e ajuda a avaliar sobreajuste. Leia os valores no contexto da resolução e do relatório. Um indicador ausente em um registro antigo é indisponível; não é zero e não pode ser inventado.</w:t>
      </w:r>
    </w:p>
    <w:p>
      <w:pPr>
        <w:pStyle w:val="Heading2"/>
      </w:pPr>
      <w:r>
        <w:t>A qualidade do sítio merece inspeção própria</w:t>
      </w:r>
    </w:p>
    <w:p>
      <w:r>
        <w:rPr>
          <w:b w:val="0"/>
        </w:rPr>
        <w:t>Verifique resíduos e átomos ausentes, estados alternativos, ocupação, fatores B, choques e geometria. Para ligantes cristalográficos, consulte o suporte dos dados locais, incluindo densidade e indicadores de ajuste quando disponíveis. Valores globais bons não eliminam problemas na cavidade de interesse.</w:t>
      </w:r>
    </w:p>
    <w:p>
      <w:pPr>
        <w:pStyle w:val="Heading2"/>
      </w:pPr>
      <w:r>
        <w:t>Por que 1HPV nesta aula</w:t>
      </w:r>
    </w:p>
    <w:p>
      <w:r>
        <w:rPr>
          <w:b w:val="0"/>
        </w:rPr>
        <w:t>A entrada 1HPV descreve protease do HIV-1 com o inibidor VX-478, amprenavir, código 478. A resolução depositada é 1,90 Å e R-work é 0,192. O complexo possui cadeias A e B e o sítio envolve o dímero. O uso do caso oficial reduz o esforço operacional e oferece uma referência experimental para comparação. Esses motivos justificam a escolha didática, sem afirmar superioridade universal.</w:t>
      </w:r>
    </w:p>
    <w:p>
      <w:r>
        <w:rPr>
          <w:b/>
        </w:rPr>
        <w:t>Fala sugerida</w:t>
      </w:r>
    </w:p>
    <w:p>
      <w:r>
        <w:rPr>
          <w:b w:val="0"/>
        </w:rPr>
        <w:t>“A resolução funciona como uma pista sobre o detalhamento disponível. Ainda precisamos saber se estamos olhando a proteína certa, no estado certo, e se a região em que faremos a pergunta está bem descrita.”</w:t>
      </w:r>
    </w:p>
    <w:p>
      <w:r>
        <w:rPr>
          <w:b w:val="0"/>
        </w:rPr>
        <w:t>No exercício fictício do site, a opção B é a primeira a inspecionar: alvo pertinente, ligante e sítio utilizável. A opção A tem menor resolução, mas a mutação no sítio muda a pergunta; a opção C apresenta uma lacuna local. A atividade demonstra critérios, não substitui inspeção estrutural.</w:t>
      </w:r>
    </w:p>
    <w:p>
      <w:r>
        <w:br w:type="page"/>
      </w:r>
    </w:p>
    <w:p>
      <w:pPr>
        <w:pStyle w:val="Heading1"/>
      </w:pPr>
      <w:r>
        <w:t>Aprofundamento sobre preparação química</w:t>
      </w:r>
    </w:p>
    <w:p>
      <w:pPr>
        <w:pStyle w:val="Heading2"/>
      </w:pPr>
      <w:r>
        <w:t>O que há em um arquivo PDB</w:t>
      </w:r>
    </w:p>
    <w:p>
      <w:r>
        <w:rPr>
          <w:b w:val="0"/>
        </w:rPr>
        <w:t>O PDB contém registros de coordenadas e metadados. As linhas ATOM normalmente descrevem átomos de resíduos proteicos padrão; HETATM inclui ligantes, águas e outros componentes. Essa convenção de arquivo não define relevância biológica. A ausência de H em uma estrutura de raios X é comum e exige preparação para o campo de força.</w:t>
      </w:r>
    </w:p>
    <w:p>
      <w:r>
        <w:rPr>
          <w:b w:val="0"/>
        </w:rPr>
        <w:t>No kit, o receptor bruto contém as duas cadeias e exclui o ligante. A referência guarda os átomos experimentais do amprenavir na orientação original. A água HOH A201 está em arquivo separado. São coordenadas extraídas do depósito, ainda sem estados de protonação e parametrização preparados para o DockThor.</w:t>
      </w:r>
    </w:p>
    <w:p>
      <w:pPr>
        <w:pStyle w:val="Heading2"/>
      </w:pPr>
      <w:r>
        <w:t>Protonação e tautomeria</w:t>
      </w:r>
    </w:p>
    <w:p>
      <w:r>
        <w:rPr>
          <w:b w:val="0"/>
        </w:rPr>
        <w:t>Protonar significa adicionar um próton a um grupo. Isso pode alterar carga, capacidade de doar ou aceitar H e contatos eletrostáticos. O pH ajuda a orientar a análise, mas o microambiente modifica o pKa. Tautômeros diferem no posicionamento de prótons e de ligações e podem interagir de maneiras distintas.</w:t>
      </w:r>
    </w:p>
    <w:p>
      <w:r>
        <w:rPr>
          <w:b w:val="0"/>
        </w:rPr>
        <w:t>Para 1HPV, o tutorial oficial orienta usar Asp25 da cadeia B como ASPN1, com protonação em OD1. ASP é o estado negativo usual; ASPN1 representa o estado neutro correspondente. Confira cadeia, identificação original e índice do resíduo, pois a preparação pode renumerar resíduos. Aplique a mudança e leia o registro antes de confirmar o envio.</w:t>
      </w:r>
    </w:p>
    <w:p>
      <w:pPr>
        <w:pStyle w:val="Heading2"/>
      </w:pPr>
      <w:r>
        <w:t>Água estrutural</w:t>
      </w:r>
    </w:p>
    <w:p>
      <w:r>
        <w:rPr>
          <w:b w:val="0"/>
        </w:rPr>
        <w:t>A água HOH201 da cadeia A do teste participa da rede de interação. Na rota principal ela será incluída. Confira sua preparação e reconheça que a adição automática de hidrogênios não otimiza necessariamente a rede local. Não transforme a decisão desse sistema em uma regra de manter todas as águas ou excluir todas elas.</w:t>
      </w:r>
    </w:p>
    <w:p>
      <w:pPr>
        <w:pStyle w:val="Heading2"/>
      </w:pPr>
      <w:r>
        <w:t>Ligante e arquivos de referência</w:t>
      </w:r>
    </w:p>
    <w:p>
      <w:r>
        <w:rPr>
          <w:b w:val="0"/>
        </w:rPr>
        <w:t>Confira identidade química, ligações, valências, carga, estereoquímica, geometria tridimensional e torsões. Em PDBs de pequenas moléculas, ordens de ligação podem não estar explicitamente descritas; por isso, prefira a molécula de teste do portal para a execução da aula. A cópia PDB incluída no kit tem função clara de referência geométrica para RMSD.</w:t>
      </w:r>
    </w:p>
    <w:p>
      <w:r>
        <w:rPr>
          <w:b w:val="0"/>
        </w:rPr>
        <w:t>Guarde a referência separada e sem recentrar. O ligante usado como entrada de docking precisa passar pela exploração do algoritmo; simplesmente sobrepor a referência a si mesma não avalia a recuperação de pose. Também não basta o programa afirmar que o arquivo foi reconhecido para concluir que a química está adequada.</w:t>
      </w:r>
    </w:p>
    <w:p>
      <w:r>
        <w:br w:type="page"/>
      </w:r>
    </w:p>
    <w:p>
      <w:pPr>
        <w:pStyle w:val="Heading1"/>
      </w:pPr>
      <w:r>
        <w:t>Aprofundamento sobre sítio e gridbox</w:t>
      </w:r>
    </w:p>
    <w:p>
      <w:pPr>
        <w:pStyle w:val="Heading2"/>
      </w:pPr>
      <w:r>
        <w:t>Endereço e extensão da busca</w:t>
      </w:r>
    </w:p>
    <w:p>
      <w:r>
        <w:rPr>
          <w:b w:val="0"/>
        </w:rPr>
        <w:t>O centro Cx, Cy, Cz localiza a caixa. Os tamanhos Lx, Ly, Lz definem sua extensão. Em um eixo, os limites são C − L/2 e C + L/2. Todos os valores devem estar no mesmo sistema de coordenadas do receptor. Um centro numérico não é uma propriedade universal da proteína; ele depende do arquivo e das transformações aplicadas.</w:t>
      </w:r>
    </w:p>
    <w:p>
      <w:r>
        <w:rPr>
          <w:b w:val="0"/>
        </w:rPr>
        <w:t>Um ligante experimental relevante oferece um ponto de partida para selecionar o sítio. Outras evidências incluem resíduos funcionais, dados bioquímicos e mapeamento de cavidades. Predição de sítio e blind docking investigam hipóteses, mas não demonstram por si só a função de uma cavidade.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880"/>
            <w:shd w:fill="2544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20"/>
              </w:rPr>
              <w:t>Parâmetro do caso 1HPV</w:t>
            </w:r>
          </w:p>
        </w:tc>
        <w:tc>
          <w:tcPr>
            <w:tcW w:type="dxa" w:w="3096"/>
            <w:shd w:fill="2544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816"/>
            <w:shd w:fill="2544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Centro X / Y / Z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10.387 / 18.119 / 8.484 Å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Coordenadas do C6 do amprenavir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Dimensões totais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20 / 20 / 20 Å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Extensão de cada eixo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Espaçamento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0.25 Å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Separação entre pontos da grade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Receptor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Cadeias A e B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/>
            </w:pPr>
            <w:r>
              <w:rPr>
                <w:sz w:val="20"/>
              </w:rPr>
              <w:t>Preservação do sítio no dímero</w:t>
            </w:r>
          </w:p>
        </w:tc>
      </w:tr>
    </w:tbl>
    <w:p>
      <w:pPr>
        <w:pStyle w:val="Heading2"/>
      </w:pPr>
      <w:r>
        <w:t>Como ensinar o cálculo de uma caixa</w:t>
      </w:r>
    </w:p>
    <w:p>
      <w:r>
        <w:rPr>
          <w:b w:val="0"/>
        </w:rPr>
        <w:t>Em cada eixo, encontre mínimo e máximo das coordenadas do ligante. O ponto médio é (mínimo + máximo)/2. O tamanho total é (máximo − mínimo) mais duas vezes a margem escolhida. A margem deve permitir a busca pretendida. Examine a caixa em 3D: conter a pose experimental é necessário neste caso, mas não garante exploração suficiente.</w:t>
      </w:r>
    </w:p>
    <w:p>
      <w:r>
        <w:t>Para o arquivo 1HPV utilizado, os intervalos do ligante são X = 4.822 a 13.891 Å, Y = 12.357 a 19.937 Å e Z = 1.515 a 16.898 Å. O centro geométrico dos extremos é 9.3565, 16.147, 9.2065 Å. Ele difere do C6 adotado pelo tutorial. Uma margem didática de 4 Å resultaria em tamanhos 17.069, 15.580 e 23.383 Å. Não misture esse exemplo com a caixa documentada do tutorial complementar.</w:t>
      </w:r>
    </w:p>
    <w:p>
      <w:pPr>
        <w:pStyle w:val="Heading2"/>
      </w:pPr>
      <w:r>
        <w:t>Condução e cuidados</w:t>
      </w:r>
    </w:p>
    <w:p>
      <w:r>
        <w:rPr>
          <w:b w:val="0"/>
        </w:rPr>
        <w:t>No simulador, altere primeiro um centro e observe o ligante sair da caixa. Restaure e reduza o tamanho. Explique que deslocar a câmera não altera as coordenadas, mas recentrar a estrutura altera. O espaçamento modifica a discretização e o número de pontos. Caixas muito amplas aumentam o custo e podem exceder limites do servidor.</w:t>
      </w:r>
    </w:p>
    <w:p>
      <w:r>
        <w:rPr>
          <w:b w:val="0"/>
        </w:rPr>
        <w:t>Para seu estudo: documentos antigos do DockThor podem usar meias dimensões. No portal v2, a configuração documentada usa dimensão total. Confira sempre o rótulo da interface e o tutorial correspondente. Esse aviso foi retirado da estação teórica conforme solicitado, mas a distinção continua relevante para evitar erros operacionais.</w:t>
      </w:r>
    </w:p>
    <w:p>
      <w:r>
        <w:br w:type="page"/>
      </w:r>
    </w:p>
    <w:p>
      <w:pPr>
        <w:pStyle w:val="Heading1"/>
      </w:pPr>
      <w:r>
        <w:t>Roteiro de moderação da Expedição Bioprodutos</w:t>
      </w:r>
    </w:p>
    <w:p>
      <w:pPr>
        <w:pStyle w:val="Heading2"/>
      </w:pPr>
      <w:r>
        <w:t>Preparação e entrada na sala</w:t>
      </w:r>
    </w:p>
    <w:p>
      <w:r>
        <w:t>Minutos 75–78. Abra jogo.html no painel do professor e crie uma sala. Compartilhe o código ou convite dos alunos. Peça um apelido para cada pessoa ou equipe. Confira a lista de inscritos antes de abrir o primeiro desafio. Não compartilhe a aba do moderador nem sua chave de sessão.</w:t>
      </w:r>
    </w:p>
    <w:p>
      <w:r>
        <w:t>Cada rodada</w:t>
      </w:r>
    </w:p>
    <w:p>
      <w:r>
        <w:t>Leia o contexto e peça que os alunos decidam antes da discussão. As respostas ficam bloqueadas após envio. Observe a contagem e encerre quando julgar adequado. Revele a explicação, peça uma justificativa e só então abra a rodada seguinte. Não há bônus de velocidade. Cada decisão adequada rende dois pontos; todos percorrem as oito casas.</w:t>
      </w:r>
    </w:p>
    <w:p>
      <w:pPr>
        <w:pStyle w:val="Heading2"/>
      </w:pPr>
      <w:r>
        <w:t>Os oito desafios</w:t>
      </w:r>
    </w:p>
    <w:p>
      <w:r>
        <w:t>Origem: pergunta e planejamento responsável. Amostra: caracterização e controles. Alvo: relevância biológica. Estrutura: qualidade e pertinência. Docking: preparação, região de busca e referência. Balanço: contatos, liberdade e água. Evidência: alcance da inferência. Bioproduto: critérios para o próximo passo.</w:t>
      </w:r>
    </w:p>
    <w:p>
      <w:r>
        <w:t>Síntese da atividade</w:t>
      </w:r>
    </w:p>
    <w:p>
      <w:pPr>
        <w:pStyle w:val="Heading2"/>
      </w:pPr>
      <w:r>
        <w:t>Reserve cerca de 3 minutos e meio por desafio. Nos 4 minutos finais, destaque quais decisões mudaram após a explicação e peça uma frase sobre o próximo experimento. Termine aos 110 minutos para preservar a discussão de projetos na estação 8.</w:t>
      </w:r>
    </w:p>
    <w:p>
      <w:r>
        <w:t>Funcionamento e limites</w:t>
      </w:r>
    </w:p>
    <w:p>
      <w:r>
        <w:t>A sincronização depende de um serviço online, separado do GitHub Pages. A versão preparada usa uma única instância com salas temporárias em memória e reconexão por eventos. Reiniciar o serviço encerra as salas. O professor pode baixar o resumo ao final. O limite configurado de participantes não é uma garantia de desempenho da hospedagem.</w:t>
      </w:r>
    </w:p>
    <w:p>
      <w:r>
        <w:t>Contingência</w:t>
      </w:r>
    </w:p>
    <w:p>
      <w:pPr>
        <w:pStyle w:val="Heading1"/>
      </w:pPr>
      <w:r>
        <w:t>Leitura de resultados e validação</w:t>
      </w:r>
    </w:p>
    <w:p>
      <w:pPr>
        <w:pStyle w:val="Heading2"/>
      </w:pPr>
      <w:r>
        <w:t>Redocking é o procedimento e RMSD é uma medida</w:t>
      </w:r>
    </w:p>
    <w:p>
      <w:r>
        <w:rPr>
          <w:b w:val="0"/>
        </w:rPr>
        <w:t>No redocking, um ligante conhecido é retirado do complexo, ancorado novamente e comparado à referência. RMSD expressa o desvio quadrático médio das posições de átomos correspondentes. O cálculo requer correspondência correta de átomos e um referencial comum. A avaliação costuma usar átomos pesados e precisa considerar simetrias equivalentes.</w:t>
      </w:r>
    </w:p>
    <w:p>
      <w:r>
        <w:rPr>
          <w:b w:val="0"/>
        </w:rPr>
        <w:t>Um RMSD próximo ou abaixo de 2 Å é uma convenção frequente em avaliação de poses. Ele não é uma garantia universal: pequenas moléculas rígidas, ligantes muito flexíveis e grupos simétricos demandam interpretação. Um bom RMSD apoia recuperação geométrica naquele sistema e protocolo; não valida automaticamente a afinidade prevista ou uma triagem inteira.</w:t>
      </w:r>
    </w:p>
    <w:p>
      <w:pPr>
        <w:pStyle w:val="Heading2"/>
      </w:pPr>
      <w:r>
        <w:t>Ranking e plausibilidade</w:t>
      </w:r>
    </w:p>
    <w:p>
      <w:r>
        <w:rPr>
          <w:b w:val="0"/>
        </w:rPr>
        <w:t>Leia as definições das colunas. No DockThor, energia total e estimativa de afinidade não são equivalentes. Analise também colisões, contatos relevantes, orientação de grupos e localização no sítio. Se o algoritmo encontrou uma pose plausível fora do primeiro lugar, discuta a diferença entre capacidade de amostragem e qualidade da ordenação.</w:t>
      </w:r>
    </w:p>
    <w:p>
      <w:r>
        <w:rPr>
          <w:b w:val="0"/>
        </w:rPr>
        <w:t>No exemplo fictício do site, uma pose tem Score −9,0 e RMSD 4,8 Å; outra tem Score −8,7 e RMSD 1,4 Å. A segunda recupera melhor a referência geométrica. A diferença de 0,3 na pontuação não demonstra uma diferença real de afinidade. Os números foram criados para discussão e não devem ser relatados como resultado do DockThor.</w:t>
      </w:r>
    </w:p>
    <w:p>
      <w:pPr>
        <w:pStyle w:val="Heading2"/>
      </w:pPr>
      <w:r>
        <w:t>Controles e reprodutibilidade</w:t>
      </w:r>
    </w:p>
    <w:p>
      <w:r>
        <w:rPr>
          <w:b w:val="0"/>
        </w:rPr>
        <w:t>Além do redocking, estudos de triagem podem usar ligantes ativos conhecidos, moléculas de controle adequadas, conjuntos de comparação e testes de enriquecimento. A avaliação depende da pergunta. Registre entrada PDB, cadeia, preparação, estados de protonação, águas, ligantes, caixa, parâmetros, versão e análise. Uma captura isolada da tabela não substitui os dados do protocolo.</w:t>
      </w:r>
    </w:p>
    <w:p>
      <w:pPr>
        <w:pStyle w:val="Heading2"/>
      </w:pPr>
      <w:r>
        <w:t>O que perguntar na defesa do resultado</w:t>
      </w:r>
    </w:p>
    <w:p>
      <w:r>
        <w:rPr>
          <w:b w:val="0"/>
        </w:rPr>
        <w:t>Pergunte se o sítio era conhecido, se houve justificativa para a preparação, se a referência foi mantida separada e se os resultados são consistentes em condições comparáveis. Pergunte qual conclusão foi sustentada pelo experimento e qual permanece hipótese do docking. Essas questões ajudam os alunos a ler artigos de forma crítica.</w:t>
      </w:r>
    </w:p>
    <w:p>
      <w:r>
        <w:rPr>
          <w:b w:val="0"/>
        </w:rPr>
        <w:t>Dinâmica molecular pode investigar o comportamento de um modelo ao longo de trajetórias. Contatos persistentes ou RMSD estrutural estável não demonstram por si só afinidade ou eficácia. Cada medida responde uma pergunta delimitada.</w:t>
      </w:r>
    </w:p>
    <w:p>
      <w:r>
        <w:br w:type="page"/>
      </w:r>
    </w:p>
    <w:p>
      <w:pPr>
        <w:pStyle w:val="Heading1"/>
      </w:pPr>
      <w:r>
        <w:t>Dúvidas frequentes e respostas didáticas</w:t>
      </w:r>
    </w:p>
    <w:p>
      <w:pPr>
        <w:pStyle w:val="Heading2"/>
      </w:pPr>
      <w:r>
        <w:t>Score mais negativo significa que o composto é melhor</w:t>
      </w:r>
    </w:p>
    <w:p>
      <w:r>
        <w:rPr>
          <w:b w:val="0"/>
        </w:rPr>
        <w:t>Dentro de uma função e protocolo, o valor pode orientar um ranking. A incerteza do modelo, o tamanho e a química do ligante, a preparação e o alvo afetam a comparação. Um ranking não demonstra eficácia. Ferramentas diferentes não oferecem uma escala experimental universal.</w:t>
      </w:r>
    </w:p>
    <w:p>
      <w:pPr>
        <w:pStyle w:val="Heading2"/>
      </w:pPr>
      <w:r>
        <w:t>Posso inferir uma constante de dissociação do score</w:t>
      </w:r>
    </w:p>
    <w:p>
      <w:r>
        <w:rPr>
          <w:b w:val="0"/>
        </w:rPr>
        <w:t>A relação termodinâmica com equilíbrio exige ΔG padrão e convenções consistentes. Um score aproximado não deve ser tratado automaticamente como essa grandeza. Evite transformar uma pontuação em potência experimental sem calibração e validação apropriadas.</w:t>
      </w:r>
    </w:p>
    <w:p>
      <w:pPr>
        <w:pStyle w:val="Heading2"/>
      </w:pPr>
      <w:r>
        <w:t>Mais ligações de hidrogênio sempre ajudam</w:t>
      </w:r>
    </w:p>
    <w:p>
      <w:r>
        <w:rPr>
          <w:b w:val="0"/>
        </w:rPr>
        <w:t>Os grupos podem perder interações com a água ao ligar. Geometria, dessolvatação, restrição e outras contribuições precisam ser consideradas. Mais contatos desenhados não significam necessariamente maior ganho líquido.</w:t>
      </w:r>
    </w:p>
    <w:p>
      <w:pPr>
        <w:pStyle w:val="Heading2"/>
      </w:pPr>
      <w:r>
        <w:t>Posso excluir todas as águas e usar só uma cadeia</w:t>
      </w:r>
    </w:p>
    <w:p>
      <w:r>
        <w:t>Decida com base na estrutura e no mecanismo. No exemplo complementar 1HPV, preservamos A e B e usamos a água de teste documentada. Em outros sistemas, a decisão pode ser diferente. Remover um componente necessário muda a hipótese física representada.</w:t>
      </w:r>
    </w:p>
    <w:p>
      <w:pPr>
        <w:pStyle w:val="Heading2"/>
      </w:pPr>
      <w:r>
        <w:t>Por que estudar termodinâmica se o portal faz as contas</w:t>
      </w:r>
    </w:p>
    <w:p>
      <w:r>
        <w:rPr>
          <w:b w:val="0"/>
        </w:rPr>
        <w:t>Ela permite entender por que forma e contatos isolados não bastam. Também mostra o que uma função de pontuação tenta aproximar e o que permanece fora de uma interpretação direta. O aluno precisa compreender a natureza da inferência para usar o programa criticamente.</w:t>
      </w:r>
    </w:p>
    <w:p>
      <w:pPr>
        <w:pStyle w:val="Heading2"/>
      </w:pPr>
      <w:r>
        <w:t>O docking mostrou o mecanismo de um extrato</w:t>
      </w:r>
    </w:p>
    <w:p>
      <w:r>
        <w:rPr>
          <w:b w:val="0"/>
        </w:rPr>
        <w:t>Um extrato tem composição e concentrações próprias. Mesmo com moléculas identificadas, os efeitos podem envolver vários alvos, interferências e exposição. O docking oferece uma hipótese para componentes definidos. Ensaios adicionais são necessários para demonstrar ligação direta, mecanismo e seletividade.</w:t>
      </w:r>
    </w:p>
    <w:p>
      <w:pPr>
        <w:pStyle w:val="Heading2"/>
      </w:pPr>
      <w:r>
        <w:t>Como concluir a aula</w:t>
      </w:r>
    </w:p>
    <w:p>
      <w:r>
        <w:rPr>
          <w:b/>
        </w:rPr>
        <w:t>Fala sugerida</w:t>
      </w:r>
    </w:p>
    <w:p>
      <w:r>
        <w:rPr>
          <w:b w:val="0"/>
        </w:rPr>
        <w:t>“Hoje aprendemos a formular uma hipótese estrutural, identificar as decisões do protocolo e ler o resultado. O próximo passo do nosso projeto será escolher um experimento que diferencie essa hipótese de outras explicações possíveis.”</w:t>
      </w:r>
    </w:p>
    <w:p>
      <w:r>
        <w:t>Gabarito dos quizzes da aula: hipótese a investigar na estação 1; balanço de geometria, solvente e flexibilidade na estação 3; recuperação geométrica naquele caso no bilhete final. No jogo, o gabarito é B, C, A, B, C, A, B, C. A justificativa é mais importante que memorizar a sequência.</w:t>
      </w:r>
    </w:p>
    <w:p>
      <w:r>
        <w:br w:type="page"/>
      </w:r>
    </w:p>
    <w:p>
      <w:pPr>
        <w:pStyle w:val="Heading1"/>
      </w:pPr>
      <w:r>
        <w:t>Leituras e relação com os materiais do projeto</w:t>
      </w:r>
    </w:p>
    <w:p>
      <w:pPr>
        <w:pStyle w:val="Heading2"/>
      </w:pPr>
      <w:r>
        <w:t>Leitura prioritária para o professor</w:t>
      </w:r>
    </w:p>
    <w:p>
      <w:r>
        <w:rPr>
          <w:b w:val="0"/>
        </w:rPr>
        <w:t>Torres et al. Key Topics in Molecular Docking for Drug Design. IJMS, 2019, 20, 4574. doi:10.3390/ijms20184574. Use para revisar o fluxo do método, preparação, avaliação e limitações.</w:t>
      </w:r>
    </w:p>
    <w:p>
      <w:r>
        <w:rPr>
          <w:b w:val="0"/>
        </w:rPr>
        <w:t>Trott e Olson. AutoDock Vina: improving the speed and accuracy of docking with a new scoring function, efficient optimization and multithreading. J Comput Chem, 2010, 31, 455–461. doi:10.1002/jcc.21334. Use para distinguir algoritmo, scoring e aproximação de energia livre.</w:t>
      </w:r>
    </w:p>
    <w:p>
      <w:r>
        <w:rPr>
          <w:b w:val="0"/>
        </w:rPr>
        <w:t>Li, Fu e Zhang. An Overview of Scoring Functions Used for Protein–Ligand Interactions in Molecular Docking. Interdiscip Sci, 2019, 11, 320–328. doi:10.1007/s12539-019-00327-w. Complementa a comparação entre famílias de funções.</w:t>
      </w:r>
    </w:p>
    <w:p>
      <w:r>
        <w:rPr>
          <w:b w:val="0"/>
        </w:rPr>
        <w:t>Makhmutova et al. Molecular Docking of Natural Products: Critical Appraisal of Current Methodology and Practical Guidelines. Molecules, 2026, 31, 3228. doi:10.3390/molecules31183228. Revisão fornecida para leitura crítica de procedimentos em produtos naturais.</w:t>
      </w:r>
    </w:p>
    <w:p>
      <w:r>
        <w:rPr>
          <w:b w:val="0"/>
        </w:rPr>
        <w:t>Moraes-Neto et al. Ethyl Acetate Fraction of Bixa orellana and Its Component Ellagic Acid Exert Antibacterial and Anti-Inflammatory Properties against Mycobacterium abscessus subsp. massiliense. Antibiotics, 2022, 11, 817. doi:10.3390/antibiotics11060817. Estudo de conexão entre química, computação e experimentação.</w:t>
      </w:r>
    </w:p>
    <w:p>
      <w:pPr>
        <w:pStyle w:val="Heading2"/>
      </w:pPr>
      <w:r>
        <w:t>Documentação para aprofundamento operacional</w:t>
      </w:r>
    </w:p>
    <w:p>
      <w:r>
        <w:rPr>
          <w:b w:val="0"/>
        </w:rPr>
        <w:t>DockThor. Tutorial 1: Redocking study of HIV-1 protease in complex with amprenavir, April 2020. https://dockthor.lncc.br/v2/tutorials/Tutorial1_1HPV.pdf. Portal: https://dockthor.lncc.br/v2/. Conferir a interface antes de ministrar.</w:t>
      </w:r>
    </w:p>
    <w:p>
      <w:r>
        <w:rPr>
          <w:b w:val="0"/>
        </w:rPr>
        <w:t>RCSB PDB. Entrada 1HPV: https://www.rcsb.org/structure/1HPV. Dados estruturais e arquivo de coordenadas consultados em 19/10/2026. Qualidade: https://www.rcsb.org/docs/general-help/assessing-the-quality-of-3d-structures. Ligantes: https://www.rcsb.org/docs/general-help/ligand-structure-quality-in-pdb-structures.</w:t>
      </w:r>
    </w:p>
    <w:p>
      <w:pPr>
        <w:pStyle w:val="Heading2"/>
      </w:pPr>
      <w:r>
        <w:t>Termodinâmica</w:t>
      </w:r>
    </w:p>
    <w:p>
      <w:r>
        <w:rPr>
          <w:b w:val="0"/>
        </w:rPr>
        <w:t>IUPAC Gold Book. Gibbs energy, doi:10.1351/goldbook.G02629, https://goldbook.iupac.org/terms/view/G02629. Definição de G. Para solvente e diversidade de contribuições: Protein–Ligand Interactions: Thermodynamic Effects Associated with Increasing Nonpolar Surface Area, https://pmc.ncbi.nlm.nih.gov/articles/PMC3218293/. Os exemplos numéricos e os simuladores da aula são didáticos e fictícios.</w:t>
      </w:r>
    </w:p>
    <w:p>
      <w:r>
        <w:br w:type="page"/>
      </w:r>
    </w:p>
    <w:p>
      <w:pPr>
        <w:pStyle w:val="Heading1"/>
      </w:pPr>
      <w:r>
        <w:t>Mapa dos demais materiais e estudo posterior</w:t>
      </w:r>
    </w:p>
    <w:p>
      <w:r>
        <w:rPr>
          <w:b w:val="0"/>
        </w:rPr>
        <w:t>A apresentação Docking Molecular e bioprospecção do professor orientou a progressão de reconhecimento molecular, modelos históricos, poses e aplicação à bioprospecção. A Análise Conformacional apoiou a distinção entre flexibilidade e identidade química. As imagens institucionais e pessoais fornecidas foram preservadas como marcas e identificação do docente.</w:t>
      </w:r>
    </w:p>
    <w:p>
      <w:r>
        <w:rPr>
          <w:b w:val="0"/>
        </w:rPr>
        <w:t>Molecular Docking: A Powerful Approach for Structure-Based Drug Discovery, de Meng et al., 2011, e Molecular Docking Algorithms, de Dias e Azevedo, 2008, apoiam a revisão de amostragem e flexibilidade. O material sobre scoring de 2010 e a revisão de Li et al. sobre aprendizado de máquina complementam a discussão das funções e da avaliação de desempenho.</w:t>
      </w:r>
    </w:p>
    <w:p>
      <w:r>
        <w:rPr>
          <w:b w:val="0"/>
        </w:rPr>
        <w:t>Molecular docking for virtual screening of natural product databases, de Ma, Chan e Leung, 2011, doi:10.1039/c1sc00152c, e In silico polypharmacology of natural products, de Fang et al., oferecem contexto sobre produtos naturais e múltiplos alvos. Evite extrapolar um resultado de um alvo para o mecanismo de um extrato.</w:t>
      </w:r>
    </w:p>
    <w:p>
      <w:r>
        <w:rPr>
          <w:b w:val="0"/>
        </w:rPr>
        <w:t>O estudo de inibidores de iNOS de Rodrigues et al., 2019, doi:10.2174/1568026619666191112105650, serve para discutir escolha de referência, interação com cofator e redocking. O estudo de Bryophyllum pinnatum usado como modelo de metodologia ajuda a questionar o que resultados computacionais sustentam e o que ainda exige experimento.</w:t>
      </w:r>
    </w:p>
    <w:p>
      <w:r>
        <w:rPr>
          <w:b w:val="0"/>
        </w:rPr>
        <w:t>From In Silico to a Cellular Model: Molecular Docking Approach to Evaluate Antioxidant Bioactive Peptides, de Tonolo et al., 2023, doi:10.3390/antiox12030665, amplia a ligação com bioprodutos. O estudo de triagem virtual em proteína de fusão do RSV oferece um exemplo de seleção de sítios e bibliotecas. Afirmações contextuais de artigos antigos devem ser lidas na data da publicação, sem adoção automática como situação clínica atual.</w:t>
      </w:r>
    </w:p>
    <w:p>
      <w:r>
        <w:rPr>
          <w:b w:val="0"/>
        </w:rPr>
        <w:t>Construção, otimização e ancoragem molecular de substâncias bioativas em biomacromoléculas: um tutorial prático, de Batista et al., Química Nova, 2022, doi:10.21577/0100-4042.20170821, e o Tutorial de Simulação de Docagem Molecular de Arthur Ribeiro Cenci oferecem rotas operacionais distintas. O tutorial DockThor fornecido por Rafaela Salgado Ferreira usa um caso antigo 1HBV. Seus números não devem ser copiados para 1HPV.</w:t>
      </w:r>
    </w:p>
    <w:p>
      <w:pPr>
        <w:pStyle w:val="Heading2"/>
      </w:pPr>
      <w:r>
        <w:t>Sequência recomendada de estudo pessoal</w:t>
      </w:r>
    </w:p>
    <w:p>
      <w:r>
        <w:t>Primeira sessão: reconhecimento, interações e termodinâmica, com as analogias abertas. Segunda sessão: algoritmo e leitura de resultados; use os capítulos operacionais como aprofundamento. Terceira sessão: ensaie a moderação do jogo, a entrada dos alunos e a discussão de cada decisão. Teste suas explicações dos conceitos em frases de até um minuto.</w:t>
      </w:r>
    </w:p>
    <w:p>
      <w:r>
        <w:rPr>
          <w:b w:val="0"/>
        </w:rPr>
        <w:t>As figuras dos artigos mantêm atribuição e licença no site. O arquivo FONTES-E-CREDITOS.md inclui o inventário dos materiais e a procedência dos arquivos distribuídos. O site usa apenas recursos locais para os modelos conceituais; os serviços PDB e DockThor exigem internet.</w:t>
      </w:r>
    </w:p>
    <w:p>
      <w:r>
        <w:br w:type="page"/>
      </w:r>
    </w:p>
    <w:p>
      <w:pPr>
        <w:pStyle w:val="Heading1"/>
      </w:pPr>
      <w:r>
        <w:t>Falas simples para os conceitos mais difíceis</w:t>
      </w:r>
    </w:p>
    <w:p>
      <w:pPr>
        <w:pStyle w:val="Heading2"/>
      </w:pPr>
      <w:r>
        <w:t>Entalpia com a imagem dos ímãs</w:t>
      </w:r>
    </w:p>
    <w:p>
      <w:r>
        <w:t>“Ao aproximar essas peças, surgem contatos que ajudam a mantê-las unidas. Nas moléculas, também há contatos que se formam e outros que precisam se desfazer, inclusive com a água. A variação de entalpia acompanha esse balanço energético.” Não diga que entalpia é o número de contatos.</w:t>
      </w:r>
    </w:p>
    <w:p>
      <w:pPr>
        <w:pStyle w:val="Heading2"/>
      </w:pPr>
      <w:r>
        <w:t>Entropia com as peças articuladas</w:t>
      </w:r>
    </w:p>
    <w:p>
      <w:r>
        <w:t>“Separadas, as peças têm muitos modos de mudar de lugar e de forma. Unidas, parte dessas possibilidades fica restrita. Isso ajuda a visualizar uma contribuição entrópica desfavorável. Mas a água também muda, e precisamos considerar o sistema inteiro.” Não defina entropia apenas como bagunça.</w:t>
      </w:r>
    </w:p>
    <w:p>
      <w:pPr>
        <w:pStyle w:val="Heading2"/>
      </w:pPr>
      <w:r>
        <w:t>Energia livre com o balanço</w:t>
      </w:r>
    </w:p>
    <w:p>
      <w:r>
        <w:t>“Ganhar contatos pode compensar perder liberdade. Em outro encontro, a restrição pode custar mais do que os contatos ajudam. A energia livre reúne essas contribuições para avaliar se a associação é favorecida nas condições consideradas.” Não equipare a analogia a uma medição de ΔG.</w:t>
      </w:r>
    </w:p>
    <w:p>
      <w:pPr>
        <w:pStyle w:val="Heading2"/>
      </w:pPr>
      <w:r>
        <w:t>Pergunta antes de mostrar números</w:t>
      </w:r>
    </w:p>
    <w:p>
      <w:r>
        <w:t>“Duas poses fazem contatos parecidos. Uma exige que a molécula fique muito mais presa. Podemos decidir apenas contando contatos?” A resposta deve mencionar restrição e água. Use a pergunta para revelar o raciocínio, sem exigir aritmética.</w:t>
      </w:r>
    </w:p>
    <w:p>
      <w:pPr>
        <w:pStyle w:val="Heading2"/>
      </w:pPr>
      <w:r>
        <w:t>Adaptação à turma multiprofissional</w:t>
      </w:r>
    </w:p>
    <w:p>
      <w:r>
        <w:t>Convide exemplos sem pressupor formação em química: peças que se prendem e passam a se mover juntas, pessoas que precisam abrir espaço para um encontro e decisões que exigem considerar ganhos e custos ao mesmo tempo. Volte sempre ao sistema molecular para explicitar os limites da analogia.</w:t>
      </w:r>
    </w:p>
    <w:p>
      <w:r>
        <w:br w:type="page"/>
      </w:r>
    </w:p>
    <w:p>
      <w:pPr>
        <w:pStyle w:val="Heading1"/>
      </w:pPr>
      <w:r>
        <w:t>Discussão das rodadas do jogo</w:t>
      </w:r>
    </w:p>
    <w:p>
      <w:pPr>
        <w:pStyle w:val="Heading2"/>
      </w:pPr>
      <w:r>
        <w:t>Rodadas 1 e 2</w:t>
      </w:r>
    </w:p>
    <w:p>
      <w:r>
        <w:t>Origem e amostra. Primeiro, planejar a pesquisa e verificar as condições de acesso; depois, caracterizar a composição e avaliar controles. Pergunte se um sinal menor em células poderia resultar de toxicidade. Não apresente o jogo como orientação jurídica sobre autorizações específicas.</w:t>
      </w:r>
    </w:p>
    <w:p>
      <w:pPr>
        <w:pStyle w:val="Heading2"/>
      </w:pPr>
      <w:r>
        <w:t>Rodadas 3 e 4</w:t>
      </w:r>
    </w:p>
    <w:p>
      <w:r>
        <w:t>Alvo e estrutura. A escolha deve fazer sentido para o efeito investigado. A candidata B combina pertinência e sítio utilizável; a menor resolução de A não corrige sua inadequação à pergunta. Pergunte o que mudaria a decisão.</w:t>
      </w:r>
    </w:p>
    <w:p>
      <w:pPr>
        <w:pStyle w:val="Heading2"/>
      </w:pPr>
      <w:r>
        <w:t>Rodada 5</w:t>
      </w:r>
    </w:p>
    <w:p>
      <w:r>
        <w:t>Docking. A melhor proposta combina preparação, região de busca coerente e redocking de referência. Peça para explicar pose e caixa em palavras. A rodada aplica os conceitos por meio de uma decisão; não exige operar software externo.</w:t>
      </w:r>
    </w:p>
    <w:p>
      <w:pPr>
        <w:pStyle w:val="Heading2"/>
      </w:pPr>
      <w:r>
        <w:t>Rodada 6</w:t>
      </w:r>
    </w:p>
    <w:p>
      <w:r>
        <w:t>Balanço. O aluno deve articular contatos, restrição e solvente. Peça uma explicação sem fórmula. Se disser que a entropia sempre diminui, retome o papel da água. Se disser que mais contatos sempre vencem, volte à comparação de restrições.</w:t>
      </w:r>
    </w:p>
    <w:p>
      <w:pPr>
        <w:pStyle w:val="Heading2"/>
      </w:pPr>
      <w:r>
        <w:t>Rodadas 7 e 8</w:t>
      </w:r>
    </w:p>
    <w:p>
      <w:r>
        <w:t>Evidência e bioproduto. Uma previsão apoia hipóteses que precisam de testes adequados. Peça que o aluno proponha um ensaio e diga qual pergunta ele responde. Pontos menores indicam oportunidades de revisão, sem impedir a conclusão do percurso.</w:t>
      </w:r>
    </w:p>
    <w:sectPr w:rsidR="00FC693F" w:rsidRPr="0006063C" w:rsidSect="00034616">
      <w:footerReference w:type="default" r:id="rId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Guia do professor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professor de docking molecular</dc:title>
  <dc:subject>Bioprospecção e Bioprodutos na Saúde</dc:subject>
  <dc:creator>Material de apoio ao Prof. Dr. Saulo Mendes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