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5E72" w14:textId="77777777" w:rsidR="00244237" w:rsidRPr="00244237" w:rsidRDefault="00244237" w:rsidP="00244237">
      <w:pPr>
        <w:shd w:val="clear" w:color="auto" w:fill="F2F2F2"/>
        <w:spacing w:before="100" w:beforeAutospacing="1" w:after="100" w:afterAutospacing="1" w:line="240" w:lineRule="auto"/>
        <w:textAlignment w:val="top"/>
        <w:outlineLvl w:val="2"/>
        <w:rPr>
          <w:rFonts w:ascii="inherit" w:eastAsia="Times New Roman" w:hAnsi="inherit" w:cs="Segoe UI"/>
          <w:b/>
          <w:bCs/>
          <w:color w:val="007DB8"/>
          <w:sz w:val="27"/>
          <w:szCs w:val="27"/>
          <w:lang w:eastAsia="pt-BR"/>
        </w:rPr>
      </w:pPr>
      <w:r w:rsidRPr="00244237">
        <w:rPr>
          <w:rFonts w:ascii="inherit" w:eastAsia="Times New Roman" w:hAnsi="inherit" w:cs="Segoe UI"/>
          <w:b/>
          <w:bCs/>
          <w:color w:val="007DB8"/>
          <w:sz w:val="27"/>
          <w:szCs w:val="27"/>
          <w:lang w:eastAsia="pt-BR"/>
        </w:rPr>
        <w:t>Olá, estudante!</w:t>
      </w:r>
    </w:p>
    <w:p w14:paraId="599803B8" w14:textId="77777777" w:rsidR="00244237" w:rsidRPr="00244237" w:rsidRDefault="00244237" w:rsidP="00244237">
      <w:pPr>
        <w:shd w:val="clear" w:color="auto" w:fill="F2F2F2"/>
        <w:spacing w:after="24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Vamos para a nossa aula sobre visualização de distribuições conjuntas.</w:t>
      </w:r>
    </w:p>
    <w:p w14:paraId="37D38E8C" w14:textId="77777777" w:rsidR="00244237" w:rsidRPr="00244237" w:rsidRDefault="00244237" w:rsidP="00244237">
      <w:pPr>
        <w:shd w:val="clear" w:color="auto" w:fill="F2F2F2"/>
        <w:spacing w:after="24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Bancos de dados de empresas contêm dados sobre as vendas, as compras, os lucros e prejuízos mensais. Conjuntos de dados imobiliários possuem informações sobre o valor, a área, a quantidade de cômodos, de banheiros e de vagas de garagem. Conjuntos de dados sobre carros fabricados por uma indústria podem conter informações sobre consumo médio de combustível, cavalos de força, aceleração e cilindradas dos veículos.</w:t>
      </w:r>
    </w:p>
    <w:p w14:paraId="4A106F7E" w14:textId="77777777" w:rsidR="00244237" w:rsidRPr="00244237" w:rsidRDefault="00244237" w:rsidP="00244237">
      <w:pPr>
        <w:shd w:val="clear" w:color="auto" w:fill="F2F2F2"/>
        <w:spacing w:after="24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Você já deve ter notado que muitos conjuntos de dados possuem diversas variáveis, sendo conhecidos como dados multivariados. Compreender as relações existentes entre as múltiplas variáveis e distribuições é um desafio que nem sempre é fácil, mas permite uma compreensão ampla dos padrões existentes nos dados.</w:t>
      </w:r>
    </w:p>
    <w:p w14:paraId="73921E6B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Para essa tarefa, visualizações de distribuições conjuntas são uma ferramenta poderosa. Assim, nesta aula, você aprenderá a representar múltiplas distribuições e relações entre variáveis de conjuntos de dados através da biblioteca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47A5F36B" w14:textId="77777777" w:rsidR="00244237" w:rsidRPr="00244237" w:rsidRDefault="00244237" w:rsidP="00244237">
      <w:pPr>
        <w:shd w:val="clear" w:color="auto" w:fill="007DB8"/>
        <w:spacing w:after="0" w:line="240" w:lineRule="auto"/>
        <w:jc w:val="both"/>
        <w:rPr>
          <w:rFonts w:ascii="Segoe UI" w:eastAsia="Times New Roman" w:hAnsi="Segoe UI" w:cs="Segoe UI"/>
          <w:color w:val="FFFFFF"/>
          <w:sz w:val="31"/>
          <w:szCs w:val="31"/>
          <w:lang w:eastAsia="pt-BR"/>
        </w:rPr>
      </w:pPr>
      <w:r w:rsidRPr="00244237">
        <w:rPr>
          <w:rFonts w:ascii="Segoe UI" w:eastAsia="Times New Roman" w:hAnsi="Segoe UI" w:cs="Segoe UI"/>
          <w:b/>
          <w:bCs/>
          <w:color w:val="FFFFFF"/>
          <w:sz w:val="31"/>
          <w:szCs w:val="31"/>
          <w:lang w:eastAsia="pt-BR"/>
        </w:rPr>
        <w:t>Objetivos</w:t>
      </w:r>
    </w:p>
    <w:p w14:paraId="44783626" w14:textId="77777777" w:rsidR="00244237" w:rsidRPr="00244237" w:rsidRDefault="00244237" w:rsidP="00244237">
      <w:pPr>
        <w:numPr>
          <w:ilvl w:val="0"/>
          <w:numId w:val="1"/>
        </w:numPr>
        <w:shd w:val="clear" w:color="auto" w:fill="F2F2F2"/>
        <w:spacing w:after="75"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Representar distribuições conjuntas bivariadas;</w:t>
      </w:r>
    </w:p>
    <w:p w14:paraId="52C22752" w14:textId="77777777" w:rsidR="00244237" w:rsidRPr="00244237" w:rsidRDefault="00244237" w:rsidP="00244237">
      <w:pPr>
        <w:numPr>
          <w:ilvl w:val="0"/>
          <w:numId w:val="1"/>
        </w:numPr>
        <w:shd w:val="clear" w:color="auto" w:fill="F2F2F2"/>
        <w:spacing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Representar distribuições conjuntas par-a-par em conjuntos de dados multivariados.</w:t>
      </w:r>
    </w:p>
    <w:p w14:paraId="11475B3E" w14:textId="77777777" w:rsidR="00244237" w:rsidRDefault="00244237" w:rsidP="00244237">
      <w:pPr>
        <w:pStyle w:val="Ttulo2"/>
        <w:pBdr>
          <w:bottom w:val="single" w:sz="6" w:space="8" w:color="2095CE"/>
        </w:pBdr>
        <w:shd w:val="clear" w:color="auto" w:fill="F2F2F2"/>
        <w:spacing w:before="150" w:after="15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Tópico 1 – Distribuições bivariadas</w:t>
      </w:r>
    </w:p>
    <w:p w14:paraId="7984220D" w14:textId="77777777" w:rsidR="00244237" w:rsidRDefault="00244237" w:rsidP="00244237">
      <w:pPr>
        <w:shd w:val="clear" w:color="auto" w:fill="007DB8"/>
        <w:jc w:val="both"/>
        <w:rPr>
          <w:rFonts w:ascii="Segoe UI" w:hAnsi="Segoe UI" w:cs="Segoe UI"/>
          <w:color w:val="FFFFFF"/>
          <w:sz w:val="31"/>
          <w:szCs w:val="31"/>
        </w:rPr>
      </w:pPr>
      <w:r>
        <w:rPr>
          <w:rFonts w:ascii="Segoe UI" w:hAnsi="Segoe UI" w:cs="Segoe UI"/>
          <w:b/>
          <w:bCs/>
          <w:color w:val="FFFFFF"/>
          <w:sz w:val="31"/>
          <w:szCs w:val="31"/>
        </w:rPr>
        <w:t>OBJETIVOS</w:t>
      </w:r>
    </w:p>
    <w:p w14:paraId="5D1B4654" w14:textId="77777777" w:rsidR="00244237" w:rsidRDefault="00244237" w:rsidP="00244237">
      <w:pPr>
        <w:numPr>
          <w:ilvl w:val="0"/>
          <w:numId w:val="2"/>
        </w:numPr>
        <w:shd w:val="clear" w:color="auto" w:fill="F2F2F2"/>
        <w:spacing w:after="0" w:line="240" w:lineRule="auto"/>
        <w:ind w:left="645"/>
        <w:jc w:val="both"/>
        <w:rPr>
          <w:rFonts w:ascii="Segoe UI" w:hAnsi="Segoe UI" w:cs="Segoe UI"/>
          <w:color w:val="3887AE"/>
          <w:sz w:val="24"/>
          <w:szCs w:val="24"/>
        </w:rPr>
      </w:pPr>
      <w:r>
        <w:rPr>
          <w:rFonts w:ascii="Segoe UI" w:hAnsi="Segoe UI" w:cs="Segoe UI"/>
          <w:color w:val="3887AE"/>
        </w:rPr>
        <w:t>Representar a distribuição conjunta de duas variáveis utilizando gráficos de dispersão e </w:t>
      </w:r>
      <w:hyperlink r:id="rId5" w:tgtFrame="_blank" w:history="1">
        <w:r>
          <w:rPr>
            <w:rStyle w:val="Hyperlink"/>
            <w:rFonts w:ascii="Segoe UI" w:hAnsi="Segoe UI" w:cs="Segoe UI"/>
          </w:rPr>
          <w:t>histograma</w:t>
        </w:r>
      </w:hyperlink>
      <w:r>
        <w:rPr>
          <w:rFonts w:ascii="Segoe UI" w:hAnsi="Segoe UI" w:cs="Segoe UI"/>
          <w:color w:val="3887AE"/>
        </w:rPr>
        <w:t>;</w:t>
      </w:r>
    </w:p>
    <w:p w14:paraId="7A65FD39" w14:textId="77777777" w:rsidR="00244237" w:rsidRDefault="00244237" w:rsidP="00244237">
      <w:pPr>
        <w:numPr>
          <w:ilvl w:val="0"/>
          <w:numId w:val="2"/>
        </w:numPr>
        <w:shd w:val="clear" w:color="auto" w:fill="F2F2F2"/>
        <w:spacing w:after="0" w:line="240" w:lineRule="auto"/>
        <w:ind w:left="645"/>
        <w:jc w:val="both"/>
        <w:rPr>
          <w:rFonts w:ascii="Segoe UI" w:hAnsi="Segoe UI" w:cs="Segoe UI"/>
          <w:color w:val="3887AE"/>
        </w:rPr>
      </w:pPr>
      <w:r>
        <w:rPr>
          <w:rFonts w:ascii="Segoe UI" w:hAnsi="Segoe UI" w:cs="Segoe UI"/>
          <w:color w:val="3887AE"/>
        </w:rPr>
        <w:t>Representar a distribuição conjunta de duas variáveis utilizando gráficos de </w:t>
      </w:r>
      <w:proofErr w:type="spellStart"/>
      <w:r>
        <w:rPr>
          <w:rFonts w:ascii="Segoe UI" w:hAnsi="Segoe UI" w:cs="Segoe UI"/>
          <w:color w:val="3887AE"/>
          <w:lang w:val="en"/>
        </w:rPr>
        <w:t>hexbins</w:t>
      </w:r>
      <w:proofErr w:type="spellEnd"/>
      <w:r>
        <w:rPr>
          <w:rFonts w:ascii="Segoe UI" w:hAnsi="Segoe UI" w:cs="Segoe UI"/>
          <w:color w:val="3887AE"/>
        </w:rPr>
        <w:t>;</w:t>
      </w:r>
    </w:p>
    <w:p w14:paraId="35B06573" w14:textId="77777777" w:rsidR="00244237" w:rsidRDefault="00244237" w:rsidP="00244237">
      <w:pPr>
        <w:numPr>
          <w:ilvl w:val="0"/>
          <w:numId w:val="2"/>
        </w:numPr>
        <w:shd w:val="clear" w:color="auto" w:fill="F2F2F2"/>
        <w:spacing w:after="75" w:line="240" w:lineRule="auto"/>
        <w:ind w:left="645"/>
        <w:jc w:val="both"/>
        <w:rPr>
          <w:rFonts w:ascii="Segoe UI" w:hAnsi="Segoe UI" w:cs="Segoe UI"/>
          <w:color w:val="3887AE"/>
        </w:rPr>
      </w:pPr>
      <w:r>
        <w:rPr>
          <w:rFonts w:ascii="Segoe UI" w:hAnsi="Segoe UI" w:cs="Segoe UI"/>
          <w:color w:val="3887AE"/>
        </w:rPr>
        <w:t>Representar a distribuição conjunta de duas variáveis utilizando gráficos de densidade.</w:t>
      </w:r>
    </w:p>
    <w:p w14:paraId="4B30BC6D" w14:textId="77777777" w:rsidR="00244237" w:rsidRDefault="00244237" w:rsidP="00244237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Como você já deve saber, para visualizar a distribuição de uma variável quantitativa, costuma-se utilizar </w:t>
      </w:r>
      <w:hyperlink r:id="rId6" w:tgtFrame="_blank" w:history="1">
        <w:r>
          <w:rPr>
            <w:rStyle w:val="Hyperlink"/>
            <w:rFonts w:ascii="Segoe UI" w:eastAsiaTheme="majorEastAsia" w:hAnsi="Segoe UI" w:cs="Segoe UI"/>
          </w:rPr>
          <w:t>histograma</w:t>
        </w:r>
      </w:hyperlink>
      <w:r>
        <w:rPr>
          <w:rFonts w:ascii="Segoe UI" w:hAnsi="Segoe UI" w:cs="Segoe UI"/>
          <w:color w:val="4C5051"/>
        </w:rPr>
        <w:t> ou gráfico de densidade. Para representar a relação entre duas variáveis quantitativas, pode-se utilizar gráficos de dispersão. Porém, o gráfico de dispersão por si não dá ênfase nas distribuições individuais de cada variável. A distribuição conjunta de duas variáveis chama-se distribuição bivariada e pode ser visualizada através de uma combinação entre </w:t>
      </w:r>
      <w:hyperlink r:id="rId7" w:tgtFrame="_blank" w:history="1">
        <w:r>
          <w:rPr>
            <w:rStyle w:val="Hyperlink"/>
            <w:rFonts w:ascii="Segoe UI" w:eastAsiaTheme="majorEastAsia" w:hAnsi="Segoe UI" w:cs="Segoe UI"/>
          </w:rPr>
          <w:t>histograma</w:t>
        </w:r>
      </w:hyperlink>
      <w:r>
        <w:rPr>
          <w:rFonts w:ascii="Segoe UI" w:hAnsi="Segoe UI" w:cs="Segoe UI"/>
          <w:color w:val="4C5051"/>
        </w:rPr>
        <w:t>s e gráfico de dispersão.</w:t>
      </w:r>
    </w:p>
    <w:p w14:paraId="27B97EA9" w14:textId="77777777" w:rsidR="00244237" w:rsidRDefault="00244237" w:rsidP="00244237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Neste tópico, você aprenderá a criar gráficos de distribuição conjunta para representar distribuições bivariadas.</w:t>
      </w:r>
    </w:p>
    <w:p w14:paraId="5833673D" w14:textId="77777777" w:rsidR="00244237" w:rsidRPr="00244237" w:rsidRDefault="00244237" w:rsidP="00244237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Para que você entenda melhor os assuntos estudados nesta aula, você irá explorar um conjunto de dados reais botânicos, contendo medidas de três espécies de flores íris.</w:t>
      </w:r>
    </w:p>
    <w:p w14:paraId="470C6780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Os exemplos serão executados no já conhecido ambiente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Jupyter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 xml:space="preserve"> Notebooks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necessitam das bibliotecas pandas,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devidamente instaladas. Primeiramente, você irá criar um notebook e importar e configurar as bibliotecas que serão utilizadas. Confira no código a seguir:</w:t>
      </w:r>
    </w:p>
    <w:p w14:paraId="41EB7942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import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pandas </w:t>
      </w:r>
      <w:r w:rsidRPr="00244237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as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pd</w:t>
      </w:r>
      <w:proofErr w:type="spellEnd"/>
    </w:p>
    <w:p w14:paraId="0197B811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import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matplotlib.pyplot</w:t>
      </w:r>
      <w:proofErr w:type="spellEnd"/>
      <w:proofErr w:type="gram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244237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as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</w:t>
      </w:r>
      <w:proofErr w:type="spellEnd"/>
    </w:p>
    <w:p w14:paraId="347D048C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import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seaborn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244237">
        <w:rPr>
          <w:rFonts w:ascii="Consolas" w:eastAsia="Times New Roman" w:hAnsi="Consolas" w:cs="Courier New"/>
          <w:color w:val="000088"/>
          <w:sz w:val="20"/>
          <w:szCs w:val="20"/>
          <w:shd w:val="clear" w:color="auto" w:fill="FFFFFF"/>
          <w:lang w:eastAsia="pt-BR"/>
        </w:rPr>
        <w:t>as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</w:t>
      </w:r>
      <w:proofErr w:type="spellEnd"/>
    </w:p>
    <w:p w14:paraId="3B243452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%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matplotlib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inline</w:t>
      </w:r>
      <w:proofErr w:type="spellEnd"/>
    </w:p>
    <w:p w14:paraId="76F7FB60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sns.set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style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darkgrid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22738245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8" w:tgtFrame="_blank" w:history="1">
        <w:r w:rsidRPr="0024423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4459563A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Nas linhas 1 a 3 são importadas as bibliotecas atribuindo a elas os respectivos pseudônimos que são utilizados por padrão. O comando na linha 4, chamado palavra mágica, é específico do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Jupyter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 xml:space="preserve"> Notebooks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e apenas diz que imagens geradas pelo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devem ser exibidas na página do Notebook. A linha 5 é opcional, e configura o estilo dos gráficos gerados com a biblioteca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324DBBA6" w14:textId="77777777" w:rsidR="00244237" w:rsidRPr="00244237" w:rsidRDefault="00244237" w:rsidP="00244237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Pronto! Agora você já pode carregar os dados que iremos utilizar e começar a explorá-los.</w:t>
      </w:r>
    </w:p>
    <w:p w14:paraId="1C04D248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Esse conjunto de dados é muito famoso no mundo de análise de dados e pode ser carregado diretamente através do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sem a necessidade de baixar os dados para a sua máquina. Confira, no código a seguir, como carregar os dados em um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DataFrame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de pandas através da função 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load_</w:t>
      </w:r>
      <w:proofErr w:type="gram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dataset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do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exibir as 5 primeiras linhas da tabela de dados.</w:t>
      </w:r>
    </w:p>
    <w:p w14:paraId="0003CF5B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iris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sns.load</w:t>
      </w:r>
      <w:proofErr w:type="gram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_dataset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iris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2D367634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iris.head</w:t>
      </w:r>
      <w:proofErr w:type="spellEnd"/>
      <w:proofErr w:type="gram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tbl>
      <w:tblPr>
        <w:tblW w:w="16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3571"/>
        <w:gridCol w:w="3421"/>
        <w:gridCol w:w="3532"/>
        <w:gridCol w:w="3385"/>
        <w:gridCol w:w="1971"/>
      </w:tblGrid>
      <w:tr w:rsidR="00244237" w:rsidRPr="00244237" w14:paraId="62E7D6D2" w14:textId="77777777" w:rsidTr="0024423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617FD0" w14:textId="77777777" w:rsidR="00244237" w:rsidRPr="00244237" w:rsidRDefault="00244237" w:rsidP="00244237">
            <w:pPr>
              <w:spacing w:after="0" w:line="240" w:lineRule="auto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710479" w14:textId="77777777" w:rsidR="00244237" w:rsidRPr="00244237" w:rsidRDefault="00244237" w:rsidP="0024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C5771A" w14:textId="77777777" w:rsidR="00244237" w:rsidRPr="00244237" w:rsidRDefault="00244237" w:rsidP="0024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76FA36" w14:textId="77777777" w:rsidR="00244237" w:rsidRPr="00244237" w:rsidRDefault="00244237" w:rsidP="0024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69B452" w14:textId="77777777" w:rsidR="00244237" w:rsidRPr="00244237" w:rsidRDefault="00244237" w:rsidP="0024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378B4C" w14:textId="77777777" w:rsidR="00244237" w:rsidRPr="00244237" w:rsidRDefault="00244237" w:rsidP="00244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</w:pPr>
            <w:r w:rsidRPr="00244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 w:eastAsia="pt-BR"/>
              </w:rPr>
              <w:t>species</w:t>
            </w:r>
          </w:p>
        </w:tc>
      </w:tr>
      <w:tr w:rsidR="00244237" w:rsidRPr="00244237" w14:paraId="390B2772" w14:textId="77777777" w:rsidTr="0024423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292C00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89E38E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EB7342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B19F6A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3D89D6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DDB8E6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setosa</w:t>
            </w:r>
            <w:proofErr w:type="spellEnd"/>
          </w:p>
        </w:tc>
      </w:tr>
      <w:tr w:rsidR="00244237" w:rsidRPr="00244237" w14:paraId="402A050F" w14:textId="77777777" w:rsidTr="0024423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F51CB9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5BDD05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3ACD61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E5BD6E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A111D5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35EF4C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setosa</w:t>
            </w:r>
            <w:proofErr w:type="spellEnd"/>
          </w:p>
        </w:tc>
      </w:tr>
      <w:tr w:rsidR="00244237" w:rsidRPr="00244237" w14:paraId="19EEC16C" w14:textId="77777777" w:rsidTr="0024423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10F11C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FE7EC9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52C706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AA2180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D3E9C5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BBDBDF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setosa</w:t>
            </w:r>
            <w:proofErr w:type="spellEnd"/>
          </w:p>
        </w:tc>
      </w:tr>
      <w:tr w:rsidR="00244237" w:rsidRPr="00244237" w14:paraId="6A788092" w14:textId="77777777" w:rsidTr="0024423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7F03AE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BD13EF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B29D0E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3FE4C5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384CBA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E482BE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setosa</w:t>
            </w:r>
            <w:proofErr w:type="spellEnd"/>
          </w:p>
        </w:tc>
      </w:tr>
      <w:tr w:rsidR="00244237" w:rsidRPr="00244237" w14:paraId="7507912F" w14:textId="77777777" w:rsidTr="0024423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E9612B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417953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D842A9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82419D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1BCD05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95205D" w14:textId="77777777" w:rsidR="00244237" w:rsidRPr="00244237" w:rsidRDefault="00244237" w:rsidP="0024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setosa</w:t>
            </w:r>
            <w:proofErr w:type="spellEnd"/>
          </w:p>
        </w:tc>
      </w:tr>
    </w:tbl>
    <w:p w14:paraId="3E59AC97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A função 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load_</w:t>
      </w:r>
      <w:proofErr w:type="gram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dataset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pode carregar diversos conjuntos de dados fornecidos pelo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No caso, passando o valor ‘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iris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’, o conjunto de dados de flores Iris foram carregados em um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DataFrame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e passados para a variável 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iris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. A função </w:t>
      </w:r>
      <w:proofErr w:type="spellStart"/>
      <w:proofErr w:type="gram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head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exibe as 5 primeiras linhas do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DataFrame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O conjunto de dados contém um conjunto de 150 linhas com cinco atributos - comprimento da sépala (parte constituinte da flor), largura da sépala, comprimento da pétala, largura da pétala, em centímetros e a espécie.</w:t>
      </w:r>
    </w:p>
    <w:p w14:paraId="113EE1B8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Esses dados foram coletados pelo estatístico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Ronald Fisher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. O conjunto de dados consiste em 50 amostras de cada uma das três espécies de Iris: Iris 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setosa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Iris 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virginica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e Iris versicolor. A ideia desse conjunto de dados é, a partir das 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medidas das pétalas e das sépalas, distinguir a espécie de flor Iris. Agora, para começar a nossa análise, vamos comparar as distribuições de duas variáveis: o comprimento da sépala e o comprimento da pétala.</w:t>
      </w:r>
    </w:p>
    <w:p w14:paraId="6DD31638" w14:textId="625C9F6D" w:rsidR="00244237" w:rsidRDefault="00244237"/>
    <w:p w14:paraId="7BABB814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Como já dito, o histograma permite visualizar a distribuição de uma única variável, mas não favorece a comparação em uma distribuição bivariada. Já o gráfico de dispersão permite visualizar e comparar a distribuição conjunta, mas não favorece a percepção das distribuições individuais de uma distribuição conjunta, também chamadas marginais. Para sanar essa limitação, 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fornece a função </w:t>
      </w:r>
      <w:proofErr w:type="spellStart"/>
      <w:proofErr w:type="gram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jointplot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que permite visualizar uma distribuição conjunta através da combinação do histograma e do gráfico de dispersão. Confira, no exemplo a seguir, como visualizar a distribuição conjunta do comprimento da sépala e do comprimento da pétala:</w:t>
      </w:r>
    </w:p>
    <w:p w14:paraId="05C1E170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sns.jointplot</w:t>
      </w:r>
      <w:proofErr w:type="spellEnd"/>
      <w:proofErr w:type="gram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sepal_length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petal_length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kind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reg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iris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79F23710" w14:textId="24BB67C3" w:rsidR="00244237" w:rsidRPr="00244237" w:rsidRDefault="00244237" w:rsidP="00244237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1 – Distribuição conjunta do comprimento da </w:t>
      </w:r>
      <w:hyperlink r:id="rId9" w:tgtFrame="_blank" w:history="1">
        <w:r w:rsidRPr="0024423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sépala</w:t>
        </w:r>
      </w:hyperlink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da pétala com gráfico de dispersão e marginais com gráfico de densidade</w:t>
      </w:r>
      <w:r w:rsidRPr="00244237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4A09F93F" wp14:editId="448B07EA">
            <wp:extent cx="4028440" cy="4037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558D" w14:textId="77777777" w:rsidR="00244237" w:rsidRPr="00244237" w:rsidRDefault="00244237" w:rsidP="00244237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Utilizar a função </w:t>
      </w:r>
      <w:proofErr w:type="spellStart"/>
      <w:proofErr w:type="gram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joinplot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) é simples, bastando passar os valores que serão mapeados no eixo x e os valores que serão mapeados no eixo y, assim como se faria para criar um gráfico de dispersão com a função 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scatterplot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(). A seguir, confira um pouco mais sobre essa função aplicada aos dados.</w:t>
      </w:r>
    </w:p>
    <w:p w14:paraId="03AD55E1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Um detalhe importante sobre a função </w:t>
      </w:r>
      <w:proofErr w:type="spellStart"/>
      <w:proofErr w:type="gram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jointplot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é que ela é baseada na classe do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 xml:space="preserve">seaborn 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JointGrid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que controla a grade de visualizações do histograma com 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o gráfico de densidade e o gráfico de dispersão. Por isso, não é possível configurar o visual dessa função utilizando funções do </w:t>
      </w:r>
      <w:proofErr w:type="spellStart"/>
      <w:proofErr w:type="gram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matplotlib.pyplot</w:t>
      </w:r>
      <w:proofErr w:type="spellEnd"/>
      <w:proofErr w:type="gram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como é possível com outras funções do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2BC45C1A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Note que, além dos eixos x e y, foi passada para o parâmetro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kind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o valor “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reg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”, indicando que a função deve desenhar a reta de regressão. Se nenhum valor for passado, a função desenha apenas o gráfico de dispersão e histograma.</w:t>
      </w:r>
    </w:p>
    <w:p w14:paraId="270E103D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Analise o resultado da função. No topo observa-se um </w:t>
      </w:r>
      <w:hyperlink r:id="rId11" w:tgtFrame="_blank" w:history="1">
        <w:r w:rsidRPr="0024423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histograma</w:t>
        </w:r>
      </w:hyperlink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e gráfico de densidade da distribuição marginal dos comprimentos das sépalas e na lateral à direita, há a distribuição marginal do comprimento das pétalas. Em uma única visualização, pode-se perceber que existe uma forte correlação entre os comprimentos da pétala e da sépala, e que </w:t>
      </w:r>
      <w:proofErr w:type="gram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 distribuição dos comprimentos das pétalas possuem</w:t>
      </w:r>
      <w:proofErr w:type="gram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dois “picos”, no linguajar estatísticos chamados modas, sendo portanto uma distribuição bimodal. Esse tipo de gráfico é útil por poupar tempo e mostrar bastante informação de forma clara.</w:t>
      </w:r>
    </w:p>
    <w:p w14:paraId="6191AFE0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oferece ainda outras variações para o </w:t>
      </w:r>
      <w:proofErr w:type="spellStart"/>
      <w:proofErr w:type="gram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jointplot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que podem ser controlados através do parâmetro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kind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Vamos continuar e conferir mais sobre isso.</w:t>
      </w:r>
    </w:p>
    <w:p w14:paraId="165D132F" w14:textId="7ADA8851" w:rsidR="00244237" w:rsidRDefault="00244237"/>
    <w:p w14:paraId="24325153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Uma das variações é o gráfico de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hexbin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que é análogo ao histograma para duas dimensões. Nessa variação, ao invés de representar a distribuição conjunta por pontos, o plano cartesiano é dividido em “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” hexagonais de dimensões iguais. A quantidade de dados dentro de um determinado bin é mapeada para uma escala de cor. Ou seja, quanto mais escuro o bin, mais dados há nele, formando um tipo de gráfico de densidade. Para criar um gráfico de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hexbin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basta passar o valor ‘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hex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 para o parâmetro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kind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Confira:</w:t>
      </w:r>
    </w:p>
    <w:p w14:paraId="39669640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sns.jointplot</w:t>
      </w:r>
      <w:proofErr w:type="spellEnd"/>
      <w:proofErr w:type="gram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sepal_length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petal_length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kind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hex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color = 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black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iris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2F9ED876" w14:textId="0264BBE3" w:rsidR="00244237" w:rsidRPr="00244237" w:rsidRDefault="00244237" w:rsidP="00244237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Figura 2 – Distribuição conjunta do comprimento da sépala e da pétala com gráfico de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hexbin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marginais com histograma</w:t>
      </w:r>
      <w:r w:rsidRPr="00244237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4340B37B" wp14:editId="505FB30C">
            <wp:extent cx="3942080" cy="4037330"/>
            <wp:effectExtent l="0" t="0" r="127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FE15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Note que foi passado o valor ‘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black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 para o parâmetro color, indicando que será utilizada uma escala de tons de cinza, onde quanto mais próximo do branco há menos dados, e quanto mais próximo do preto há mais dados.</w:t>
      </w:r>
    </w:p>
    <w:p w14:paraId="4E3A55F4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 relação ao gráfico de dispersão com reta de regressão, o gráfico de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hexbin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foca menos na correlação entre as duas variáveis e mais na distribuição espacial entre elas, chamando atenção para as regiões onde os dados são mais frequentes.</w:t>
      </w:r>
    </w:p>
    <w:p w14:paraId="0F433ADB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Uma outra variação é o gráfico de densidade, onde são estimadas a probabilidade de haver elementos em uma dada região do gráfico. A principal diferença deste gráfico para o de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hexbin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é que a distribuição conjunta é representada por contornos que possuem uma continuidade, enquanto as marginais são representadas por curvas de probabilidade. Essas curvas de probabilidade são estimadas através de um método conhecido como </w:t>
      </w:r>
      <w:r w:rsidRPr="00244237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Estimativa de Densidade de </w:t>
      </w:r>
      <w:r w:rsidRPr="00244237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Kernel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(em inglês, a sigla KDE é utilizada). Para utilizar esse tipo de gráfico, basta passar o valor ‘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kde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 para o parâmetro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kind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Confira:</w:t>
      </w:r>
    </w:p>
    <w:p w14:paraId="2135AFB0" w14:textId="77777777" w:rsidR="00244237" w:rsidRPr="00244237" w:rsidRDefault="00244237" w:rsidP="0024423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44237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sns.jointplot</w:t>
      </w:r>
      <w:proofErr w:type="spellEnd"/>
      <w:proofErr w:type="gram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sepal_length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petal_length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kind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kde</w:t>
      </w:r>
      <w:proofErr w:type="spellEnd"/>
      <w:r w:rsidRPr="00244237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iris</w:t>
      </w:r>
      <w:proofErr w:type="spellEnd"/>
      <w:r w:rsidRPr="0024423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23A1BB65" w14:textId="70B86C4F" w:rsidR="00244237" w:rsidRPr="00244237" w:rsidRDefault="00244237" w:rsidP="00244237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Figura 3 - Distribuição conjunta e marginais do comprimento da </w:t>
      </w:r>
      <w:hyperlink r:id="rId13" w:tgtFrame="_blank" w:history="1">
        <w:r w:rsidRPr="0024423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sépala</w:t>
        </w:r>
      </w:hyperlink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da pétala com gráficos de densidade</w:t>
      </w:r>
      <w:r w:rsidRPr="00244237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102FA7C0" wp14:editId="09969400">
            <wp:extent cx="3942080" cy="4037330"/>
            <wp:effectExtent l="0" t="0" r="127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DDF9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Assim como o gráfico de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hexbin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o gráfico de densidade foca na distribuição espacial dos dados. Porém, ele representa essa distribuição na forma de probabilidades, onde as áreas mais escuras possuem maior probabilidade de conter dados e as mais claras possuem menos. Comparando, é a diferença entre um histograma e uma curva de densidade de probabilidade para uma distribuição 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univariada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O gráfico de densidade mostra a distribuição conjunta de forma mais suave e pode ser mais indicado quando o conjunto de dados é muito grande, ajudando a identificar padrões espaciais. Mas é importante lembrar que ele é uma estimativa criada a partir dos dados. Já o gráfico de 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hexbin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mostra a distribuição real dos dados, mas a sua precisão, assim como no histograma, depende da escolha do tamanho dos </w:t>
      </w:r>
      <w:proofErr w:type="spellStart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bins</w:t>
      </w:r>
      <w:proofErr w:type="spellEnd"/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7FB6497C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Compare as duas visualizações. Qual você achou que transmitiu a distribuição conjunta de forma mais clara? A seguir, verifique um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box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“Fique atento!” e confira uma dica bacana.</w:t>
      </w:r>
    </w:p>
    <w:p w14:paraId="4D4315E9" w14:textId="77777777" w:rsidR="00244237" w:rsidRPr="00244237" w:rsidRDefault="00244237" w:rsidP="00244237">
      <w:pPr>
        <w:shd w:val="clear" w:color="auto" w:fill="EEEEEE"/>
        <w:spacing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Para comparar distribuições de uma variável em relação a um ou mais atributos categóricos, os gráficos de caixa e violino são muito úteis. Porém utilizar esses gráficos para comparar diretamente duas ou mais variáveis quantitativas distintas pode não ser indicado, pois é comum que as variáveis estejam em escalas diferentes e a comparação pode não fazer sentido. Nesses casos, é preferível gráficos de distribuição conjunta, como o exemplo apresentado anteriormente.</w:t>
      </w:r>
    </w:p>
    <w:p w14:paraId="21AC5D78" w14:textId="77777777" w:rsidR="00244237" w:rsidRPr="00244237" w:rsidRDefault="00244237" w:rsidP="00244237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Gráficos de distribuição conjunta são muito úteis para analisar a distribuição entre duas variáveis. Porém, é comum que conjuntos de dados possuam muitas variáveis quantitativas. Nesse caso, pode ser cansativo analisar uma a uma, todas as possíveis combinações de variáveis à procura de padrões significativos. Para facilitar esse trabalho, o 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44237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possui funções para comparar múltiplas distribuições conjuntas em uma única visualização. Esse método será abordado no próximo tópico.</w:t>
      </w:r>
    </w:p>
    <w:p w14:paraId="2CAC77B3" w14:textId="77777777" w:rsidR="00244237" w:rsidRDefault="00244237"/>
    <w:sectPr w:rsidR="00244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52A27"/>
    <w:multiLevelType w:val="multilevel"/>
    <w:tmpl w:val="B9A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F307E"/>
    <w:multiLevelType w:val="multilevel"/>
    <w:tmpl w:val="13B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37"/>
    <w:rsid w:val="0024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52D2"/>
  <w15:chartTrackingRefBased/>
  <w15:docId w15:val="{A65A3AC7-0D1E-4C57-9054-611B791B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4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44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442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4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24423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23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423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244237"/>
  </w:style>
  <w:style w:type="character" w:customStyle="1" w:styleId="hljs-keyword">
    <w:name w:val="hljs-keyword"/>
    <w:basedOn w:val="Fontepargpadro"/>
    <w:rsid w:val="00244237"/>
  </w:style>
  <w:style w:type="character" w:customStyle="1" w:styleId="hljs-string">
    <w:name w:val="hljs-string"/>
    <w:basedOn w:val="Fontepargpadro"/>
    <w:rsid w:val="00244237"/>
  </w:style>
  <w:style w:type="paragraph" w:customStyle="1" w:styleId="text-center">
    <w:name w:val="text-center"/>
    <w:basedOn w:val="Normal"/>
    <w:rsid w:val="0024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4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836">
          <w:marLeft w:val="222"/>
          <w:marRight w:val="222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2025739835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099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1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591">
                  <w:marLeft w:val="0"/>
                  <w:marRight w:val="0"/>
                  <w:marTop w:val="0"/>
                  <w:marBottom w:val="0"/>
                  <w:divBdr>
                    <w:top w:val="single" w:sz="24" w:space="8" w:color="1572B9"/>
                    <w:left w:val="single" w:sz="24" w:space="8" w:color="1572B9"/>
                    <w:bottom w:val="single" w:sz="24" w:space="8" w:color="1572B9"/>
                    <w:right w:val="single" w:sz="24" w:space="8" w:color="1572B9"/>
                  </w:divBdr>
                </w:div>
              </w:divsChild>
            </w:div>
          </w:divsChild>
        </w:div>
      </w:divsChild>
    </w:div>
    <w:div w:id="1380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764">
          <w:marLeft w:val="324"/>
          <w:marRight w:val="324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1416631445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501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0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fortaleza.com.br/ead2pcd/conteudo/tmp/myopenolat_1_102915187578976/aula/code/codigo-aula-4-2-topico1-pagina2.txt" TargetMode="External"/><Relationship Id="rId13" Type="http://schemas.openxmlformats.org/officeDocument/2006/relationships/hyperlink" Target="https://leadfortaleza.com.br/ead/glossary/S%C3%A9p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dfortaleza.com.br/ead/glossary/Histogram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dfortaleza.com.br/ead/glossary/Histograma" TargetMode="External"/><Relationship Id="rId11" Type="http://schemas.openxmlformats.org/officeDocument/2006/relationships/hyperlink" Target="https://leadfortaleza.com.br/ead/glossary/Histograma" TargetMode="External"/><Relationship Id="rId5" Type="http://schemas.openxmlformats.org/officeDocument/2006/relationships/hyperlink" Target="https://leadfortaleza.com.br/ead/glossary/Histogram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adfortaleza.com.br/ead/glossary/S%C3%A9pal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1843</Words>
  <Characters>9954</Characters>
  <Application>Microsoft Office Word</Application>
  <DocSecurity>0</DocSecurity>
  <Lines>82</Lines>
  <Paragraphs>23</Paragraphs>
  <ScaleCrop>false</ScaleCrop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1</cp:revision>
  <dcterms:created xsi:type="dcterms:W3CDTF">2021-02-15T16:05:00Z</dcterms:created>
  <dcterms:modified xsi:type="dcterms:W3CDTF">2021-02-15T16:15:00Z</dcterms:modified>
</cp:coreProperties>
</file>