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4.9 (Apache licensed) using REFERENCE JAXB in Oracle Java 17.0.8 on Mac OS X -->
    <w:p>
      <w:pPr>
        <w:jc w:val="center"/>
      </w:pPr>
      <w:r>
        <w:rPr>
          <w:b/>
          <w:i/>
          <w:caps/>
          <w:sz w:val="48"/>
          <w:szCs w:val="48"/>
        </w:rPr>
        <w:t>Saulo de Souza Aires</w:t>
      </w:r>
    </w:p>
    <w:tbl>
      <w:tblPr>
        <w:tblStyle w:val="TableGrid"/>
        <w:tblW w:w="0" w:type="auto"/>
        <w:jc w:val="center"/>
        <w:tblBorders>
          <w:top w:val="none"/>
          <w:left w:val="none"/>
          <w:bottom w:val="none"/>
          <w:right w:val="none"/>
          <w:insideH w:val="none"/>
          <w:insideV w:val="none"/>
        </w:tblBorders>
        <w:tblLook w:val="04A0"/>
      </w:tblPr>
      <w:tblGrid>
        <w:gridCol w:w="4983"/>
        <w:gridCol w:w="4983"/>
      </w:tblGrid>
      <w:tr>
        <w:tc>
          <w:tcPr>
            <w:tcW w:w="4983" w:type="dxa"/>
          </w:tcPr>
          <w:p/>
          <w:p>
            <w:pPr>
              <w:jc w:val="left"/>
            </w:pPr>
            <w:r>
              <w:rPr>
                <w:sz w:val="18"/>
                <w:szCs w:val="18"/>
              </w:rPr>
              <w:t xml:space="preserve">Email: saulosaires@gmail.com</w:t>
            </w:r>
          </w:p>
        </w:tc>
        <w:tc>
          <w:tcPr>
            <w:tcW w:w="4983" w:type="dxa"/>
          </w:tcPr>
          <w:p/>
          <w:p>
            <w:pPr>
              <w:jc w:val="right"/>
            </w:pPr>
            <w:hyperlink>
              <w:r>
                <w:rPr>
                  <w:rStyle w:val="Hyperlink"/>
                  <w:sz w:val="18"/>
                  <w:szCs w:val="18"/>
                </w:rPr>
                <w:t>saulosaires.com</w:t>
              </w:r>
            </w:hyperlink>
          </w:p>
        </w:tc>
      </w:tr>
      <w:tr>
        <w:tc>
          <w:tcPr>
            <w:tcW w:w="4983" w:type="dxa"/>
          </w:tcPr>
          <w:p/>
          <w:p>
            <w:pPr>
              <w:jc w:val="left"/>
            </w:pPr>
            <w:r>
              <w:rPr>
                <w:sz w:val="18"/>
                <w:szCs w:val="18"/>
              </w:rPr>
              <w:t xml:space="preserve">Telephone: +32493082359</w:t>
            </w:r>
          </w:p>
        </w:tc>
        <w:tc>
          <w:tcPr>
            <w:tcW w:w="4983" w:type="dxa"/>
          </w:tcPr>
          <w:p/>
          <w:p>
            <w:pPr>
              <w:jc w:val="right"/>
            </w:pPr>
            <w:r>
              <w:rPr>
                <w:sz w:val="18"/>
                <w:szCs w:val="18"/>
              </w:rPr>
              <w:t xml:space="preserve">Instant Messaging: 32493082359</w:t>
            </w:r>
          </w:p>
        </w:tc>
      </w:tr>
    </w:tbl>
    <w:br/>
    <w:p>
      <w:pPr>
        <w:jc w:val="left"/>
      </w:pPr>
      <w:r>
        <w:rPr>
          <w:b/>
          <w:caps/>
          <w:sz w:val="36"/>
          <w:szCs w:val="36"/>
        </w:rPr>
        <w:t xml:space="preserve">summary</w:t>
      </w:r>
    </w:p>
    <w:p>
      <w:pPr>
        <w:jc w:val="both"/>
      </w:pPr>
      <w:r>
        <w:tab/>
      </w:r>
      <w:r>
        <w:rPr>
          <w:sz w:val="22"/>
          <w:szCs w:val="22"/>
        </w:rPr>
        <w:t xml:space="preserve">Experienced backend developer with 10+ years in Brazil and Europe, passionate about learning new technology and best practices. Proficient in problem-solving and breaking down complex issues. Highly organized, excelling in multitasking and analytical thinking. Proactive, dedicated, and committed to self-improvement. Eager to embrace new challenges and expand skill set. Ready for exciting opportunities in the field of backend development.</w:t>
      </w:r>
    </w:p>
    <w:br/>
    <w:p>
      <w:pPr>
        <w:jc w:val="left"/>
      </w:pPr>
      <w:r>
        <w:rPr>
          <w:b/>
          <w:caps/>
          <w:sz w:val="36"/>
          <w:szCs w:val="36"/>
        </w:rPr>
        <w:t xml:space="preserve">education</w:t>
      </w:r>
    </w:p>
    <w:p>
      <w:r>
        <w:rPr>
          <w:b/>
          <w:sz w:val="22"/>
          <w:szCs w:val="22"/>
        </w:rPr>
        <w:t xml:space="preserve">Bachelor's degree in Computer Science </w:t>
      </w:r>
      <w:r>
        <w:rPr>
          <w:sz w:val="22"/>
          <w:szCs w:val="22"/>
        </w:rPr>
        <w:t xml:space="preserve"> at </w:t>
      </w:r>
      <w:r>
        <w:rPr>
          <w:sz w:val="22"/>
          <w:szCs w:val="22"/>
        </w:rPr>
        <w:t xml:space="preserve">Federal University of Maranhão(UFMA)</w:t>
      </w:r>
      <w:r>
        <w:rPr>
          <w:sz w:val="22"/>
          <w:szCs w:val="22"/>
        </w:rPr>
        <w:t xml:space="preserve">, Maranhão-Brazil</w:t>
      </w:r>
      <w:r>
        <w:rPr>
          <w:sz w:val="22"/>
          <w:szCs w:val="22"/>
        </w:rPr>
        <w:t xml:space="preserve">, Mar/2005 - Mar/2010</w:t>
      </w:r>
    </w:p>
    <w:br/>
    <w:p>
      <w:pPr>
        <w:jc w:val="left"/>
      </w:pPr>
      <w:r>
        <w:rPr>
          <w:b/>
          <w:caps/>
          <w:sz w:val="36"/>
          <w:szCs w:val="36"/>
        </w:rPr>
        <w:t xml:space="preserve">Professional Experience</w:t>
      </w:r>
    </w:p>
    <w:p>
      <w:pPr>
        <w:jc w:val="left"/>
      </w:pPr>
      <w:r>
        <w:tab/>
      </w:r>
      <w:r>
        <w:rPr>
          <w:b/>
          <w:sz w:val="22"/>
          <w:szCs w:val="22"/>
        </w:rPr>
        <w:t xml:space="preserve">Amag(Allride Business) </w:t>
      </w:r>
      <w:r>
        <w:rPr>
          <w:sz w:val="22"/>
          <w:szCs w:val="22"/>
        </w:rPr>
        <w:t xml:space="preserve"> - BR</w:t>
      </w:r>
      <w:br/>
      <w:r>
        <w:tab/>
      </w:r>
      <w:r>
        <w:rPr>
          <w:b/>
          <w:sz w:val="22"/>
          <w:szCs w:val="22"/>
        </w:rPr>
        <w:t xml:space="preserve">Senior Software Engineer </w:t>
      </w:r>
      <w:r>
        <w:rPr>
          <w:sz w:val="22"/>
          <w:szCs w:val="22"/>
        </w:rPr>
        <w:t xml:space="preserve"> (Oct/2023 - Oct/2023)</w:t>
      </w:r>
    </w:p>
    <w:tbl>
      <w:tblPr>
        <w:tblW w:w="0" w:type="auto"/>
        <w:tblCellSpacing w:w="0" w:type="dxa"/>
        <w:tblBorders>
          <w:top w:val="none"/>
          <w:left w:val="none"/>
          <w:bottom w:val="none"/>
          <w:right w:val="none"/>
          <w:insideH w:val="none"/>
          <w:insideV w:val="none"/>
        </w:tblBorders>
      </w:tblPr>
      <w:tblGrid>
        <w:gridCol w:w="13954"/>
      </w:tblGrid>
      <w:tr>
        <w:trPr>
          <w:trHeight w:val="3780" w:hRule="atLeast"/>
        </w:trPr>
        <w:tc>
          <w:tcPr>
            <w:tcW w:w="13954" w:type="dxa"/>
            <w:tcBorders/>
            <w:tcMar>
              <w:top w:w="15" w:type="dxa"/>
              <w:left w:w="15" w:type="dxa"/>
              <w:bottom w:w="15" w:type="dxa"/>
              <w:right w:w="15" w:type="dxa"/>
            </w:tcMar>
          </w:tcPr>
          <w:p>
            <w:pPr>
              <w:spacing w:before="269" w:after="269"/>
              <w:ind w:left="0"/>
              <w:jc w:val="both"/>
            </w:pPr>
            <w:r>
              <w:rPr>
                <w:rFonts w:ascii="Calibri" w:hAnsi="Calibri"/>
                <w:b/>
                <w:i w:val="false"/>
                <w:color w:val="000000"/>
                <w:sz w:val="22"/>
              </w:rPr>
              <w:t xml:space="preserve">Allride Business offers employees easy access to shared mobility solutions available at their company locations (cars, bicycles, etc.). Just download the app, register, and book the desired mobility solution with just a few clicks on the app. With the Allride app, your smartphone becomes your vehicle key. </w:t>
            </w:r>
            <w:r>
              <w:rPr>
                <w:rFonts w:ascii="Calibri" w:hAnsi="Calibri"/>
                <w:b/>
                <w:i w:val="false"/>
                <w:color w:val="000000"/>
                <w:sz w:val="22"/>
              </w:rPr>
              <w:t>https://play.google.com/store/apps/details?id=ch.amag.amagallride</w:t>
            </w:r>
          </w:p>
          <w:p>
            <w:pPr>
              <w:numPr>
                <w:ilvl w:val="0"/>
                <w:numId w:val="1"/>
              </w:numPr>
              <w:spacing w:before="0" w:after="0"/>
              <w:jc w:val="both"/>
            </w:pPr>
            <w:r>
              <w:rPr>
                <w:rFonts w:ascii="Calibri" w:hAnsi="Calibri"/>
                <w:b w:val="false"/>
                <w:i w:val="false"/>
                <w:color w:val="000000"/>
                <w:sz w:val="22"/>
              </w:rPr>
              <w:t>As a software engineer hired in the earlier stages of development, one of my main duties was to define the design of the services, domains, and technologies.</w:t>
            </w:r>
          </w:p>
          <w:p>
            <w:pPr>
              <w:numPr>
                <w:ilvl w:val="0"/>
                <w:numId w:val="1"/>
              </w:numPr>
              <w:spacing w:before="0" w:after="0"/>
              <w:jc w:val="both"/>
            </w:pPr>
            <w:r>
              <w:rPr>
                <w:rFonts w:ascii="Calibri" w:hAnsi="Calibri"/>
                <w:b w:val="false"/>
                <w:i w:val="false"/>
                <w:color w:val="000000"/>
                <w:sz w:val="22"/>
              </w:rPr>
              <w:t>Create documentation to help onboard the new colleagues and also provide technical guidance to the junior members.</w:t>
            </w:r>
          </w:p>
          <w:p>
            <w:pPr>
              <w:numPr>
                <w:ilvl w:val="0"/>
                <w:numId w:val="1"/>
              </w:numPr>
              <w:spacing w:before="0" w:after="0"/>
              <w:jc w:val="both"/>
            </w:pPr>
            <w:r>
              <w:rPr>
                <w:rFonts w:ascii="Calibri" w:hAnsi="Calibri"/>
                <w:b w:val="false"/>
                <w:i w:val="false"/>
                <w:color w:val="000000"/>
                <w:sz w:val="22"/>
              </w:rPr>
              <w:t>As a Senior developer, I had to pay attention to the details of the designer to meet our scalability and maintainability criteria.</w:t>
            </w:r>
          </w:p>
          <w:p>
            <w:pPr>
              <w:numPr>
                <w:ilvl w:val="0"/>
                <w:numId w:val="1"/>
              </w:numPr>
              <w:spacing w:before="0" w:after="0"/>
              <w:jc w:val="both"/>
            </w:pPr>
            <w:r>
              <w:rPr>
                <w:rFonts w:ascii="Calibri" w:hAnsi="Calibri"/>
                <w:b w:val="false"/>
                <w:i w:val="false"/>
                <w:color w:val="000000"/>
                <w:sz w:val="22"/>
              </w:rPr>
              <w:t>After almost one year of development, we delivered the app within the deadline proposed.</w:t>
            </w:r>
          </w:p>
        </w:tc>
      </w:tr>
    </w:tbl>
    <w:br/>
    <w:p>
      <w:pPr>
        <w:jc w:val="left"/>
      </w:pPr>
      <w:r>
        <w:rPr>
          <w:b/>
          <w:sz w:val="22"/>
          <w:szCs w:val="22"/>
        </w:rPr>
        <w:t xml:space="preserve">Skills: </w:t>
      </w:r>
      <w:r>
        <w:rPr>
          <w:sz w:val="22"/>
          <w:szCs w:val="22"/>
        </w:rPr>
        <w:t xml:space="preserve">AWS, CI/CD, Confluence, DDD, Docker, ELK, ElasticSearch, Gitlab, Grafana, Grpc, Hibernate, Java, Java17, Jira, Kibana, Kubernetes, Mongo, NoSQL, RabbitMq, Redis, Rest, SpringBoot, Terraform</w:t>
      </w:r>
    </w:p>
    <w:br/>
    <w:p>
      <w:pPr>
        <w:jc w:val="left"/>
      </w:pPr>
      <w:r>
        <w:tab/>
      </w:r>
      <w:r>
        <w:rPr>
          <w:b/>
          <w:sz w:val="22"/>
          <w:szCs w:val="22"/>
        </w:rPr>
        <w:t xml:space="preserve">European Commission</w:t>
      </w:r>
      <w:r>
        <w:rPr>
          <w:sz w:val="22"/>
          <w:szCs w:val="22"/>
        </w:rPr>
        <w:t xml:space="preserve"> - BR</w:t>
      </w:r>
      <w:br/>
      <w:r>
        <w:tab/>
      </w:r>
      <w:r>
        <w:rPr>
          <w:b/>
          <w:sz w:val="22"/>
          <w:szCs w:val="22"/>
        </w:rPr>
        <w:t xml:space="preserve">Senior Software Engineer </w:t>
      </w:r>
      <w:r>
        <w:rPr>
          <w:sz w:val="22"/>
          <w:szCs w:val="22"/>
        </w:rPr>
        <w:t xml:space="preserve"> (Apr/2022 - Oct/2022)</w:t>
      </w:r>
    </w:p>
    <w:tbl>
      <w:tblPr>
        <w:tblW w:w="0" w:type="auto"/>
        <w:tblCellSpacing w:w="0" w:type="dxa"/>
        <w:tblBorders>
          <w:top w:val="none"/>
          <w:left w:val="none"/>
          <w:bottom w:val="none"/>
          <w:right w:val="none"/>
          <w:insideH w:val="none"/>
          <w:insideV w:val="none"/>
        </w:tblBorders>
      </w:tblPr>
      <w:tblGrid>
        <w:gridCol w:w="13954"/>
      </w:tblGrid>
      <w:tr>
        <w:trPr>
          <w:trHeight w:val="2715" w:hRule="atLeast"/>
        </w:trPr>
        <w:tc>
          <w:tcPr>
            <w:tcW w:w="13954" w:type="dxa"/>
            <w:tcBorders/>
            <w:tcMar>
              <w:top w:w="15" w:type="dxa"/>
              <w:left w:w="15" w:type="dxa"/>
              <w:bottom w:w="15" w:type="dxa"/>
              <w:right w:w="15" w:type="dxa"/>
            </w:tcMar>
          </w:tcPr>
          <w:p>
            <w:pPr>
              <w:spacing w:before="269" w:after="269"/>
              <w:ind w:left="0"/>
              <w:jc w:val="both"/>
            </w:pPr>
            <w:r>
              <w:rPr>
                <w:rFonts w:ascii="Calibri" w:hAnsi="Calibri"/>
                <w:b/>
                <w:i w:val="false"/>
                <w:color w:val="000000"/>
                <w:sz w:val="22"/>
              </w:rPr>
              <w:t xml:space="preserve">Europass is a set of online tools and information to help you manage every step of your learning and career, also is a European Union initiative to increase the transparency of qualification and mobility of citizens in Europe. It aims to make a person's skills and qualifications understood throughout Europe. </w:t>
            </w:r>
          </w:p>
          <w:p>
            <w:pPr>
              <w:numPr>
                <w:ilvl w:val="0"/>
                <w:numId w:val="2"/>
              </w:numPr>
              <w:spacing w:before="0" w:after="0"/>
              <w:jc w:val="both"/>
            </w:pPr>
            <w:r>
              <w:rPr>
                <w:rFonts w:ascii="Calibri" w:hAnsi="Calibri"/>
                <w:b w:val="false"/>
                <w:i w:val="false"/>
                <w:color w:val="000000"/>
                <w:sz w:val="22"/>
              </w:rPr>
              <w:t>My main mission here was to help maintain and deliver the project's features and provide guidance to junior colleagues. In the short time I worked here, I managed to understand the current infrastructure and deliver new services.</w:t>
            </w:r>
          </w:p>
        </w:tc>
      </w:tr>
    </w:tbl>
    <w:br/>
    <w:p>
      <w:pPr>
        <w:jc w:val="left"/>
      </w:pPr>
      <w:r>
        <w:rPr>
          <w:b/>
          <w:sz w:val="22"/>
          <w:szCs w:val="22"/>
        </w:rPr>
        <w:t xml:space="preserve">Skills: </w:t>
      </w:r>
      <w:r>
        <w:rPr>
          <w:sz w:val="22"/>
          <w:szCs w:val="22"/>
        </w:rPr>
        <w:t xml:space="preserve">AWS, Angular, Bootstrap, CI/CD, Confluence, DevOps, Docker, ElasticSearch, GitLab , Hibernate, Java11, Jira, Mongo, NoSQL, RabbitMq, Redis, SQL, SpringBoot</w:t>
      </w:r>
    </w:p>
    <w:br/>
    <w:p>
      <w:pPr>
        <w:jc w:val="left"/>
      </w:pPr>
      <w:r>
        <w:tab/>
      </w:r>
      <w:r>
        <w:rPr>
          <w:b/>
          <w:sz w:val="22"/>
          <w:szCs w:val="22"/>
        </w:rPr>
        <w:t xml:space="preserve">European Commission</w:t>
      </w:r>
      <w:r>
        <w:rPr>
          <w:sz w:val="22"/>
          <w:szCs w:val="22"/>
        </w:rPr>
        <w:t xml:space="preserve"> - BR</w:t>
      </w:r>
      <w:br/>
      <w:r>
        <w:tab/>
      </w:r>
      <w:r>
        <w:rPr>
          <w:b/>
          <w:sz w:val="22"/>
          <w:szCs w:val="22"/>
        </w:rPr>
        <w:t xml:space="preserve">Senior Software Engineer </w:t>
      </w:r>
      <w:r>
        <w:rPr>
          <w:sz w:val="22"/>
          <w:szCs w:val="22"/>
        </w:rPr>
        <w:t xml:space="preserve"> (Aug/2019 - Mar/2022)</w:t>
      </w:r>
    </w:p>
    <w:tbl>
      <w:tblPr>
        <w:tblW w:w="0" w:type="auto"/>
        <w:tblCellSpacing w:w="0" w:type="dxa"/>
        <w:tblBorders>
          <w:top w:val="none"/>
          <w:left w:val="none"/>
          <w:bottom w:val="none"/>
          <w:right w:val="none"/>
          <w:insideH w:val="none"/>
          <w:insideV w:val="none"/>
        </w:tblBorders>
      </w:tblPr>
      <w:tblGrid>
        <w:gridCol w:w="13954"/>
      </w:tblGrid>
      <w:tr>
        <w:trPr>
          <w:trHeight w:val="8115" w:hRule="atLeast"/>
        </w:trPr>
        <w:tc>
          <w:tcPr>
            <w:tcW w:w="13954" w:type="dxa"/>
            <w:tcBorders/>
            <w:tcMar>
              <w:top w:w="15" w:type="dxa"/>
              <w:left w:w="15" w:type="dxa"/>
              <w:bottom w:w="15" w:type="dxa"/>
              <w:right w:w="15" w:type="dxa"/>
            </w:tcMar>
          </w:tcPr>
          <w:p>
            <w:pPr>
              <w:spacing w:before="269" w:after="269"/>
              <w:ind w:left="0"/>
              <w:jc w:val="both"/>
            </w:pPr>
            <w:r>
              <w:rPr>
                <w:rFonts w:ascii="Calibri" w:hAnsi="Calibri"/>
                <w:b/>
                <w:i w:val="false"/>
                <w:color w:val="000000"/>
                <w:sz w:val="22"/>
              </w:rPr>
              <w:t>I was hired to work on-premises in the European Commission. To help in the migration of the Mobility Tool project. Mobility + Tool is a web platform tool for collaboration, management, and reporting for mobility projects under the Lifelong Learning Programme (LLP) and the Erasmus+ Programme of the European Commission. It is developed by the European Commission to be used by the beneficiaries of Erasmus+ Projects managed by Erasmus+ National Agencies. (Aug 2019 - July 2021)</w:t>
            </w:r>
          </w:p>
          <w:p>
            <w:pPr>
              <w:numPr>
                <w:ilvl w:val="0"/>
                <w:numId w:val="3"/>
              </w:numPr>
              <w:spacing w:before="0" w:after="0"/>
              <w:jc w:val="both"/>
            </w:pPr>
            <w:r>
              <w:rPr>
                <w:rFonts w:ascii="Calibri" w:hAnsi="Calibri"/>
                <w:b w:val="false"/>
                <w:i w:val="false"/>
                <w:color w:val="000000"/>
                <w:sz w:val="22"/>
              </w:rPr>
              <w:t>Joined the team to work on migrating a monolith application to the microservices environment. The main challenge here was to identify all the functionalities that could be “easily” decoupled from the old software and be smaller services like for example email sending and data integration. Another main point to pay close attention to was the restriction to maintain all the contracts in the endpoints because we already had another front-end application consuming those. The idea was to just rewrite the backend.</w:t>
            </w:r>
          </w:p>
          <w:p>
            <w:pPr>
              <w:numPr>
                <w:ilvl w:val="0"/>
                <w:numId w:val="3"/>
              </w:numPr>
              <w:spacing w:before="0" w:after="0"/>
              <w:jc w:val="both"/>
            </w:pPr>
            <w:r>
              <w:rPr>
                <w:rFonts w:ascii="Calibri" w:hAnsi="Calibri"/>
                <w:b w:val="false"/>
                <w:i w:val="false"/>
                <w:color w:val="000000"/>
                <w:sz w:val="22"/>
              </w:rPr>
              <w:t>After a few months, we could do the first release of the main application and a couple of satellite services, in this release the front end was consuming both backends due to the huge amount of endpoints to migrate.</w:t>
            </w:r>
          </w:p>
          <w:p>
            <w:pPr>
              <w:numPr>
                <w:ilvl w:val="0"/>
                <w:numId w:val="3"/>
              </w:numPr>
              <w:spacing w:before="0" w:after="0"/>
              <w:jc w:val="both"/>
            </w:pPr>
            <w:r>
              <w:rPr>
                <w:rFonts w:ascii="Calibri" w:hAnsi="Calibri"/>
                <w:b w:val="false"/>
                <w:i w:val="false"/>
                <w:color w:val="000000"/>
                <w:sz w:val="22"/>
              </w:rPr>
              <w:t>While the migration was in execution we introduced new good practices like proper use of git-flow, metrics, and a better workflow, like working more as a team doing planning, code review, and ELK pipeline for logging. After this migration, we delivered a system with a much more flexible architecture and better practices were in place in the team.</w:t>
            </w:r>
          </w:p>
          <w:p>
            <w:pPr>
              <w:spacing w:before="269" w:after="269"/>
              <w:ind w:left="0"/>
              <w:jc w:val="both"/>
            </w:pPr>
            <w:r>
              <w:rPr>
                <w:rFonts w:ascii="Calibri" w:hAnsi="Calibri"/>
                <w:b/>
                <w:i w:val="false"/>
                <w:color w:val="000000"/>
                <w:sz w:val="22"/>
              </w:rPr>
              <w:t>The general objective of the Programme is to support, through lifelong learning, the educational, professional, and personal development of people in education, training, youth, and sport, in Europe and beyond( July 2021 - March 2022)</w:t>
            </w:r>
          </w:p>
          <w:p>
            <w:pPr>
              <w:numPr>
                <w:ilvl w:val="0"/>
                <w:numId w:val="4"/>
              </w:numPr>
              <w:spacing w:before="0" w:after="0"/>
              <w:jc w:val="both"/>
            </w:pPr>
            <w:r>
              <w:rPr>
                <w:rFonts w:ascii="Calibri" w:hAnsi="Calibri"/>
                <w:b w:val="false"/>
                <w:i w:val="false"/>
                <w:color w:val="000000"/>
                <w:sz w:val="22"/>
              </w:rPr>
              <w:t xml:space="preserve"> After we finish the migration we were given a mission to start the development of a new tool much similar to the last one, but this time we had an opportunity to start from scratch and apply modern techniques and tools.</w:t>
            </w:r>
          </w:p>
        </w:tc>
      </w:tr>
    </w:tbl>
    <w:br/>
    <w:p>
      <w:pPr>
        <w:jc w:val="left"/>
      </w:pPr>
      <w:r>
        <w:rPr>
          <w:b/>
          <w:sz w:val="22"/>
          <w:szCs w:val="22"/>
        </w:rPr>
        <w:t xml:space="preserve">Skills: </w:t>
      </w:r>
      <w:r>
        <w:rPr>
          <w:sz w:val="22"/>
          <w:szCs w:val="22"/>
        </w:rPr>
        <w:t xml:space="preserve">Bootstrap, Confluence, Docker, ElasticSearch, Grafana, Jira, Kibana, SQL, SpringBoot</w:t>
      </w:r>
    </w:p>
    <w:br/>
    <w:p>
      <w:pPr>
        <w:jc w:val="left"/>
      </w:pPr>
      <w:r>
        <w:tab/>
      </w:r>
      <w:r>
        <w:rPr>
          <w:b/>
          <w:sz w:val="22"/>
          <w:szCs w:val="22"/>
        </w:rPr>
        <w:t xml:space="preserve">PagSeguro</w:t>
      </w:r>
      <w:r>
        <w:rPr>
          <w:sz w:val="22"/>
          <w:szCs w:val="22"/>
        </w:rPr>
        <w:t xml:space="preserve"> - BR</w:t>
      </w:r>
      <w:br/>
      <w:r>
        <w:tab/>
      </w:r>
      <w:r>
        <w:rPr>
          <w:b/>
          <w:sz w:val="22"/>
          <w:szCs w:val="22"/>
        </w:rPr>
        <w:t xml:space="preserve">Java Software Engineer</w:t>
      </w:r>
      <w:r>
        <w:rPr>
          <w:sz w:val="22"/>
          <w:szCs w:val="22"/>
        </w:rPr>
        <w:t xml:space="preserve"> (Jan/2018 - Aug/2019)</w:t>
      </w:r>
    </w:p>
    <w:tbl>
      <w:tblPr>
        <w:tblW w:w="0" w:type="auto"/>
        <w:tblCellSpacing w:w="0" w:type="dxa"/>
        <w:tblBorders>
          <w:top w:val="none"/>
          <w:left w:val="none"/>
          <w:bottom w:val="none"/>
          <w:right w:val="none"/>
          <w:insideH w:val="none"/>
          <w:insideV w:val="none"/>
        </w:tblBorders>
      </w:tblPr>
      <w:tblGrid>
        <w:gridCol w:w="13954"/>
      </w:tblGrid>
      <w:tr>
        <w:trPr>
          <w:trHeight w:val="7005" w:hRule="atLeast"/>
        </w:trPr>
        <w:tc>
          <w:tcPr>
            <w:tcW w:w="13954" w:type="dxa"/>
            <w:tcBorders/>
            <w:tcMar>
              <w:top w:w="15" w:type="dxa"/>
              <w:left w:w="15" w:type="dxa"/>
              <w:bottom w:w="15" w:type="dxa"/>
              <w:right w:w="15" w:type="dxa"/>
            </w:tcMar>
          </w:tcPr>
          <w:p>
            <w:pPr>
              <w:spacing w:before="269" w:after="269"/>
              <w:ind w:left="0"/>
              <w:jc w:val="both"/>
            </w:pPr>
            <w:r>
              <w:rPr>
                <w:rFonts w:ascii="Calibri" w:hAnsi="Calibri"/>
                <w:b/>
                <w:i w:val="false"/>
                <w:color w:val="000000"/>
                <w:sz w:val="22"/>
              </w:rPr>
              <w:t>PagSeguro is an online or mobile payment-based e-commerce service for commercial operations. PagSeguro is part of Universo Online (UOL group) which, according to Ibope Nielsen Online, is Brazil's largest internet portal</w:t>
            </w:r>
          </w:p>
          <w:p>
            <w:pPr>
              <w:numPr>
                <w:ilvl w:val="0"/>
                <w:numId w:val="5"/>
              </w:numPr>
              <w:spacing w:before="0" w:after="0"/>
              <w:jc w:val="both"/>
            </w:pPr>
            <w:r>
              <w:rPr>
                <w:rFonts w:ascii="Calibri" w:hAnsi="Calibri"/>
                <w:b w:val="false"/>
                <w:i w:val="false"/>
                <w:color w:val="000000"/>
                <w:sz w:val="22"/>
              </w:rPr>
              <w:t>Joined the team for the prevention of laundry money, our mission is to gather all critical data to feed the third-party system that generates a report and give us the information if any user is trying to do illegal acts in the platform.</w:t>
            </w:r>
          </w:p>
          <w:p>
            <w:pPr>
              <w:numPr>
                <w:ilvl w:val="0"/>
                <w:numId w:val="5"/>
              </w:numPr>
              <w:spacing w:before="0" w:after="0"/>
              <w:jc w:val="both"/>
            </w:pPr>
            <w:r>
              <w:rPr>
                <w:rFonts w:ascii="Calibri" w:hAnsi="Calibri"/>
                <w:b w:val="false"/>
                <w:i w:val="false"/>
                <w:color w:val="000000"/>
                <w:sz w:val="22"/>
              </w:rPr>
              <w:t>Our routine was to analyze the layout of the documents required by the system and search the data in all our databases and Kafka topics, and occasionally we had to have meetings with the vendor to fine-tune the system.</w:t>
            </w:r>
          </w:p>
          <w:p>
            <w:pPr>
              <w:numPr>
                <w:ilvl w:val="0"/>
                <w:numId w:val="5"/>
              </w:numPr>
              <w:spacing w:before="0" w:after="0"/>
              <w:jc w:val="both"/>
            </w:pPr>
            <w:r>
              <w:rPr>
                <w:rFonts w:ascii="Calibri" w:hAnsi="Calibri"/>
                <w:b w:val="false"/>
                <w:i w:val="false"/>
                <w:color w:val="000000"/>
                <w:sz w:val="22"/>
              </w:rPr>
              <w:t>I was moved to another team to help build a tool to calculate the tax return that the company (DIRF) needs to make available to customers, when I joined the team the problem we had was that the current tool was taking longer and longer to finish and would soon become impossible to deliver on time.</w:t>
            </w:r>
          </w:p>
          <w:p>
            <w:pPr>
              <w:numPr>
                <w:ilvl w:val="0"/>
                <w:numId w:val="5"/>
              </w:numPr>
              <w:spacing w:before="0" w:after="0"/>
              <w:jc w:val="both"/>
            </w:pPr>
            <w:r>
              <w:rPr>
                <w:rFonts w:ascii="Calibri" w:hAnsi="Calibri"/>
                <w:b w:val="false"/>
                <w:i w:val="false"/>
                <w:color w:val="000000"/>
                <w:sz w:val="22"/>
              </w:rPr>
              <w:t>The design of this tool was challenging because we had multiple data sources(DB +Kafka) with millions of records to query and we could not lose any records, another functional requirement was that this tool could not have any scalability issues because every year the database was growing linearly.</w:t>
            </w:r>
          </w:p>
          <w:p>
            <w:pPr>
              <w:numPr>
                <w:ilvl w:val="0"/>
                <w:numId w:val="5"/>
              </w:numPr>
              <w:spacing w:before="0" w:after="0"/>
              <w:jc w:val="both"/>
            </w:pPr>
            <w:r>
              <w:rPr>
                <w:rFonts w:ascii="Calibri" w:hAnsi="Calibri"/>
                <w:b w:val="false"/>
                <w:i w:val="false"/>
                <w:color w:val="000000"/>
                <w:sz w:val="22"/>
              </w:rPr>
              <w:t>Moved to another team to build a tool to do the tax return calculation of the clients and our own company, we designed this new tool to work only on AWS exporting the data to S3 and performing the calculation with AWS lambda/step functions and Apache spark</w:t>
            </w:r>
          </w:p>
          <w:p>
            <w:pPr>
              <w:numPr>
                <w:ilvl w:val="0"/>
                <w:numId w:val="5"/>
              </w:numPr>
              <w:spacing w:before="0" w:after="0"/>
              <w:jc w:val="both"/>
            </w:pPr>
            <w:r>
              <w:rPr>
                <w:rFonts w:ascii="Calibri" w:hAnsi="Calibri"/>
                <w:b w:val="false"/>
                <w:i w:val="false"/>
                <w:color w:val="000000"/>
                <w:sz w:val="22"/>
              </w:rPr>
              <w:t>After a few months, we were able to migrate from a monolithic structure to a cloud structure, with this new tool we were able to reduce the processing time that was once a month to less than a week.</w:t>
            </w:r>
          </w:p>
          <w:p>
            <w:pPr>
              <w:numPr>
                <w:ilvl w:val="0"/>
                <w:numId w:val="5"/>
              </w:numPr>
              <w:spacing w:before="0" w:after="0"/>
              <w:jc w:val="both"/>
            </w:pPr>
            <w:r>
              <w:rPr>
                <w:rFonts w:ascii="Calibri" w:hAnsi="Calibri"/>
                <w:b w:val="false"/>
                <w:i w:val="false"/>
                <w:color w:val="000000"/>
                <w:sz w:val="22"/>
              </w:rPr>
              <w:t>Maintaining legacy systems before complete cloud migration was also part of our activities.</w:t>
            </w:r>
          </w:p>
        </w:tc>
      </w:tr>
    </w:tbl>
    <w:br/>
    <w:p>
      <w:pPr>
        <w:jc w:val="left"/>
      </w:pPr>
      <w:r>
        <w:rPr>
          <w:b/>
          <w:sz w:val="22"/>
          <w:szCs w:val="22"/>
        </w:rPr>
        <w:t xml:space="preserve">Skills: </w:t>
      </w:r>
      <w:r>
        <w:rPr>
          <w:sz w:val="22"/>
          <w:szCs w:val="22"/>
        </w:rPr>
        <w:t xml:space="preserve">Agile, ElasticSearch, Java8, Jira, SQL, SpringBoot</w:t>
      </w:r>
    </w:p>
    <w:br/>
    <w:p>
      <w:pPr>
        <w:jc w:val="left"/>
      </w:pPr>
      <w:r>
        <w:tab/>
      </w:r>
      <w:r>
        <w:rPr>
          <w:b/>
          <w:sz w:val="22"/>
          <w:szCs w:val="22"/>
        </w:rPr>
        <w:t xml:space="preserve">Intelesense(www.intelesense.net)</w:t>
      </w:r>
      <w:r>
        <w:rPr>
          <w:sz w:val="22"/>
          <w:szCs w:val="22"/>
        </w:rPr>
        <w:t xml:space="preserve"> - BR</w:t>
      </w:r>
      <w:br/>
      <w:r>
        <w:tab/>
      </w:r>
      <w:r>
        <w:rPr>
          <w:b/>
          <w:sz w:val="22"/>
          <w:szCs w:val="22"/>
        </w:rPr>
        <w:t xml:space="preserve">Java Software Engineer</w:t>
      </w:r>
      <w:r>
        <w:rPr>
          <w:sz w:val="22"/>
          <w:szCs w:val="22"/>
        </w:rPr>
        <w:t xml:space="preserve"> (Jun/2015 - Nov/2017)</w:t>
      </w:r>
    </w:p>
    <w:tbl>
      <w:tblPr>
        <w:tblW w:w="0" w:type="auto"/>
        <w:tblCellSpacing w:w="0" w:type="dxa"/>
        <w:tblBorders>
          <w:top w:val="none"/>
          <w:left w:val="none"/>
          <w:bottom w:val="none"/>
          <w:right w:val="none"/>
          <w:insideH w:val="none"/>
          <w:insideV w:val="none"/>
        </w:tblBorders>
      </w:tblPr>
      <w:tblGrid>
        <w:gridCol w:w="13954"/>
      </w:tblGrid>
      <w:tr>
        <w:trPr>
          <w:trHeight w:val="5670" w:hRule="atLeast"/>
        </w:trPr>
        <w:tc>
          <w:tcPr>
            <w:tcW w:w="13954" w:type="dxa"/>
            <w:tcBorders/>
            <w:tcMar>
              <w:top w:w="15" w:type="dxa"/>
              <w:left w:w="15" w:type="dxa"/>
              <w:bottom w:w="15" w:type="dxa"/>
              <w:right w:w="15" w:type="dxa"/>
            </w:tcMar>
          </w:tcPr>
          <w:p>
            <w:pPr>
              <w:spacing w:before="269" w:after="269"/>
              <w:ind w:left="0"/>
              <w:jc w:val="both"/>
            </w:pPr>
            <w:r>
              <w:rPr>
                <w:rFonts w:ascii="Calibri" w:hAnsi="Calibri"/>
                <w:b/>
                <w:i w:val="false"/>
                <w:color w:val="000000"/>
                <w:sz w:val="22"/>
              </w:rPr>
              <w:t>My first client on Toptal was Intelesense Technologies, a company created by Stanford and NASA engineers to provide a comprehensive global integrated monitoring service for environmental, public health, disaster management, and other real-world impact applications. After 6 months I was invited to join the team, as an acknowledgment of my hard work, my daily activities consisted of the same as described below.</w:t>
            </w:r>
          </w:p>
          <w:p>
            <w:pPr>
              <w:numPr>
                <w:ilvl w:val="0"/>
                <w:numId w:val="6"/>
              </w:numPr>
              <w:spacing w:before="0" w:after="0"/>
              <w:jc w:val="both"/>
            </w:pPr>
            <w:r>
              <w:rPr>
                <w:rFonts w:ascii="Calibri" w:hAnsi="Calibri"/>
                <w:b w:val="false"/>
                <w:i w:val="false"/>
                <w:color w:val="000000"/>
                <w:sz w:val="22"/>
              </w:rPr>
              <w:t>Participated in weekly meetings assessing the system state; this meeting was very important for maintaining communication between the team because they mostly worked remotely.</w:t>
            </w:r>
          </w:p>
          <w:p>
            <w:pPr>
              <w:numPr>
                <w:ilvl w:val="0"/>
                <w:numId w:val="6"/>
              </w:numPr>
              <w:spacing w:before="0" w:after="0"/>
              <w:jc w:val="both"/>
            </w:pPr>
            <w:r>
              <w:rPr>
                <w:rFonts w:ascii="Calibri" w:hAnsi="Calibri"/>
                <w:b w:val="false"/>
                <w:i w:val="false"/>
                <w:color w:val="000000"/>
                <w:sz w:val="22"/>
              </w:rPr>
              <w:t>Defined the new tasks for the sprint;</w:t>
            </w:r>
          </w:p>
          <w:p>
            <w:pPr>
              <w:numPr>
                <w:ilvl w:val="0"/>
                <w:numId w:val="6"/>
              </w:numPr>
              <w:spacing w:before="0" w:after="0"/>
              <w:jc w:val="both"/>
            </w:pPr>
            <w:r>
              <w:rPr>
                <w:rFonts w:ascii="Calibri" w:hAnsi="Calibri"/>
                <w:b w:val="false"/>
                <w:i w:val="false"/>
                <w:color w:val="000000"/>
                <w:sz w:val="22"/>
              </w:rPr>
              <w:t>Defined new patterns of development</w:t>
            </w:r>
          </w:p>
          <w:p>
            <w:pPr>
              <w:numPr>
                <w:ilvl w:val="0"/>
                <w:numId w:val="6"/>
              </w:numPr>
              <w:spacing w:before="0" w:after="0"/>
              <w:jc w:val="both"/>
            </w:pPr>
            <w:r>
              <w:rPr>
                <w:rFonts w:ascii="Calibri" w:hAnsi="Calibri"/>
                <w:b w:val="false"/>
                <w:i w:val="false"/>
                <w:color w:val="000000"/>
                <w:sz w:val="22"/>
              </w:rPr>
              <w:t>Designed new features to be implemented in the portal.</w:t>
            </w:r>
          </w:p>
          <w:p>
            <w:pPr>
              <w:numPr>
                <w:ilvl w:val="0"/>
                <w:numId w:val="6"/>
              </w:numPr>
              <w:spacing w:before="0" w:after="0"/>
              <w:jc w:val="both"/>
            </w:pPr>
            <w:r>
              <w:rPr>
                <w:rFonts w:ascii="Calibri" w:hAnsi="Calibri"/>
                <w:b w:val="false"/>
                <w:i w:val="false"/>
                <w:color w:val="000000"/>
                <w:sz w:val="22"/>
              </w:rPr>
              <w:t>Wrote new widgets/directives, fixing bugs, and occasionally QA; all activities were described on Jira and submitted for a code review after finished.</w:t>
            </w:r>
          </w:p>
          <w:p>
            <w:pPr>
              <w:numPr>
                <w:ilvl w:val="0"/>
                <w:numId w:val="6"/>
              </w:numPr>
              <w:spacing w:before="0" w:after="0"/>
              <w:jc w:val="both"/>
            </w:pPr>
            <w:r>
              <w:rPr>
                <w:rFonts w:ascii="Calibri" w:hAnsi="Calibri"/>
                <w:b w:val="false"/>
                <w:i w:val="false"/>
                <w:color w:val="000000"/>
                <w:sz w:val="22"/>
              </w:rPr>
              <w:t>Worked in the Java backend to support new features, as they had a lot of traffic they need to cache key data in memory to speed up the performance.</w:t>
            </w:r>
          </w:p>
          <w:p>
            <w:pPr>
              <w:numPr>
                <w:ilvl w:val="0"/>
                <w:numId w:val="6"/>
              </w:numPr>
              <w:spacing w:before="0" w:after="0"/>
              <w:jc w:val="both"/>
            </w:pPr>
            <w:r>
              <w:rPr>
                <w:rFonts w:ascii="Calibri" w:hAnsi="Calibri"/>
                <w:b w:val="false"/>
                <w:i w:val="false"/>
                <w:color w:val="000000"/>
                <w:sz w:val="22"/>
              </w:rPr>
              <w:t>Used static HashTable in the repository object and checked if the data was in the cache, if not they updated the cache.</w:t>
            </w:r>
          </w:p>
          <w:p>
            <w:pPr>
              <w:numPr>
                <w:ilvl w:val="0"/>
                <w:numId w:val="6"/>
              </w:numPr>
              <w:spacing w:before="0" w:after="0"/>
              <w:jc w:val="both"/>
            </w:pPr>
            <w:r>
              <w:rPr>
                <w:rFonts w:ascii="Calibri" w:hAnsi="Calibri"/>
                <w:b w:val="false"/>
                <w:i w:val="false"/>
                <w:color w:val="000000"/>
                <w:sz w:val="22"/>
              </w:rPr>
              <w:t>Improved and fixed the existing features ones do some code review, code quality is a daily concern in the system.</w:t>
            </w:r>
          </w:p>
        </w:tc>
      </w:tr>
    </w:tbl>
    <w:br/>
    <w:p>
      <w:pPr>
        <w:jc w:val="left"/>
      </w:pPr>
      <w:r>
        <w:rPr>
          <w:b/>
          <w:sz w:val="22"/>
          <w:szCs w:val="22"/>
        </w:rPr>
        <w:t xml:space="preserve">Skills: </w:t>
      </w:r>
      <w:r>
        <w:rPr>
          <w:sz w:val="22"/>
          <w:szCs w:val="22"/>
        </w:rPr>
        <w:t xml:space="preserve">AWS-EC2., Agile, Angular1.5, Bower, ElasticSearch, Grunt, HTML, Java8, Jira, NodeJS, SQL, SpringBoot, Tomcat</w:t>
      </w:r>
    </w:p>
    <w:br/>
    <w:sectPr>
      <w:pgSz w:w="11907" w:h="16839" w:code="9"/>
      <w:pgMar w:top="720" w:right="720" w:bottom="720" w:left="72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