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8"/>
        </w:rPr>
        <w:t>IaC Demo Resource Cost Printout</w:t>
      </w:r>
    </w:p>
    <w:p>
      <w:pPr>
        <w:spacing w:after="280"/>
      </w:pPr>
      <w:r>
        <w:rPr>
          <w:rFonts w:ascii="Calibri" w:hAnsi="Calibri"/>
          <w:b w:val="0"/>
          <w:color w:val="2E74B5"/>
          <w:sz w:val="30"/>
        </w:rPr>
        <w:t>Estimated average cost for one complete running hour</w:t>
      </w:r>
    </w:p>
    <w:p>
      <w:pPr>
        <w:spacing w:before="0" w:after="120" w:line="264" w:lineRule="auto"/>
      </w:pPr>
      <w:r>
        <w:rPr>
          <w:rFonts w:ascii="Calibri" w:hAnsi="Calibri"/>
          <w:b w:val="0"/>
          <w:color w:val="222222"/>
          <w:sz w:val="22"/>
        </w:rPr>
        <w:t>Scope: Azure resources defined in the Demo-IaC repository. Levels are cumulative: L2 includes L1, L3 includes the earlier foundation, and L4 adds the second-region and global-access components.</w:t>
      </w:r>
    </w:p>
    <w:p>
      <w:pPr>
        <w:pStyle w:val="Heading1"/>
      </w:pPr>
      <w:r>
        <w:rPr>
          <w:rFonts w:ascii="Calibri" w:hAnsi="Calibri"/>
          <w:b/>
          <w:color w:val="2E74B5"/>
          <w:sz w:val="32"/>
        </w:rPr>
        <w:t>Executive summary</w:t>
      </w:r>
    </w:p>
    <w:tbl>
      <w:tblPr>
        <w:tblW w:type="auto" w:w="0"/>
        <w:jc w:val="left"/>
        <w:tblLayout w:type="fixed"/>
        <w:tblLook w:firstColumn="1" w:firstRow="1" w:lastColumn="0" w:lastRow="0" w:noHBand="0" w:noVBand="1" w:val="04A0"/>
      </w:tblPr>
      <w:tblGrid>
        <w:gridCol w:w="3120"/>
        <w:gridCol w:w="3120"/>
        <w:gridCol w:w="3120"/>
      </w:tblGrid>
      <w:tr>
        <w:tc>
          <w:tcPr>
            <w:tcW w:type="dxa" w:w="2376"/>
            <w:vAlign w:val="center"/>
            <w:tcMar>
              <w:top w:w="100" w:type="dxa"/>
              <w:start w:w="120" w:type="dxa"/>
              <w:bottom w:w="100" w:type="dxa"/>
              <w:end w:w="120" w:type="dxa"/>
            </w:tcMar>
            <w:shd w:fill="E8EEF5"/>
          </w:tcPr>
          <w:p>
            <w:pPr>
              <w:spacing w:after="0"/>
            </w:pPr>
            <w:r>
              <w:rPr>
                <w:rFonts w:ascii="Calibri" w:hAnsi="Calibri"/>
                <w:b/>
                <w:color w:val="1F4D78"/>
                <w:sz w:val="19"/>
              </w:rPr>
              <w:t>Level</w:t>
            </w:r>
          </w:p>
        </w:tc>
        <w:tc>
          <w:tcPr>
            <w:tcW w:type="dxa" w:w="3240"/>
            <w:vAlign w:val="center"/>
            <w:tcMar>
              <w:top w:w="100" w:type="dxa"/>
              <w:start w:w="120" w:type="dxa"/>
              <w:bottom w:w="100" w:type="dxa"/>
              <w:end w:w="120" w:type="dxa"/>
            </w:tcMar>
            <w:shd w:fill="E8EEF5"/>
          </w:tcPr>
          <w:p>
            <w:pPr>
              <w:spacing w:after="0"/>
            </w:pPr>
            <w:r>
              <w:rPr>
                <w:rFonts w:ascii="Calibri" w:hAnsi="Calibri"/>
                <w:b/>
                <w:color w:val="1F4D78"/>
                <w:sz w:val="19"/>
              </w:rPr>
              <w:t>Incremental cost added by level</w:t>
            </w:r>
          </w:p>
        </w:tc>
        <w:tc>
          <w:tcPr>
            <w:tcW w:type="dxa" w:w="3744"/>
            <w:vAlign w:val="center"/>
            <w:tcMar>
              <w:top w:w="100" w:type="dxa"/>
              <w:start w:w="120" w:type="dxa"/>
              <w:bottom w:w="100" w:type="dxa"/>
              <w:end w:w="120" w:type="dxa"/>
            </w:tcMar>
            <w:shd w:fill="E8EEF5"/>
          </w:tcPr>
          <w:p>
            <w:pPr>
              <w:spacing w:after="0"/>
            </w:pPr>
            <w:r>
              <w:rPr>
                <w:rFonts w:ascii="Calibri" w:hAnsi="Calibri"/>
                <w:b/>
                <w:color w:val="1F4D78"/>
                <w:sz w:val="19"/>
              </w:rPr>
              <w:t>Estimated total cost for one hour</w:t>
            </w:r>
          </w:p>
        </w:tc>
      </w:tr>
      <w:tr>
        <w:tc>
          <w:tcPr>
            <w:tcW w:type="dxa" w:w="2376"/>
            <w:vAlign w:val="center"/>
            <w:tcMar>
              <w:top w:w="100" w:type="dxa"/>
              <w:start w:w="120" w:type="dxa"/>
              <w:bottom w:w="100" w:type="dxa"/>
              <w:end w:w="120" w:type="dxa"/>
            </w:tcMar>
          </w:tcPr>
          <w:p>
            <w:pPr>
              <w:spacing w:after="0" w:line="240" w:lineRule="auto"/>
            </w:pPr>
            <w:r>
              <w:rPr>
                <w:rFonts w:ascii="Calibri" w:hAnsi="Calibri"/>
                <w:b w:val="0"/>
                <w:color w:val="222222"/>
                <w:sz w:val="19"/>
              </w:rPr>
              <w:t>L1 - Hub and spoke</w:t>
            </w:r>
          </w:p>
        </w:tc>
        <w:tc>
          <w:tcPr>
            <w:tcW w:type="dxa" w:w="3240"/>
            <w:vAlign w:val="center"/>
            <w:tcMar>
              <w:top w:w="100" w:type="dxa"/>
              <w:start w:w="120" w:type="dxa"/>
              <w:bottom w:w="100" w:type="dxa"/>
              <w:end w:w="120" w:type="dxa"/>
            </w:tcMar>
          </w:tcPr>
          <w:p>
            <w:pPr>
              <w:spacing w:after="0" w:line="240" w:lineRule="auto"/>
            </w:pPr>
            <w:r>
              <w:rPr>
                <w:rFonts w:ascii="Calibri" w:hAnsi="Calibri"/>
                <w:b w:val="0"/>
                <w:color w:val="222222"/>
                <w:sz w:val="19"/>
              </w:rPr>
              <w:t>$0.25/hr</w:t>
            </w:r>
          </w:p>
        </w:tc>
        <w:tc>
          <w:tcPr>
            <w:tcW w:type="dxa" w:w="3744"/>
            <w:vAlign w:val="center"/>
            <w:tcMar>
              <w:top w:w="100" w:type="dxa"/>
              <w:start w:w="120" w:type="dxa"/>
              <w:bottom w:w="100" w:type="dxa"/>
              <w:end w:w="120" w:type="dxa"/>
            </w:tcMar>
          </w:tcPr>
          <w:p>
            <w:pPr>
              <w:spacing w:after="0" w:line="240" w:lineRule="auto"/>
            </w:pPr>
            <w:r>
              <w:rPr>
                <w:rFonts w:ascii="Calibri" w:hAnsi="Calibri"/>
                <w:b w:val="0"/>
                <w:color w:val="222222"/>
                <w:sz w:val="19"/>
              </w:rPr>
              <w:t>$0.25/hr</w:t>
            </w:r>
          </w:p>
        </w:tc>
      </w:tr>
      <w:tr>
        <w:tc>
          <w:tcPr>
            <w:tcW w:type="dxa" w:w="2376"/>
            <w:vAlign w:val="center"/>
            <w:tcMar>
              <w:top w:w="100" w:type="dxa"/>
              <w:start w:w="120" w:type="dxa"/>
              <w:bottom w:w="100" w:type="dxa"/>
              <w:end w:w="120" w:type="dxa"/>
            </w:tcMar>
          </w:tcPr>
          <w:p>
            <w:pPr>
              <w:spacing w:after="0" w:line="240" w:lineRule="auto"/>
            </w:pPr>
            <w:r>
              <w:rPr>
                <w:rFonts w:ascii="Calibri" w:hAnsi="Calibri"/>
                <w:b w:val="0"/>
                <w:color w:val="222222"/>
                <w:sz w:val="19"/>
              </w:rPr>
              <w:t>L2 - Web tier and firewall</w:t>
            </w:r>
          </w:p>
        </w:tc>
        <w:tc>
          <w:tcPr>
            <w:tcW w:type="dxa" w:w="3240"/>
            <w:vAlign w:val="center"/>
            <w:tcMar>
              <w:top w:w="100" w:type="dxa"/>
              <w:start w:w="120" w:type="dxa"/>
              <w:bottom w:w="100" w:type="dxa"/>
              <w:end w:w="120" w:type="dxa"/>
            </w:tcMar>
          </w:tcPr>
          <w:p>
            <w:pPr>
              <w:spacing w:after="0" w:line="240" w:lineRule="auto"/>
            </w:pPr>
            <w:r>
              <w:rPr>
                <w:rFonts w:ascii="Calibri" w:hAnsi="Calibri"/>
                <w:b w:val="0"/>
                <w:color w:val="222222"/>
                <w:sz w:val="19"/>
              </w:rPr>
              <w:t>$0.57/hr</w:t>
            </w:r>
          </w:p>
        </w:tc>
        <w:tc>
          <w:tcPr>
            <w:tcW w:type="dxa" w:w="3744"/>
            <w:vAlign w:val="center"/>
            <w:tcMar>
              <w:top w:w="100" w:type="dxa"/>
              <w:start w:w="120" w:type="dxa"/>
              <w:bottom w:w="100" w:type="dxa"/>
              <w:end w:w="120" w:type="dxa"/>
            </w:tcMar>
          </w:tcPr>
          <w:p>
            <w:pPr>
              <w:spacing w:after="0" w:line="240" w:lineRule="auto"/>
            </w:pPr>
            <w:r>
              <w:rPr>
                <w:rFonts w:ascii="Calibri" w:hAnsi="Calibri"/>
                <w:b w:val="0"/>
                <w:color w:val="222222"/>
                <w:sz w:val="19"/>
              </w:rPr>
              <w:t>$0.82/hr</w:t>
            </w:r>
          </w:p>
        </w:tc>
      </w:tr>
      <w:tr>
        <w:tc>
          <w:tcPr>
            <w:tcW w:type="dxa" w:w="2376"/>
            <w:vAlign w:val="center"/>
            <w:tcMar>
              <w:top w:w="100" w:type="dxa"/>
              <w:start w:w="120" w:type="dxa"/>
              <w:bottom w:w="100" w:type="dxa"/>
              <w:end w:w="120" w:type="dxa"/>
            </w:tcMar>
          </w:tcPr>
          <w:p>
            <w:pPr>
              <w:spacing w:after="0" w:line="240" w:lineRule="auto"/>
            </w:pPr>
            <w:r>
              <w:rPr>
                <w:rFonts w:ascii="Calibri" w:hAnsi="Calibri"/>
                <w:b w:val="0"/>
                <w:color w:val="222222"/>
                <w:sz w:val="19"/>
              </w:rPr>
              <w:t>L3 - Containers and data</w:t>
            </w:r>
          </w:p>
        </w:tc>
        <w:tc>
          <w:tcPr>
            <w:tcW w:type="dxa" w:w="3240"/>
            <w:vAlign w:val="center"/>
            <w:tcMar>
              <w:top w:w="100" w:type="dxa"/>
              <w:start w:w="120" w:type="dxa"/>
              <w:bottom w:w="100" w:type="dxa"/>
              <w:end w:w="120" w:type="dxa"/>
            </w:tcMar>
          </w:tcPr>
          <w:p>
            <w:pPr>
              <w:spacing w:after="0" w:line="240" w:lineRule="auto"/>
            </w:pPr>
            <w:r>
              <w:rPr>
                <w:rFonts w:ascii="Calibri" w:hAnsi="Calibri"/>
                <w:b w:val="0"/>
                <w:color w:val="222222"/>
                <w:sz w:val="19"/>
              </w:rPr>
              <w:t>$0.08/hr</w:t>
            </w:r>
          </w:p>
        </w:tc>
        <w:tc>
          <w:tcPr>
            <w:tcW w:type="dxa" w:w="3744"/>
            <w:vAlign w:val="center"/>
            <w:tcMar>
              <w:top w:w="100" w:type="dxa"/>
              <w:start w:w="120" w:type="dxa"/>
              <w:bottom w:w="100" w:type="dxa"/>
              <w:end w:w="120" w:type="dxa"/>
            </w:tcMar>
          </w:tcPr>
          <w:p>
            <w:pPr>
              <w:spacing w:after="0" w:line="240" w:lineRule="auto"/>
            </w:pPr>
            <w:r>
              <w:rPr>
                <w:rFonts w:ascii="Calibri" w:hAnsi="Calibri"/>
                <w:b w:val="0"/>
                <w:color w:val="222222"/>
                <w:sz w:val="19"/>
              </w:rPr>
              <w:t>$0.90/hr</w:t>
            </w:r>
          </w:p>
        </w:tc>
      </w:tr>
      <w:tr>
        <w:tc>
          <w:tcPr>
            <w:tcW w:type="dxa" w:w="2376"/>
            <w:vAlign w:val="center"/>
            <w:tcMar>
              <w:top w:w="100" w:type="dxa"/>
              <w:start w:w="120" w:type="dxa"/>
              <w:bottom w:w="100" w:type="dxa"/>
              <w:end w:w="120" w:type="dxa"/>
            </w:tcMar>
          </w:tcPr>
          <w:p>
            <w:pPr>
              <w:spacing w:after="0" w:line="240" w:lineRule="auto"/>
            </w:pPr>
            <w:r>
              <w:rPr>
                <w:rFonts w:ascii="Calibri" w:hAnsi="Calibri"/>
                <w:b w:val="0"/>
                <w:color w:val="222222"/>
                <w:sz w:val="19"/>
              </w:rPr>
              <w:t>L4 - Global scale</w:t>
            </w:r>
          </w:p>
        </w:tc>
        <w:tc>
          <w:tcPr>
            <w:tcW w:type="dxa" w:w="3240"/>
            <w:vAlign w:val="center"/>
            <w:tcMar>
              <w:top w:w="100" w:type="dxa"/>
              <w:start w:w="120" w:type="dxa"/>
              <w:bottom w:w="100" w:type="dxa"/>
              <w:end w:w="120" w:type="dxa"/>
            </w:tcMar>
          </w:tcPr>
          <w:p>
            <w:pPr>
              <w:spacing w:after="0" w:line="240" w:lineRule="auto"/>
            </w:pPr>
            <w:r>
              <w:rPr>
                <w:rFonts w:ascii="Calibri" w:hAnsi="Calibri"/>
                <w:b w:val="0"/>
                <w:color w:val="222222"/>
                <w:sz w:val="19"/>
              </w:rPr>
              <w:t>$0.06/hr</w:t>
            </w:r>
          </w:p>
        </w:tc>
        <w:tc>
          <w:tcPr>
            <w:tcW w:type="dxa" w:w="3744"/>
            <w:vAlign w:val="center"/>
            <w:tcMar>
              <w:top w:w="100" w:type="dxa"/>
              <w:start w:w="120" w:type="dxa"/>
              <w:bottom w:w="100" w:type="dxa"/>
              <w:end w:w="120" w:type="dxa"/>
            </w:tcMar>
          </w:tcPr>
          <w:p>
            <w:pPr>
              <w:spacing w:after="0" w:line="240" w:lineRule="auto"/>
            </w:pPr>
            <w:r>
              <w:rPr>
                <w:rFonts w:ascii="Calibri" w:hAnsi="Calibri"/>
                <w:b w:val="0"/>
                <w:color w:val="222222"/>
                <w:sz w:val="19"/>
              </w:rPr>
              <w:t>$0.96/hr</w:t>
            </w:r>
          </w:p>
        </w:tc>
      </w:tr>
    </w:tbl>
    <w:p>
      <w:pPr>
        <w:spacing w:before="0" w:after="120" w:line="264" w:lineRule="auto"/>
      </w:pPr>
      <w:r>
        <w:rPr>
          <w:rFonts w:ascii="Calibri" w:hAnsi="Calibri"/>
          <w:b w:val="0"/>
          <w:color w:val="222222"/>
          <w:sz w:val="22"/>
        </w:rPr>
        <w:t>Planning figure: approximately $1.00 for one hour with the full L4 stack running, before traffic, log ingestion, backups, or unusual data transfer. Actual billing may vary by subscription agreement, region, currency, VM price, and usage.</w:t>
      </w:r>
    </w:p>
    <w:p>
      <w:pPr>
        <w:pStyle w:val="Heading1"/>
      </w:pPr>
      <w:r>
        <w:rPr>
          <w:rFonts w:ascii="Calibri" w:hAnsi="Calibri"/>
          <w:b/>
          <w:color w:val="2E74B5"/>
          <w:sz w:val="32"/>
        </w:rPr>
        <w:t>Cost progression by level</w:t>
      </w:r>
    </w:p>
    <w:p>
      <w:pPr>
        <w:pStyle w:val="Heading2"/>
      </w:pPr>
      <w:r>
        <w:rPr>
          <w:rFonts w:ascii="Calibri" w:hAnsi="Calibri"/>
          <w:b/>
          <w:color w:val="2E74B5"/>
          <w:sz w:val="26"/>
        </w:rPr>
        <w:t>L1 - Hub and spoke | approximately $0.25 per hour</w:t>
      </w:r>
    </w:p>
    <w:p>
      <w:pPr>
        <w:spacing w:before="0" w:after="120" w:line="264" w:lineRule="auto"/>
      </w:pPr>
      <w:r>
        <w:rPr>
          <w:rFonts w:ascii="Calibri" w:hAnsi="Calibri"/>
          <w:b w:val="0"/>
          <w:color w:val="222222"/>
          <w:sz w:val="22"/>
        </w:rPr>
        <w:t>L1 contains one Standard_B2s Linux VM, one Basic Bastion host, a Standard public IP used by Bastion, and two virtual networks with peering. VNets and NSGs are generally not hourly charges. The VM and Bastion are the main always-on costs.</w:t>
      </w:r>
    </w:p>
    <w:p>
      <w:pPr>
        <w:pStyle w:val="Heading2"/>
      </w:pPr>
      <w:r>
        <w:rPr>
          <w:rFonts w:ascii="Calibri" w:hAnsi="Calibri"/>
          <w:b/>
          <w:color w:val="2E74B5"/>
          <w:sz w:val="26"/>
        </w:rPr>
        <w:t>L2 - Web tier and firewall | approximately $0.82 per hour total</w:t>
      </w:r>
    </w:p>
    <w:p>
      <w:pPr>
        <w:spacing w:before="0" w:after="120" w:line="264" w:lineRule="auto"/>
      </w:pPr>
      <w:r>
        <w:rPr>
          <w:rFonts w:ascii="Calibri" w:hAnsi="Calibri"/>
          <w:b w:val="0"/>
          <w:color w:val="222222"/>
          <w:sz w:val="22"/>
        </w:rPr>
        <w:t>L2 retains L1 and adds three Standard_B2s Linux VMs, three operating-system disks, an internal Standard Load Balancer, an Azure Firewall Standard instance, and the firewall public IP. The firewall is the dominant new cost; the three VMs are the next largest addition.</w:t>
      </w:r>
    </w:p>
    <w:p>
      <w:pPr>
        <w:pStyle w:val="Heading2"/>
      </w:pPr>
      <w:r>
        <w:rPr>
          <w:rFonts w:ascii="Calibri" w:hAnsi="Calibri"/>
          <w:b/>
          <w:color w:val="2E74B5"/>
          <w:sz w:val="26"/>
        </w:rPr>
        <w:t>L3 - Containers and data | approximately $0.90 per hour total</w:t>
      </w:r>
    </w:p>
    <w:p>
      <w:pPr>
        <w:spacing w:before="0" w:after="120" w:line="264" w:lineRule="auto"/>
      </w:pPr>
      <w:r>
        <w:rPr>
          <w:rFonts w:ascii="Calibri" w:hAnsi="Calibri"/>
          <w:b w:val="0"/>
          <w:color w:val="222222"/>
          <w:sz w:val="22"/>
        </w:rPr>
        <w:t>L3 adds a Container Apps environment and one minimum-size container replica, Azure SQL Database Basic, two private endpoints, Key Vault, private DNS, Log Analytics, Application Insights, a managed identity, and alerting. The estimate assumes very light demo traffic and negligible log ingestion.</w:t>
      </w:r>
    </w:p>
    <w:p>
      <w:pPr>
        <w:pStyle w:val="Heading2"/>
      </w:pPr>
      <w:r>
        <w:rPr>
          <w:rFonts w:ascii="Calibri" w:hAnsi="Calibri"/>
          <w:b/>
          <w:color w:val="2E74B5"/>
          <w:sz w:val="26"/>
        </w:rPr>
        <w:t>L4 - Global scale | approximately $0.96 per hour total</w:t>
      </w:r>
    </w:p>
    <w:p>
      <w:pPr>
        <w:spacing w:before="0" w:after="120" w:line="264" w:lineRule="auto"/>
      </w:pPr>
      <w:r>
        <w:rPr>
          <w:rFonts w:ascii="Calibri" w:hAnsi="Calibri"/>
          <w:b w:val="0"/>
          <w:color w:val="222222"/>
          <w:sz w:val="22"/>
        </w:rPr>
        <w:t>L4 adds a second-region Container Apps environment and one minimum-size replica, a secondary SQL server/failover configuration, and Azure Front Door Standard. Front Door has a base hourly charge; requests and data transfer are additional usage meters.</w:t>
      </w:r>
    </w:p>
    <w:p>
      <w:pPr>
        <w:pStyle w:val="Heading1"/>
      </w:pPr>
      <w:r>
        <w:rPr>
          <w:rFonts w:ascii="Calibri" w:hAnsi="Calibri"/>
          <w:b/>
          <w:color w:val="2E74B5"/>
          <w:sz w:val="32"/>
        </w:rPr>
        <w:t>Illustrative resource breakdown</w:t>
      </w:r>
    </w:p>
    <w:tbl>
      <w:tblPr>
        <w:tblW w:type="auto" w:w="0"/>
        <w:jc w:val="left"/>
        <w:tblLayout w:type="fixed"/>
        <w:tblLook w:firstColumn="1" w:firstRow="1" w:lastColumn="0" w:lastRow="0" w:noHBand="0" w:noVBand="1" w:val="04A0"/>
      </w:tblPr>
      <w:tblGrid>
        <w:gridCol w:w="3120"/>
        <w:gridCol w:w="3120"/>
        <w:gridCol w:w="3120"/>
      </w:tblGrid>
      <w:tr>
        <w:tc>
          <w:tcPr>
            <w:tcW w:type="dxa" w:w="2160"/>
            <w:vAlign w:val="center"/>
            <w:tcMar>
              <w:top w:w="100" w:type="dxa"/>
              <w:start w:w="120" w:type="dxa"/>
              <w:bottom w:w="100" w:type="dxa"/>
              <w:end w:w="120" w:type="dxa"/>
            </w:tcMar>
            <w:shd w:fill="E8EEF5"/>
          </w:tcPr>
          <w:p>
            <w:pPr>
              <w:spacing w:after="0"/>
            </w:pPr>
            <w:r>
              <w:rPr>
                <w:rFonts w:ascii="Calibri" w:hAnsi="Calibri"/>
                <w:b/>
                <w:color w:val="1F4D78"/>
                <w:sz w:val="19"/>
              </w:rPr>
              <w:t>Resource group / level</w:t>
            </w:r>
          </w:p>
        </w:tc>
        <w:tc>
          <w:tcPr>
            <w:tcW w:type="dxa" w:w="5256"/>
            <w:vAlign w:val="center"/>
            <w:tcMar>
              <w:top w:w="100" w:type="dxa"/>
              <w:start w:w="120" w:type="dxa"/>
              <w:bottom w:w="100" w:type="dxa"/>
              <w:end w:w="120" w:type="dxa"/>
            </w:tcMar>
            <w:shd w:fill="E8EEF5"/>
          </w:tcPr>
          <w:p>
            <w:pPr>
              <w:spacing w:after="0"/>
            </w:pPr>
            <w:r>
              <w:rPr>
                <w:rFonts w:ascii="Calibri" w:hAnsi="Calibri"/>
                <w:b/>
                <w:color w:val="1F4D78"/>
                <w:sz w:val="19"/>
              </w:rPr>
              <w:t>Resources counted</w:t>
            </w:r>
          </w:p>
        </w:tc>
        <w:tc>
          <w:tcPr>
            <w:tcW w:type="dxa" w:w="1944"/>
            <w:vAlign w:val="center"/>
            <w:tcMar>
              <w:top w:w="100" w:type="dxa"/>
              <w:start w:w="120" w:type="dxa"/>
              <w:bottom w:w="100" w:type="dxa"/>
              <w:end w:w="120" w:type="dxa"/>
            </w:tcMar>
            <w:shd w:fill="E8EEF5"/>
          </w:tcPr>
          <w:p>
            <w:pPr>
              <w:spacing w:after="0"/>
            </w:pPr>
            <w:r>
              <w:rPr>
                <w:rFonts w:ascii="Calibri" w:hAnsi="Calibri"/>
                <w:b/>
                <w:color w:val="1F4D78"/>
                <w:sz w:val="19"/>
              </w:rPr>
              <w:t>Approx. hourly amount</w:t>
            </w:r>
          </w:p>
        </w:tc>
      </w:tr>
      <w:tr>
        <w:tc>
          <w:tcPr>
            <w:tcW w:type="dxa" w:w="2160"/>
            <w:vAlign w:val="center"/>
            <w:tcMar>
              <w:top w:w="100" w:type="dxa"/>
              <w:start w:w="120" w:type="dxa"/>
              <w:bottom w:w="100" w:type="dxa"/>
              <w:end w:w="120" w:type="dxa"/>
            </w:tcMar>
          </w:tcPr>
          <w:p>
            <w:pPr>
              <w:spacing w:after="0" w:line="240" w:lineRule="auto"/>
            </w:pPr>
            <w:r>
              <w:rPr>
                <w:rFonts w:ascii="Calibri" w:hAnsi="Calibri"/>
                <w:b w:val="0"/>
                <w:color w:val="222222"/>
                <w:sz w:val="19"/>
              </w:rPr>
              <w:t>L1</w:t>
            </w:r>
          </w:p>
        </w:tc>
        <w:tc>
          <w:tcPr>
            <w:tcW w:type="dxa" w:w="5256"/>
            <w:vAlign w:val="center"/>
            <w:tcMar>
              <w:top w:w="100" w:type="dxa"/>
              <w:start w:w="120" w:type="dxa"/>
              <w:bottom w:w="100" w:type="dxa"/>
              <w:end w:w="120" w:type="dxa"/>
            </w:tcMar>
          </w:tcPr>
          <w:p>
            <w:pPr>
              <w:spacing w:after="0" w:line="240" w:lineRule="auto"/>
            </w:pPr>
            <w:r>
              <w:rPr>
                <w:rFonts w:ascii="Calibri" w:hAnsi="Calibri"/>
                <w:b w:val="0"/>
                <w:color w:val="222222"/>
                <w:sz w:val="19"/>
              </w:rPr>
              <w:t>1 B2s VM + disk; Basic Bastion; Bastion public IP</w:t>
            </w:r>
          </w:p>
        </w:tc>
        <w:tc>
          <w:tcPr>
            <w:tcW w:type="dxa" w:w="1944"/>
            <w:vAlign w:val="center"/>
            <w:tcMar>
              <w:top w:w="100" w:type="dxa"/>
              <w:start w:w="120" w:type="dxa"/>
              <w:bottom w:w="100" w:type="dxa"/>
              <w:end w:w="120" w:type="dxa"/>
            </w:tcMar>
          </w:tcPr>
          <w:p>
            <w:pPr>
              <w:spacing w:after="0" w:line="240" w:lineRule="auto"/>
            </w:pPr>
            <w:r>
              <w:rPr>
                <w:rFonts w:ascii="Calibri" w:hAnsi="Calibri"/>
                <w:b w:val="0"/>
                <w:color w:val="222222"/>
                <w:sz w:val="19"/>
              </w:rPr>
              <w:t>$0.25</w:t>
            </w:r>
          </w:p>
        </w:tc>
      </w:tr>
      <w:tr>
        <w:tc>
          <w:tcPr>
            <w:tcW w:type="dxa" w:w="2160"/>
            <w:vAlign w:val="center"/>
            <w:tcMar>
              <w:top w:w="100" w:type="dxa"/>
              <w:start w:w="120" w:type="dxa"/>
              <w:bottom w:w="100" w:type="dxa"/>
              <w:end w:w="120" w:type="dxa"/>
            </w:tcMar>
          </w:tcPr>
          <w:p>
            <w:pPr>
              <w:spacing w:after="0" w:line="240" w:lineRule="auto"/>
            </w:pPr>
            <w:r>
              <w:rPr>
                <w:rFonts w:ascii="Calibri" w:hAnsi="Calibri"/>
                <w:b w:val="0"/>
                <w:color w:val="222222"/>
                <w:sz w:val="19"/>
              </w:rPr>
              <w:t>L2 incremental</w:t>
            </w:r>
          </w:p>
        </w:tc>
        <w:tc>
          <w:tcPr>
            <w:tcW w:type="dxa" w:w="5256"/>
            <w:vAlign w:val="center"/>
            <w:tcMar>
              <w:top w:w="100" w:type="dxa"/>
              <w:start w:w="120" w:type="dxa"/>
              <w:bottom w:w="100" w:type="dxa"/>
              <w:end w:w="120" w:type="dxa"/>
            </w:tcMar>
          </w:tcPr>
          <w:p>
            <w:pPr>
              <w:spacing w:after="0" w:line="240" w:lineRule="auto"/>
            </w:pPr>
            <w:r>
              <w:rPr>
                <w:rFonts w:ascii="Calibri" w:hAnsi="Calibri"/>
                <w:b w:val="0"/>
                <w:color w:val="222222"/>
                <w:sz w:val="19"/>
              </w:rPr>
              <w:t>3 B2s VMs + disks; Azure Firewall Standard; firewall public IP; Standard Load Balancer</w:t>
            </w:r>
          </w:p>
        </w:tc>
        <w:tc>
          <w:tcPr>
            <w:tcW w:type="dxa" w:w="1944"/>
            <w:vAlign w:val="center"/>
            <w:tcMar>
              <w:top w:w="100" w:type="dxa"/>
              <w:start w:w="120" w:type="dxa"/>
              <w:bottom w:w="100" w:type="dxa"/>
              <w:end w:w="120" w:type="dxa"/>
            </w:tcMar>
          </w:tcPr>
          <w:p>
            <w:pPr>
              <w:spacing w:after="0" w:line="240" w:lineRule="auto"/>
            </w:pPr>
            <w:r>
              <w:rPr>
                <w:rFonts w:ascii="Calibri" w:hAnsi="Calibri"/>
                <w:b w:val="0"/>
                <w:color w:val="222222"/>
                <w:sz w:val="19"/>
              </w:rPr>
              <w:t>$0.57</w:t>
            </w:r>
          </w:p>
        </w:tc>
      </w:tr>
      <w:tr>
        <w:tc>
          <w:tcPr>
            <w:tcW w:type="dxa" w:w="2160"/>
            <w:vAlign w:val="center"/>
            <w:tcMar>
              <w:top w:w="100" w:type="dxa"/>
              <w:start w:w="120" w:type="dxa"/>
              <w:bottom w:w="100" w:type="dxa"/>
              <w:end w:w="120" w:type="dxa"/>
            </w:tcMar>
          </w:tcPr>
          <w:p>
            <w:pPr>
              <w:spacing w:after="0" w:line="240" w:lineRule="auto"/>
            </w:pPr>
            <w:r>
              <w:rPr>
                <w:rFonts w:ascii="Calibri" w:hAnsi="Calibri"/>
                <w:b w:val="0"/>
                <w:color w:val="222222"/>
                <w:sz w:val="19"/>
              </w:rPr>
              <w:t>L3 incremental</w:t>
            </w:r>
          </w:p>
        </w:tc>
        <w:tc>
          <w:tcPr>
            <w:tcW w:type="dxa" w:w="5256"/>
            <w:vAlign w:val="center"/>
            <w:tcMar>
              <w:top w:w="100" w:type="dxa"/>
              <w:start w:w="120" w:type="dxa"/>
              <w:bottom w:w="100" w:type="dxa"/>
              <w:end w:w="120" w:type="dxa"/>
            </w:tcMar>
          </w:tcPr>
          <w:p>
            <w:pPr>
              <w:spacing w:after="0" w:line="240" w:lineRule="auto"/>
            </w:pPr>
            <w:r>
              <w:rPr>
                <w:rFonts w:ascii="Calibri" w:hAnsi="Calibri"/>
                <w:b w:val="0"/>
                <w:color w:val="222222"/>
                <w:sz w:val="19"/>
              </w:rPr>
              <w:t>Container Apps; Basic SQL database; private endpoints; monitoring and platform services</w:t>
            </w:r>
          </w:p>
        </w:tc>
        <w:tc>
          <w:tcPr>
            <w:tcW w:type="dxa" w:w="1944"/>
            <w:vAlign w:val="center"/>
            <w:tcMar>
              <w:top w:w="100" w:type="dxa"/>
              <w:start w:w="120" w:type="dxa"/>
              <w:bottom w:w="100" w:type="dxa"/>
              <w:end w:w="120" w:type="dxa"/>
            </w:tcMar>
          </w:tcPr>
          <w:p>
            <w:pPr>
              <w:spacing w:after="0" w:line="240" w:lineRule="auto"/>
            </w:pPr>
            <w:r>
              <w:rPr>
                <w:rFonts w:ascii="Calibri" w:hAnsi="Calibri"/>
                <w:b w:val="0"/>
                <w:color w:val="222222"/>
                <w:sz w:val="19"/>
              </w:rPr>
              <w:t>$0.08</w:t>
            </w:r>
          </w:p>
        </w:tc>
      </w:tr>
      <w:tr>
        <w:tc>
          <w:tcPr>
            <w:tcW w:type="dxa" w:w="2160"/>
            <w:vAlign w:val="center"/>
            <w:tcMar>
              <w:top w:w="100" w:type="dxa"/>
              <w:start w:w="120" w:type="dxa"/>
              <w:bottom w:w="100" w:type="dxa"/>
              <w:end w:w="120" w:type="dxa"/>
            </w:tcMar>
          </w:tcPr>
          <w:p>
            <w:pPr>
              <w:spacing w:after="0" w:line="240" w:lineRule="auto"/>
            </w:pPr>
            <w:r>
              <w:rPr>
                <w:rFonts w:ascii="Calibri" w:hAnsi="Calibri"/>
                <w:b w:val="0"/>
                <w:color w:val="222222"/>
                <w:sz w:val="19"/>
              </w:rPr>
              <w:t>L4 incremental</w:t>
            </w:r>
          </w:p>
        </w:tc>
        <w:tc>
          <w:tcPr>
            <w:tcW w:type="dxa" w:w="5256"/>
            <w:vAlign w:val="center"/>
            <w:tcMar>
              <w:top w:w="100" w:type="dxa"/>
              <w:start w:w="120" w:type="dxa"/>
              <w:bottom w:w="100" w:type="dxa"/>
              <w:end w:w="120" w:type="dxa"/>
            </w:tcMar>
          </w:tcPr>
          <w:p>
            <w:pPr>
              <w:spacing w:after="0" w:line="240" w:lineRule="auto"/>
            </w:pPr>
            <w:r>
              <w:rPr>
                <w:rFonts w:ascii="Calibri" w:hAnsi="Calibri"/>
                <w:b w:val="0"/>
                <w:color w:val="222222"/>
                <w:sz w:val="19"/>
              </w:rPr>
              <w:t>Secondary Container App; Front Door Standard; failover-related services</w:t>
            </w:r>
          </w:p>
        </w:tc>
        <w:tc>
          <w:tcPr>
            <w:tcW w:type="dxa" w:w="1944"/>
            <w:vAlign w:val="center"/>
            <w:tcMar>
              <w:top w:w="100" w:type="dxa"/>
              <w:start w:w="120" w:type="dxa"/>
              <w:bottom w:w="100" w:type="dxa"/>
              <w:end w:w="120" w:type="dxa"/>
            </w:tcMar>
          </w:tcPr>
          <w:p>
            <w:pPr>
              <w:spacing w:after="0" w:line="240" w:lineRule="auto"/>
            </w:pPr>
            <w:r>
              <w:rPr>
                <w:rFonts w:ascii="Calibri" w:hAnsi="Calibri"/>
                <w:b w:val="0"/>
                <w:color w:val="222222"/>
                <w:sz w:val="19"/>
              </w:rPr>
              <w:t>$0.06</w:t>
            </w:r>
          </w:p>
        </w:tc>
      </w:tr>
      <w:tr>
        <w:tc>
          <w:tcPr>
            <w:tcW w:type="dxa" w:w="2160"/>
            <w:vAlign w:val="center"/>
            <w:tcMar>
              <w:top w:w="100" w:type="dxa"/>
              <w:start w:w="120" w:type="dxa"/>
              <w:bottom w:w="100" w:type="dxa"/>
              <w:end w:w="120" w:type="dxa"/>
            </w:tcMar>
          </w:tcPr>
          <w:p>
            <w:pPr>
              <w:spacing w:after="0" w:line="240" w:lineRule="auto"/>
            </w:pPr>
            <w:r>
              <w:rPr>
                <w:rFonts w:ascii="Calibri" w:hAnsi="Calibri"/>
                <w:b w:val="0"/>
                <w:color w:val="222222"/>
                <w:sz w:val="19"/>
              </w:rPr>
              <w:t>Full L4 stack</w:t>
            </w:r>
          </w:p>
        </w:tc>
        <w:tc>
          <w:tcPr>
            <w:tcW w:type="dxa" w:w="5256"/>
            <w:vAlign w:val="center"/>
            <w:tcMar>
              <w:top w:w="100" w:type="dxa"/>
              <w:start w:w="120" w:type="dxa"/>
              <w:bottom w:w="100" w:type="dxa"/>
              <w:end w:w="120" w:type="dxa"/>
            </w:tcMar>
          </w:tcPr>
          <w:p>
            <w:pPr>
              <w:spacing w:after="0" w:line="240" w:lineRule="auto"/>
            </w:pPr>
            <w:r>
              <w:rPr>
                <w:rFonts w:ascii="Calibri" w:hAnsi="Calibri"/>
                <w:b w:val="0"/>
                <w:color w:val="222222"/>
                <w:sz w:val="19"/>
              </w:rPr>
              <w:t>All resources from L1 through L4</w:t>
            </w:r>
          </w:p>
        </w:tc>
        <w:tc>
          <w:tcPr>
            <w:tcW w:type="dxa" w:w="1944"/>
            <w:vAlign w:val="center"/>
            <w:tcMar>
              <w:top w:w="100" w:type="dxa"/>
              <w:start w:w="120" w:type="dxa"/>
              <w:bottom w:w="100" w:type="dxa"/>
              <w:end w:w="120" w:type="dxa"/>
            </w:tcMar>
          </w:tcPr>
          <w:p>
            <w:pPr>
              <w:spacing w:after="0" w:line="240" w:lineRule="auto"/>
            </w:pPr>
            <w:r>
              <w:rPr>
                <w:rFonts w:ascii="Calibri" w:hAnsi="Calibri"/>
                <w:b w:val="0"/>
                <w:color w:val="222222"/>
                <w:sz w:val="19"/>
              </w:rPr>
              <w:t>$0.96</w:t>
            </w:r>
          </w:p>
        </w:tc>
      </w:tr>
    </w:tbl>
    <w:p>
      <w:pPr>
        <w:pStyle w:val="Heading1"/>
      </w:pPr>
      <w:r>
        <w:rPr>
          <w:rFonts w:ascii="Calibri" w:hAnsi="Calibri"/>
          <w:b/>
          <w:color w:val="2E74B5"/>
          <w:sz w:val="32"/>
        </w:rPr>
        <w:t>Assumptions behind the estimate</w:t>
      </w:r>
    </w:p>
    <w:p>
      <w:pPr>
        <w:pStyle w:val="ListBullet"/>
        <w:spacing w:after="80"/>
        <w:ind w:left="720" w:hanging="360"/>
      </w:pPr>
      <w:r>
        <w:rPr>
          <w:rFonts w:ascii="Calibri" w:hAnsi="Calibri"/>
          <w:b w:val="0"/>
          <w:color w:val="222222"/>
          <w:sz w:val="22"/>
        </w:rPr>
        <w:t>Region: East US 2 for L1-L3, with West US 2 as the L4 secondary region, matching the Bicep defaults.</w:t>
      </w:r>
    </w:p>
    <w:p>
      <w:pPr>
        <w:pStyle w:val="ListBullet"/>
        <w:spacing w:after="80"/>
        <w:ind w:left="720" w:hanging="360"/>
      </w:pPr>
      <w:r>
        <w:rPr>
          <w:rFonts w:ascii="Calibri" w:hAnsi="Calibri"/>
          <w:b w:val="0"/>
          <w:color w:val="222222"/>
          <w:sz w:val="22"/>
        </w:rPr>
        <w:t>Pricing basis: approximate US pay-as-you-go list pricing, rounded for presentation use.</w:t>
      </w:r>
    </w:p>
    <w:p>
      <w:pPr>
        <w:pStyle w:val="ListBullet"/>
        <w:spacing w:after="80"/>
        <w:ind w:left="720" w:hanging="360"/>
      </w:pPr>
      <w:r>
        <w:rPr>
          <w:rFonts w:ascii="Calibri" w:hAnsi="Calibri"/>
          <w:b w:val="0"/>
          <w:color w:val="222222"/>
          <w:sz w:val="22"/>
        </w:rPr>
        <w:t>VMs run for the entire hour and are not deallocated. Standard_LRS OS disks are included as a small hourly equivalent.</w:t>
      </w:r>
    </w:p>
    <w:p>
      <w:pPr>
        <w:pStyle w:val="ListBullet"/>
        <w:spacing w:after="80"/>
        <w:ind w:left="720" w:hanging="360"/>
      </w:pPr>
      <w:r>
        <w:rPr>
          <w:rFonts w:ascii="Calibri" w:hAnsi="Calibri"/>
          <w:b w:val="0"/>
          <w:color w:val="222222"/>
          <w:sz w:val="22"/>
        </w:rPr>
        <w:t>Container Apps run at the configured minimum of one 0.5 vCPU / 1 GiB replica per region.</w:t>
      </w:r>
    </w:p>
    <w:p>
      <w:pPr>
        <w:pStyle w:val="ListBullet"/>
        <w:spacing w:after="80"/>
        <w:ind w:left="720" w:hanging="360"/>
      </w:pPr>
      <w:r>
        <w:rPr>
          <w:rFonts w:ascii="Calibri" w:hAnsi="Calibri"/>
          <w:b w:val="0"/>
          <w:color w:val="222222"/>
          <w:sz w:val="22"/>
        </w:rPr>
        <w:t>L3 assumes a Basic 5-DTU Azure SQL database and minimal data storage, backups, requests, and log ingestion.</w:t>
      </w:r>
    </w:p>
    <w:p>
      <w:pPr>
        <w:pStyle w:val="ListBullet"/>
        <w:spacing w:after="80"/>
        <w:ind w:left="720" w:hanging="360"/>
      </w:pPr>
      <w:r>
        <w:rPr>
          <w:rFonts w:ascii="Calibri" w:hAnsi="Calibri"/>
          <w:b w:val="0"/>
          <w:color w:val="222222"/>
          <w:sz w:val="22"/>
        </w:rPr>
        <w:t>Network traffic, NAT/data processing, SQL backup growth, Log Analytics ingestion, Application Insights telemetry, and Front Door requests/data transfer are excluded or assumed negligible.</w:t>
      </w:r>
    </w:p>
    <w:p>
      <w:pPr>
        <w:pStyle w:val="ListBullet"/>
        <w:spacing w:after="80"/>
        <w:ind w:left="720" w:hanging="360"/>
      </w:pPr>
      <w:r>
        <w:rPr>
          <w:rFonts w:ascii="Calibri" w:hAnsi="Calibri"/>
          <w:b w:val="0"/>
          <w:color w:val="222222"/>
          <w:sz w:val="22"/>
        </w:rPr>
        <w:t>The optional L1 VPN Gateway is not included because it is commented out in the template.</w:t>
      </w:r>
    </w:p>
    <w:p>
      <w:pPr>
        <w:pStyle w:val="Heading1"/>
      </w:pPr>
      <w:r>
        <w:rPr>
          <w:rFonts w:ascii="Calibri" w:hAnsi="Calibri"/>
          <w:b/>
          <w:color w:val="2E74B5"/>
          <w:sz w:val="32"/>
        </w:rPr>
        <w:t>Important cost notes</w:t>
      </w:r>
    </w:p>
    <w:p>
      <w:pPr>
        <w:spacing w:before="0" w:after="120" w:line="264" w:lineRule="auto"/>
      </w:pPr>
      <w:r>
        <w:rPr>
          <w:rFonts w:ascii="Calibri" w:hAnsi="Calibri"/>
          <w:b w:val="0"/>
          <w:color w:val="222222"/>
          <w:sz w:val="22"/>
        </w:rPr>
        <w:t>Azure Firewall and Bastion continue billing while deployed, even if the demo is idle. The repository includes a teardown workflow; use it after the demonstration or when the environment is not needed. For a live presentation, budget a small buffer above the table, such as $1.25-$1.50 for a full L4 hour, to cover normal request and telemetry activity.</w:t>
      </w:r>
    </w:p>
    <w:p>
      <w:pPr>
        <w:spacing w:before="0" w:after="120" w:line="264" w:lineRule="auto"/>
      </w:pPr>
      <w:r>
        <w:rPr>
          <w:rFonts w:ascii="Calibri" w:hAnsi="Calibri"/>
          <w:b w:val="0"/>
          <w:color w:val="222222"/>
          <w:sz w:val="22"/>
        </w:rPr>
        <w:t>These are planning estimates, not an invoice or quote. Azure pricing pages state that displayed prices can vary by agreement, date, currency, and region. Confirm the final amount with the Azure Pricing Calculator or the subscription Cost Management view before presenting a committed budget.</w:t>
      </w:r>
    </w:p>
    <w:p>
      <w:pPr>
        <w:pStyle w:val="Heading1"/>
      </w:pPr>
      <w:r>
        <w:rPr>
          <w:rFonts w:ascii="Calibri" w:hAnsi="Calibri"/>
          <w:b/>
          <w:color w:val="2E74B5"/>
          <w:sz w:val="32"/>
        </w:rPr>
        <w:t>Reference links</w:t>
      </w:r>
    </w:p>
    <w:p>
      <w:pPr>
        <w:spacing w:after="60"/>
      </w:pPr>
      <w:r>
        <w:rPr>
          <w:rFonts w:ascii="Calibri" w:hAnsi="Calibri"/>
          <w:b w:val="0"/>
          <w:color w:val="555555"/>
          <w:sz w:val="18"/>
        </w:rPr>
        <w:t>Azure pricing overview: https://azure.microsoft.com/pricing/</w:t>
      </w:r>
    </w:p>
    <w:p>
      <w:pPr>
        <w:spacing w:after="60"/>
      </w:pPr>
      <w:r>
        <w:rPr>
          <w:rFonts w:ascii="Calibri" w:hAnsi="Calibri"/>
          <w:b w:val="0"/>
          <w:color w:val="555555"/>
          <w:sz w:val="18"/>
        </w:rPr>
        <w:t>Azure Firewall pricing: https://azure.microsoft.com/pricing/details/azure-firewall/</w:t>
      </w:r>
    </w:p>
    <w:p>
      <w:pPr>
        <w:spacing w:after="60"/>
      </w:pPr>
      <w:r>
        <w:rPr>
          <w:rFonts w:ascii="Calibri" w:hAnsi="Calibri"/>
          <w:b w:val="0"/>
          <w:color w:val="555555"/>
          <w:sz w:val="18"/>
        </w:rPr>
        <w:t>Azure Bastion pricing: https://azure.microsoft.com/pricing/details/azure-bastion/</w:t>
      </w:r>
    </w:p>
    <w:p>
      <w:pPr>
        <w:spacing w:after="60"/>
      </w:pPr>
      <w:r>
        <w:rPr>
          <w:rFonts w:ascii="Calibri" w:hAnsi="Calibri"/>
          <w:b w:val="0"/>
          <w:color w:val="555555"/>
          <w:sz w:val="18"/>
        </w:rPr>
        <w:t>Azure SQL Database pricing: https://azure.microsoft.com/pricing/details/azure-sql-database/single/</w:t>
      </w:r>
    </w:p>
    <w:p>
      <w:pPr>
        <w:spacing w:after="60"/>
      </w:pPr>
      <w:r>
        <w:rPr>
          <w:rFonts w:ascii="Calibri" w:hAnsi="Calibri"/>
          <w:b w:val="0"/>
          <w:color w:val="555555"/>
          <w:sz w:val="18"/>
        </w:rPr>
        <w:t>Azure Front Door pricing: https://azure.microsoft.com/pricing/details/frontdoor/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777777"/>
        <w:sz w:val="18"/>
      </w:rPr>
      <w:t>IaC Demo | Cost Printout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IaC Demo Resource Cost Printout</dc:title>
  <dc:subject>Approximate one-hour Azure resource cost by cumulative lab level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