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64" w:lineRule="auto"/>
      </w:pPr>
      <w:r>
        <w:rPr>
          <w:rFonts w:ascii="Calibri" w:hAnsi="Calibri"/>
          <w:b/>
          <w:color w:val="0B2545"/>
          <w:sz w:val="38"/>
          <w:szCs w:val="38"/>
        </w:rPr>
        <w:t xml:space="preserve">IaC Demo Azure Cost Progression</w:t>
      </w:r>
    </w:p>
    <w:p>
      <w:pPr>
        <w:spacing w:before="0" w:after="100" w:line="264" w:lineRule="auto"/>
      </w:pPr>
      <w:r>
        <w:rPr>
          <w:rFonts w:ascii="Calibri" w:hAnsi="Calibri"/>
          <w:b/>
          <w:color w:val="2E74B5"/>
          <w:sz w:val="20"/>
          <w:szCs w:val="20"/>
        </w:rPr>
        <w:t xml:space="preserve">One-page handout | cost for one complete running hour</w:t>
      </w:r>
    </w:p>
    <w:p>
      <w:pPr>
        <w:spacing w:before="0" w:after="140" w:line="264" w:lineRule="auto"/>
      </w:pPr>
      <w:r>
        <w:rPr>
          <w:rFonts w:ascii="Calibri" w:hAnsi="Calibri"/>
          <w:color w:val="555555"/>
          <w:sz w:val="17"/>
          <w:szCs w:val="17"/>
        </w:rPr>
        <w:t xml:space="preserve">East US 2 (West US 2 for the L4 secondary region), US pay-as-you-go retail rates verified 4 August 2026. Levels are cumulative. Traffic, logging, backups and data transfer are excluded or assumed minimal.</w:t>
      </w:r>
    </w:p>
    <w:tbl>
      <w:tblPr>
        <w:tblW w:w="0" w:type="auto"/>
        <w:tblLayout w:type="fixed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</w:tblPr>
      <w:tblGrid>
        <w:gridCol w:w="620"/>
        <w:gridCol w:w="6300"/>
        <w:gridCol w:w="1150"/>
        <w:gridCol w:w="1580"/>
      </w:tblGrid>
      <w:tr>
        <w:trPr>
          <w:tblHeader/>
        </w:trPr>
        <w:tc>
          <w:tcPr>
            <w:tcW w:w="620" w:type="dxa"/>
            <w:shd w:val="clear" w:color="auto" w:fill="E8EEF5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  <w:szCs w:val="16"/>
              </w:rPr>
              <w:t xml:space="preserve">Level</w:t>
            </w:r>
          </w:p>
        </w:tc>
        <w:tc>
          <w:tcPr>
            <w:tcW w:w="6300" w:type="dxa"/>
            <w:shd w:val="clear" w:color="auto" w:fill="E8EEF5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  <w:szCs w:val="16"/>
              </w:rPr>
              <w:t xml:space="preserve">Main resources added</w:t>
            </w:r>
          </w:p>
        </w:tc>
        <w:tc>
          <w:tcPr>
            <w:tcW w:w="1150" w:type="dxa"/>
            <w:shd w:val="clear" w:color="auto" w:fill="E8EEF5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  <w:szCs w:val="16"/>
              </w:rPr>
              <w:t xml:space="preserve">Adds/hr</w:t>
            </w:r>
          </w:p>
        </w:tc>
        <w:tc>
          <w:tcPr>
            <w:tcW w:w="1580" w:type="dxa"/>
            <w:shd w:val="clear" w:color="auto" w:fill="E8EEF5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  <w:szCs w:val="16"/>
              </w:rPr>
              <w:t xml:space="preserve">Running total</w:t>
            </w:r>
          </w:p>
        </w:tc>
      </w:tr>
      <w:tr>
        <w:tc>
          <w:tcPr>
            <w:tcW w:w="62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7"/>
                <w:szCs w:val="17"/>
              </w:rPr>
              <w:t xml:space="preserve">L1</w:t>
            </w:r>
          </w:p>
        </w:tc>
        <w:tc>
          <w:tcPr>
            <w:tcW w:w="63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7"/>
                <w:szCs w:val="17"/>
              </w:rPr>
              <w:t xml:space="preserve">Linux VM (Standard_B2s); OS disk; Azure Bastion Basic; Public IP (Bastion)</w:t>
            </w:r>
          </w:p>
        </w:tc>
        <w:tc>
          <w:tcPr>
            <w:tcW w:w="11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7"/>
                <w:szCs w:val="17"/>
              </w:rPr>
              <w:t xml:space="preserve">$0.24</w:t>
            </w:r>
          </w:p>
        </w:tc>
        <w:tc>
          <w:tcPr>
            <w:tcW w:w="158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7"/>
                <w:szCs w:val="17"/>
              </w:rPr>
              <w:t xml:space="preserve">$0.24/hr</w:t>
            </w:r>
          </w:p>
        </w:tc>
      </w:tr>
      <w:tr>
        <w:tc>
          <w:tcPr>
            <w:tcW w:w="62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7"/>
                <w:szCs w:val="17"/>
              </w:rPr>
              <w:t xml:space="preserve">L2</w:t>
            </w:r>
          </w:p>
        </w:tc>
        <w:tc>
          <w:tcPr>
            <w:tcW w:w="63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7"/>
                <w:szCs w:val="17"/>
              </w:rPr>
              <w:t xml:space="preserve">3 x Linux VMs (Standard_B2s); 3 x OS disks; Azure Firewall Standard; Public IP (firewall); Internal Standard Load Balancer</w:t>
            </w:r>
          </w:p>
        </w:tc>
        <w:tc>
          <w:tcPr>
            <w:tcW w:w="11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7"/>
                <w:szCs w:val="17"/>
              </w:rPr>
              <w:t xml:space="preserve">$1.41</w:t>
            </w:r>
          </w:p>
        </w:tc>
        <w:tc>
          <w:tcPr>
            <w:tcW w:w="158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7"/>
                <w:szCs w:val="17"/>
              </w:rPr>
              <w:t xml:space="preserve">$1.65/hr</w:t>
            </w:r>
          </w:p>
        </w:tc>
      </w:tr>
      <w:tr>
        <w:tc>
          <w:tcPr>
            <w:tcW w:w="62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7"/>
                <w:szCs w:val="17"/>
              </w:rPr>
              <w:t xml:space="preserve">L3</w:t>
            </w:r>
          </w:p>
        </w:tc>
        <w:tc>
          <w:tcPr>
            <w:tcW w:w="63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7"/>
                <w:szCs w:val="17"/>
              </w:rPr>
              <w:t xml:space="preserve">Container Apps replica; Azure SQL Database Basic; 2 x Private endpoints (SQL, Key Vault); 2 x Private DNS zones; Key Vault, identity, alert rule</w:t>
            </w:r>
          </w:p>
        </w:tc>
        <w:tc>
          <w:tcPr>
            <w:tcW w:w="11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7"/>
                <w:szCs w:val="17"/>
              </w:rPr>
              <w:t xml:space="preserve">$0.08</w:t>
            </w:r>
          </w:p>
        </w:tc>
        <w:tc>
          <w:tcPr>
            <w:tcW w:w="158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7"/>
                <w:szCs w:val="17"/>
              </w:rPr>
              <w:t xml:space="preserve">$1.73/hr</w:t>
            </w:r>
          </w:p>
        </w:tc>
      </w:tr>
      <w:tr>
        <w:tc>
          <w:tcPr>
            <w:tcW w:w="62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7"/>
                <w:szCs w:val="17"/>
              </w:rPr>
              <w:t xml:space="preserve">L4</w:t>
            </w:r>
          </w:p>
        </w:tc>
        <w:tc>
          <w:tcPr>
            <w:tcW w:w="63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7"/>
                <w:szCs w:val="17"/>
              </w:rPr>
              <w:t xml:space="preserve">Container Apps replica (secondary region); SQL geo-secondary database; Front Door Standard base fee</w:t>
            </w:r>
          </w:p>
        </w:tc>
        <w:tc>
          <w:tcPr>
            <w:tcW w:w="11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7"/>
                <w:szCs w:val="17"/>
              </w:rPr>
              <w:t xml:space="preserve">$0.11</w:t>
            </w:r>
          </w:p>
        </w:tc>
        <w:tc>
          <w:tcPr>
            <w:tcW w:w="158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7"/>
                <w:szCs w:val="17"/>
              </w:rPr>
              <w:t xml:space="preserve">$1.84/hr</w:t>
            </w:r>
          </w:p>
        </w:tc>
      </w:tr>
    </w:tbl>
    <w:p>
      <w:pPr>
        <w:spacing w:after="60"/>
      </w:pPr>
    </w:p>
    <w:p>
      <w:pPr>
        <w:spacing w:before="100" w:after="80" w:line="264" w:lineRule="auto"/>
      </w:pPr>
      <w:r>
        <w:rPr>
          <w:rFonts w:ascii="Calibri" w:hAnsi="Calibri"/>
          <w:b/>
          <w:color w:val="2E74B5"/>
          <w:sz w:val="21"/>
          <w:szCs w:val="21"/>
        </w:rPr>
        <w:t xml:space="preserve">L1 - Hub and spoke | adds $0.24/hr, total $0.24/hr</w:t>
      </w:r>
    </w:p>
    <w:p>
      <w:pPr>
        <w:spacing w:before="0" w:after="40" w:line="264" w:lineRule="auto"/>
      </w:pPr>
      <w:r>
        <w:rPr>
          <w:rFonts w:ascii="Calibri" w:hAnsi="Calibri"/>
          <w:color w:val="222222"/>
          <w:sz w:val="17"/>
          <w:szCs w:val="17"/>
        </w:rPr>
        <w:t xml:space="preserve">Creates the secure connectivity foundation and a test workload.</w:t>
      </w:r>
    </w:p>
    <w:p>
      <w:pPr>
        <w:spacing w:before="0" w:after="60" w:line="264" w:lineRule="auto"/>
      </w:pPr>
      <w:r>
        <w:rPr>
          <w:rFonts w:ascii="Calibri" w:hAnsi="Calibri"/>
          <w:b/>
          <w:color w:val="1F4D78"/>
          <w:sz w:val="17"/>
          <w:szCs w:val="17"/>
        </w:rPr>
        <w:t xml:space="preserve">Builds next: L2 reuses the hub/spoke networks and adds a protected, load-balanced web tier and firewall.</w:t>
      </w:r>
    </w:p>
    <w:p>
      <w:pPr>
        <w:spacing w:before="100" w:after="80" w:line="264" w:lineRule="auto"/>
      </w:pPr>
      <w:r>
        <w:rPr>
          <w:rFonts w:ascii="Calibri" w:hAnsi="Calibri"/>
          <w:b/>
          <w:color w:val="2E74B5"/>
          <w:sz w:val="21"/>
          <w:szCs w:val="21"/>
        </w:rPr>
        <w:t xml:space="preserve">L2 - Web tier and firewall | adds $1.41/hr, total $1.65/hr</w:t>
      </w:r>
    </w:p>
    <w:p>
      <w:pPr>
        <w:spacing w:before="0" w:after="40" w:line="264" w:lineRule="auto"/>
      </w:pPr>
      <w:r>
        <w:rPr>
          <w:rFonts w:ascii="Calibri" w:hAnsi="Calibri"/>
          <w:color w:val="222222"/>
          <w:sz w:val="17"/>
          <w:szCs w:val="17"/>
        </w:rPr>
        <w:t xml:space="preserve">Adds redundancy and traffic governance to the L1 network.</w:t>
      </w:r>
    </w:p>
    <w:p>
      <w:pPr>
        <w:spacing w:before="0" w:after="60" w:line="264" w:lineRule="auto"/>
      </w:pPr>
      <w:r>
        <w:rPr>
          <w:rFonts w:ascii="Calibri" w:hAnsi="Calibri"/>
          <w:b/>
          <w:color w:val="1F4D78"/>
          <w:sz w:val="17"/>
          <w:szCs w:val="17"/>
        </w:rPr>
        <w:t xml:space="preserve">Builds next: L3 adds containers, private data services, identity, and monitoring on the existing foundation.</w:t>
      </w:r>
    </w:p>
    <w:p>
      <w:pPr>
        <w:spacing w:before="100" w:after="80" w:line="264" w:lineRule="auto"/>
      </w:pPr>
      <w:r>
        <w:rPr>
          <w:rFonts w:ascii="Calibri" w:hAnsi="Calibri"/>
          <w:b/>
          <w:color w:val="2E74B5"/>
          <w:sz w:val="21"/>
          <w:szCs w:val="21"/>
        </w:rPr>
        <w:t xml:space="preserve">L3 - Containers and data | adds $0.08/hr, total $1.73/hr</w:t>
      </w:r>
    </w:p>
    <w:p>
      <w:pPr>
        <w:spacing w:before="0" w:after="40" w:line="264" w:lineRule="auto"/>
      </w:pPr>
      <w:r>
        <w:rPr>
          <w:rFonts w:ascii="Calibri" w:hAnsi="Calibri"/>
          <w:color w:val="222222"/>
          <w:sz w:val="17"/>
          <w:szCs w:val="17"/>
        </w:rPr>
        <w:t xml:space="preserve">Moves the demo toward a modern, secure application platform.</w:t>
      </w:r>
    </w:p>
    <w:p>
      <w:pPr>
        <w:spacing w:before="0" w:after="60" w:line="264" w:lineRule="auto"/>
      </w:pPr>
      <w:r>
        <w:rPr>
          <w:rFonts w:ascii="Calibri" w:hAnsi="Calibri"/>
          <w:b/>
          <w:color w:val="1F4D78"/>
          <w:sz w:val="17"/>
          <w:szCs w:val="17"/>
        </w:rPr>
        <w:t xml:space="preserve">Builds next: L4 adds a second-region app, SQL failover capability, and global Front Door.</w:t>
      </w:r>
    </w:p>
    <w:p>
      <w:pPr>
        <w:spacing w:before="100" w:after="80" w:line="264" w:lineRule="auto"/>
      </w:pPr>
      <w:r>
        <w:rPr>
          <w:rFonts w:ascii="Calibri" w:hAnsi="Calibri"/>
          <w:b/>
          <w:color w:val="2E74B5"/>
          <w:sz w:val="21"/>
          <w:szCs w:val="21"/>
        </w:rPr>
        <w:t xml:space="preserve">L4 - Global scale | adds $0.11/hr, total $1.84/hr</w:t>
      </w:r>
    </w:p>
    <w:p>
      <w:pPr>
        <w:spacing w:before="0" w:after="40" w:line="264" w:lineRule="auto"/>
      </w:pPr>
      <w:r>
        <w:rPr>
          <w:rFonts w:ascii="Calibri" w:hAnsi="Calibri"/>
          <w:color w:val="222222"/>
          <w:sz w:val="17"/>
          <w:szCs w:val="17"/>
        </w:rPr>
        <w:t xml:space="preserve">Adds regional resilience and a single global entry point.</w:t>
      </w:r>
    </w:p>
    <w:p>
      <w:pPr>
        <w:spacing w:before="0" w:after="60" w:line="264" w:lineRule="auto"/>
      </w:pPr>
      <w:r>
        <w:rPr>
          <w:rFonts w:ascii="Calibri" w:hAnsi="Calibri"/>
          <w:b/>
          <w:color w:val="1F4D78"/>
          <w:sz w:val="17"/>
          <w:szCs w:val="17"/>
        </w:rPr>
        <w:t xml:space="preserve">End state: Multi-region app delivery with health-probed routing and database failover.</w:t>
      </w:r>
    </w:p>
    <w:p>
      <w:pPr>
        <w:spacing w:before="100" w:after="100" w:line="264" w:lineRule="auto"/>
      </w:pPr>
      <w:r>
        <w:rPr>
          <w:rFonts w:ascii="Calibri" w:hAnsi="Calibri"/>
          <w:b/>
          <w:color w:val="7A5A00"/>
          <w:sz w:val="17"/>
          <w:szCs w:val="17"/>
        </w:rPr>
        <w:t xml:space="preserve">Presenter takeaway: budget $2.00-$2.25 for one full hour of the L4 demo. Azure Firewall ($1.25/hr) and Bastion ($0.19/hr) bill while deployed even when idle - run teardown when you finish.</w:t>
      </w:r>
    </w:p>
    <w:p>
      <w:pPr>
        <w:spacing w:before="0" w:after="0" w:line="264" w:lineRule="auto"/>
      </w:pPr>
      <w:r>
        <w:rPr>
          <w:rFonts w:ascii="Calibri" w:hAnsi="Calibri"/>
          <w:color w:val="666666"/>
          <w:sz w:val="15"/>
          <w:szCs w:val="15"/>
        </w:rPr>
        <w:t xml:space="preserve">Planning estimates only. Confirm in the Azure Pricing Calculator or Cost Management for the target subscription. Reference: azure.microsoft.com/pricing</w:t>
      </w:r>
    </w:p>
    <w:sectPr>
      <w:footerReference w:type="default" r:id="rId2"/>
      <w:pgSz w:w="12240" w:h="15840"/>
      <w:pgMar w:top="792" w:right="792" w:bottom="792" w:left="792" w:header="708" w:footer="432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  <w:spacing w:after="0"/>
    </w:pPr>
    <w:r>
      <w:rPr>
        <w:rFonts w:ascii="Calibri" w:hAnsi="Calibri"/>
        <w:color w:val="777777"/>
        <w:sz w:val="15"/>
        <w:szCs w:val="15"/>
      </w:rPr>
      <w:t xml:space="preserve">IaC Demo | One-page cost handout</w:t>
    </w:r>
  </w:p>
</w:ft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IaC Demo Azure Cost Progression - One Page</dc:title>
  <dc:creator>Build-CostDocs.ps1</dc:creator>
</cp:coreProperties>
</file>