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 w:line="264" w:lineRule="auto"/>
      </w:pPr>
      <w:r>
        <w:rPr>
          <w:rFonts w:ascii="Calibri" w:hAnsi="Calibri"/>
          <w:b/>
          <w:color w:val="0B2545"/>
          <w:sz w:val="48"/>
          <w:szCs w:val="48"/>
        </w:rPr>
        <w:t xml:space="preserve">IaC Demo Resource Cost Printout</w:t>
      </w:r>
    </w:p>
    <w:p>
      <w:pPr>
        <w:spacing w:before="0" w:after="280" w:line="264" w:lineRule="auto"/>
      </w:pPr>
      <w:r>
        <w:rPr>
          <w:rFonts w:ascii="Calibri" w:hAnsi="Calibri"/>
          <w:color w:val="2E74B5"/>
          <w:sz w:val="30"/>
          <w:szCs w:val="30"/>
        </w:rPr>
        <w:t xml:space="preserve">Estimated cost for one complete running hour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Scope: the Azure resources defined in the Demo-IaC repository. Levels are cumulative - L2 includes L1, L3 includes the earlier foundation, and L4 adds the second-region and global-access components. Rates are East US 2, verified 4 August 2026.</w:t>
      </w:r>
    </w:p>
    <w:p>
      <w:pPr>
        <w:spacing w:before="24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Executive summary</w:t>
      </w:r>
    </w:p>
    <w:tbl>
      <w:tblPr>
        <w:tblW w:w="0" w:type="auto"/>
        <w:tblLayout w:type="fixed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100"/>
        <w:gridCol w:w="2800"/>
        <w:gridCol w:w="3460"/>
      </w:tblGrid>
      <w:tr>
        <w:trPr>
          <w:tblHeader/>
        </w:trPr>
        <w:tc>
          <w:tcPr>
            <w:tcW w:w="31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Level</w:t>
            </w:r>
          </w:p>
        </w:tc>
        <w:tc>
          <w:tcPr>
            <w:tcW w:w="28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Added by this level</w:t>
            </w:r>
          </w:p>
        </w:tc>
        <w:tc>
          <w:tcPr>
            <w:tcW w:w="346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Running total per hour</w:t>
            </w:r>
          </w:p>
        </w:tc>
      </w:tr>
      <w:tr>
        <w:tc>
          <w:tcPr>
            <w:tcW w:w="31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L1 - Hub and spoke</w:t>
            </w:r>
          </w:p>
        </w:tc>
        <w:tc>
          <w:tcPr>
            <w:tcW w:w="28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$0.24/hr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$0.24/hr</w:t>
            </w:r>
          </w:p>
        </w:tc>
      </w:tr>
      <w:tr>
        <w:tc>
          <w:tcPr>
            <w:tcW w:w="31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L2 - Web tier and firewall</w:t>
            </w:r>
          </w:p>
        </w:tc>
        <w:tc>
          <w:tcPr>
            <w:tcW w:w="28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$1.41/hr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$1.65/hr</w:t>
            </w:r>
          </w:p>
        </w:tc>
      </w:tr>
      <w:tr>
        <w:tc>
          <w:tcPr>
            <w:tcW w:w="31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L3 - Containers and data</w:t>
            </w:r>
          </w:p>
        </w:tc>
        <w:tc>
          <w:tcPr>
            <w:tcW w:w="28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$0.08/hr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$1.73/hr</w:t>
            </w:r>
          </w:p>
        </w:tc>
      </w:tr>
      <w:tr>
        <w:tc>
          <w:tcPr>
            <w:tcW w:w="31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L4 - Global scale</w:t>
            </w:r>
          </w:p>
        </w:tc>
        <w:tc>
          <w:tcPr>
            <w:tcW w:w="28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$0.11/hr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$1.84/hr</w:t>
            </w:r>
          </w:p>
        </w:tc>
      </w:tr>
    </w:tbl>
    <w:p>
      <w:pPr>
        <w:spacing w:after="60"/>
      </w:pPr>
    </w:p>
    <w:p>
      <w:pPr>
        <w:spacing w:before="0" w:after="120" w:line="264" w:lineRule="auto"/>
      </w:pPr>
      <w:r>
        <w:rPr>
          <w:rFonts w:ascii="Calibri" w:hAnsi="Calibri"/>
          <w:b/>
          <w:color w:val="7A5A00"/>
          <w:sz w:val="20"/>
          <w:szCs w:val="20"/>
        </w:rPr>
        <w:t xml:space="preserve">Planning figure: about $1.84 per hour with the full L4 stack running, before traffic, log ingestion, backups or unusual data transfer. Azure Firewall Standard is 1.25/hr of that on its own - it costs more than everything else in all four labs combined.</w:t>
      </w:r>
    </w:p>
    <w:p>
      <w:pPr>
        <w:spacing w:before="240" w:after="20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Cost progression by level</w:t>
      </w:r>
    </w:p>
    <w:p>
      <w:pPr>
        <w:spacing w:before="120" w:after="140" w:line="264" w:lineRule="auto"/>
      </w:pPr>
      <w:r>
        <w:rPr>
          <w:rFonts w:ascii="Calibri" w:hAnsi="Calibri"/>
          <w:b/>
          <w:color w:val="2E74B5"/>
          <w:sz w:val="26"/>
          <w:szCs w:val="26"/>
        </w:rPr>
        <w:t xml:space="preserve">L1 - Hub and spoke | adds $0.24/hr, running total $0.24/hr</w:t>
      </w:r>
    </w:p>
    <w:p>
      <w:pPr>
        <w:spacing w:before="0" w:after="60" w:line="264" w:lineRule="auto"/>
      </w:pPr>
      <w:r>
        <w:rPr>
          <w:rFonts w:ascii="Calibri" w:hAnsi="Calibri"/>
          <w:b/>
          <w:color w:val="222222"/>
          <w:sz w:val="20"/>
          <w:szCs w:val="20"/>
        </w:rPr>
        <w:t xml:space="preserve">Creates the secure connectivity foundation and a test workload.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Two virtual networks with bidirectional peering, a Basic Bastion host for browser SSH, and one Standard_B2s Linux VM with no public IP. Virtual networks, subnets, peering and NSGs carry no hourly charge - Bastion and the VM are the entire cost.</w:t>
      </w:r>
    </w:p>
    <w:p>
      <w:pPr>
        <w:spacing w:before="120" w:after="140" w:line="264" w:lineRule="auto"/>
      </w:pPr>
      <w:r>
        <w:rPr>
          <w:rFonts w:ascii="Calibri" w:hAnsi="Calibri"/>
          <w:b/>
          <w:color w:val="2E74B5"/>
          <w:sz w:val="26"/>
          <w:szCs w:val="26"/>
        </w:rPr>
        <w:t xml:space="preserve">L2 - Web tier and firewall | adds $1.41/hr, running total $1.65/hr</w:t>
      </w:r>
    </w:p>
    <w:p>
      <w:pPr>
        <w:spacing w:before="0" w:after="60" w:line="264" w:lineRule="auto"/>
      </w:pPr>
      <w:r>
        <w:rPr>
          <w:rFonts w:ascii="Calibri" w:hAnsi="Calibri"/>
          <w:b/>
          <w:color w:val="222222"/>
          <w:sz w:val="20"/>
          <w:szCs w:val="20"/>
        </w:rPr>
        <w:t xml:space="preserve">Adds redundancy and traffic governance to the L1 network.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Three more B2s VMs behind an internal Standard Load Balancer, plus an Azure Firewall Standard in the hub with its own public IP. The firewall alone is $1.25/hr and dominates every later level - it is roughly five times the cost of the three VMs it protects. Azure Firewall Basic ($0.395/hr) would cut this substantially but needs a second /26 for AzureFirewallManagementSubnet.</w:t>
      </w:r>
    </w:p>
    <w:p>
      <w:pPr>
        <w:spacing w:before="120" w:after="140" w:line="264" w:lineRule="auto"/>
      </w:pPr>
      <w:r>
        <w:rPr>
          <w:rFonts w:ascii="Calibri" w:hAnsi="Calibri"/>
          <w:b/>
          <w:color w:val="2E74B5"/>
          <w:sz w:val="26"/>
          <w:szCs w:val="26"/>
        </w:rPr>
        <w:t xml:space="preserve">L3 - Containers and data | adds $0.08/hr, running total $1.73/hr</w:t>
      </w:r>
    </w:p>
    <w:p>
      <w:pPr>
        <w:spacing w:before="0" w:after="60" w:line="264" w:lineRule="auto"/>
      </w:pPr>
      <w:r>
        <w:rPr>
          <w:rFonts w:ascii="Calibri" w:hAnsi="Calibri"/>
          <w:b/>
          <w:color w:val="222222"/>
          <w:sz w:val="20"/>
          <w:szCs w:val="20"/>
        </w:rPr>
        <w:t xml:space="preserve">Moves the demo toward a modern, secure application platform.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A VNet-integrated Container Apps environment running one minimum replica, an Azure SQL Basic database, two private endpoints with their private DNS zones, Key Vault, a managed identity, Log Analytics and Application Insights. Assumes very light demo traffic; Log Analytics and Application Insights bill on ingestion and are effectively zero at this volume.</w:t>
      </w:r>
    </w:p>
    <w:p>
      <w:pPr>
        <w:spacing w:before="120" w:after="140" w:line="264" w:lineRule="auto"/>
      </w:pPr>
      <w:r>
        <w:rPr>
          <w:rFonts w:ascii="Calibri" w:hAnsi="Calibri"/>
          <w:b/>
          <w:color w:val="2E74B5"/>
          <w:sz w:val="26"/>
          <w:szCs w:val="26"/>
        </w:rPr>
        <w:t xml:space="preserve">L4 - Global scale | adds $0.11/hr, running total $1.84/hr</w:t>
      </w:r>
    </w:p>
    <w:p>
      <w:pPr>
        <w:spacing w:before="0" w:after="60" w:line="264" w:lineRule="auto"/>
      </w:pPr>
      <w:r>
        <w:rPr>
          <w:rFonts w:ascii="Calibri" w:hAnsi="Calibri"/>
          <w:b/>
          <w:color w:val="222222"/>
          <w:sz w:val="20"/>
          <w:szCs w:val="20"/>
        </w:rPr>
        <w:t xml:space="preserve">Adds regional resilience and a single global entry point.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A second-region Container Apps environment with one replica, a secondary SQL server joined to the primary by a failover group, and Azure Front Door Standard as the global entry point. The geo-secondary database bills at the same rate as the primary. Front Door requests and data transfer are additional usage meters not included here.</w:t>
      </w:r>
    </w:p>
    <w:p>
      <w:pPr>
        <w:spacing w:before="240" w:after="20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Line-by-line breakdown</w:t>
      </w:r>
    </w:p>
    <w:tbl>
      <w:tblPr>
        <w:tblW w:w="0" w:type="auto"/>
        <w:tblLayout w:type="fixed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760"/>
        <w:gridCol w:w="4000"/>
        <w:gridCol w:w="700"/>
        <w:gridCol w:w="1750"/>
        <w:gridCol w:w="2150"/>
      </w:tblGrid>
      <w:tr>
        <w:trPr>
          <w:tblHeader/>
        </w:trPr>
        <w:tc>
          <w:tcPr>
            <w:tcW w:w="76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Level</w:t>
            </w:r>
          </w:p>
        </w:tc>
        <w:tc>
          <w:tcPr>
            <w:tcW w:w="40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Resource</w:t>
            </w:r>
          </w:p>
        </w:tc>
        <w:tc>
          <w:tcPr>
            <w:tcW w:w="7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Qty</w:t>
            </w:r>
          </w:p>
        </w:tc>
        <w:tc>
          <w:tcPr>
            <w:tcW w:w="175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Unit rate/hr</w:t>
            </w:r>
          </w:p>
        </w:tc>
        <w:tc>
          <w:tcPr>
            <w:tcW w:w="215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Cost/hr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Linux VM (Standard_B2s)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$0.04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$0.04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OS disk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Azure Bastion Basic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$0.19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$0.19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Public IP (Bastion)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L1 subtotal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$0.24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Linux VMs (Standard_B2s)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$0.04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$0.12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OS disks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Azure Firewall Standard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$1.25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$1.25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Public IP (firewall)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Internal Standard Load Balancer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$0.03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$0.03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L2 subtotal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$1.41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Container Apps replica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Azure SQL Database Basic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Private endpoints (SQL, Key Vault)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$0.02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Private DNS zones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Key Vault, identity, alert rule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L3 subtotal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$0.08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Container Apps replica (secondary region)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SQL geo-secondary database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Front Door Standard base fee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L4 subtotal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$0.11</w:t>
            </w:r>
          </w:p>
        </w:tc>
      </w:tr>
      <w:tr>
        <w:tc>
          <w:tcPr>
            <w:tcW w:w="7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40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Full L4 stack, per hour</w:t>
            </w:r>
          </w:p>
        </w:tc>
        <w:tc>
          <w:tcPr>
            <w:tcW w:w="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17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w="215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$1.84</w:t>
            </w:r>
          </w:p>
        </w:tc>
      </w:tr>
    </w:tbl>
    <w:p>
      <w:pPr>
        <w:spacing w:after="60"/>
      </w:pPr>
    </w:p>
    <w:p>
      <w:pPr>
        <w:spacing w:before="240" w:after="20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Where these rates come from</w:t>
      </w:r>
    </w:p>
    <w:tbl>
      <w:tblPr>
        <w:tblW w:w="0" w:type="auto"/>
        <w:tblLayout w:type="fixed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4200"/>
        <w:gridCol w:w="1700"/>
        <w:gridCol w:w="3460"/>
      </w:tblGrid>
      <w:tr>
        <w:trPr>
          <w:tblHeader/>
        </w:trPr>
        <w:tc>
          <w:tcPr>
            <w:tcW w:w="42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Resource</w:t>
            </w:r>
          </w:p>
        </w:tc>
        <w:tc>
          <w:tcPr>
            <w:tcW w:w="170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Rate per hour</w:t>
            </w:r>
          </w:p>
        </w:tc>
        <w:tc>
          <w:tcPr>
            <w:tcW w:w="3460" w:type="dxa"/>
            <w:shd w:val="clear" w:color="auto" w:fill="E8EEF5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Linux VM Standard_B2s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$0.04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OS disk, Standard HDD S4 (32 GiB)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List ($1.54/mo)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Azure Bastion Basic gateway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$0.19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Standard public IP address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List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Azure Firewall Standard deployment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$1.25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Standard Load Balancer (first 5 rules)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$0.03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List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Container Apps replica, 0.5 vCPU + 1 GiB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Verified (per-second meters)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Azure SQL Database Basic (5 DTU)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Verified ($0.161/day)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Private endpoint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$0.01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List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Private DNS zone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List ($0.50/mo)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Front Door Standard base fee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$0.05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List ($35/mo)</w:t>
            </w:r>
          </w:p>
        </w:tc>
      </w:tr>
      <w:tr>
        <w:tc>
          <w:tcPr>
            <w:tcW w:w="42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Key Vault, managed identity, alert rule</w:t>
            </w:r>
          </w:p>
        </w:tc>
        <w:tc>
          <w:tcPr>
            <w:tcW w:w="170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w="3460" w:type="dxa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22222"/>
                <w:sz w:val="19"/>
                <w:szCs w:val="19"/>
              </w:rPr>
              <w:t xml:space="preserve">Usage-based, rounded</w:t>
            </w:r>
          </w:p>
        </w:tc>
      </w:tr>
    </w:tbl>
    <w:p>
      <w:pPr>
        <w:spacing w:after="60"/>
      </w:pPr>
    </w:p>
    <w:p>
      <w:pPr>
        <w:spacing w:before="240" w:after="20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Assumptions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Region: East US 2 for L1-L3, with West US 2 as the L4 secondary region, matching the Bicep defaults.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Pricing basis: US pay-as-you-go retail list pricing. Your invoice will differ under an EA, CSP or MCA agreement.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VMs run for the entire hour and are not deallocated.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Container Apps run at the configured minimum of one 0.5 vCPU / 1 GiB replica per region. The monthly free grant is ignored, so short demos cost less than shown.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Azure Firewall also bills $0.016 per GB processed, and a separate capacity-unit meter at $0.07/hr applies above the base deployment charge. Neither is included above.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Network traffic, VNet peering data, SQL backup growth, Log Analytics ingestion, Application Insights telemetry and Front Door requests are excluded or assumed negligible.</w:t>
      </w:r>
    </w:p>
    <w:p>
      <w:pPr>
        <w:spacing w:after="80" w:line="264" w:lineRule="auto"/>
        <w:ind w:left="360" w:hanging="180"/>
      </w:pPr>
      <w:r>
        <w:rPr>
          <w:rFonts w:ascii="Calibri" w:hAnsi="Calibri"/>
          <w:color w:val="222222"/>
          <w:sz w:val="20"/>
          <w:szCs w:val="20"/>
        </w:rPr>
        <w:t xml:space="preserve">•  The optional L1 VPN Gateway is not included because it is commented out in the template.</w:t>
      </w:r>
    </w:p>
    <w:p>
      <w:pPr>
        <w:spacing w:before="240" w:after="20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Important cost notes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Azure Firewall and Bastion bill while deployed, whether or not anyone is using the lab - together they are $1.44/hr, over 85 percent of the L2 running total. Tear the lab down when you are finished: run the Teardown labs workflow, or scripts/Cleanup-Labs.ps1 -ResourceGroup &lt;rg&gt;. Do not delete only the firewall to save money - both spoke subnets route 0.0.0.0/0 at its private IP, so the surviving VMs lose all connectivity and keep billing.</w:t>
      </w:r>
    </w:p>
    <w:p>
      <w:pPr>
        <w:spacing w:before="0" w:after="120" w:line="264" w:lineRule="auto"/>
      </w:pPr>
      <w:r>
        <w:rPr>
          <w:rFonts w:ascii="Calibri" w:hAnsi="Calibri"/>
          <w:b/>
          <w:color w:val="7A5A00"/>
          <w:sz w:val="20"/>
          <w:szCs w:val="20"/>
        </w:rPr>
        <w:t xml:space="preserve">For a live presentation, budget $2.00 to $2.25 for one full L4 hour to cover normal request and telemetry activity.</w:t>
      </w:r>
    </w:p>
    <w:p>
      <w:pPr>
        <w:spacing w:before="0" w:after="120" w:line="264" w:lineRule="auto"/>
      </w:pPr>
      <w:r>
        <w:rPr>
          <w:rFonts w:ascii="Calibri" w:hAnsi="Calibri"/>
          <w:color w:val="222222"/>
          <w:sz w:val="20"/>
          <w:szCs w:val="20"/>
        </w:rPr>
        <w:t xml:space="preserve">These are planning estimates, not a quote. Confirm with the Azure Pricing Calculator or Cost Management before committing a budget.</w:t>
      </w:r>
    </w:p>
    <w:p>
      <w:pPr>
        <w:spacing w:before="240" w:after="200" w:line="264" w:lineRule="auto"/>
      </w:pPr>
      <w:r>
        <w:rPr>
          <w:rFonts w:ascii="Calibri" w:hAnsi="Calibri"/>
          <w:b/>
          <w:color w:val="2E74B5"/>
          <w:sz w:val="32"/>
          <w:szCs w:val="32"/>
        </w:rPr>
        <w:t xml:space="preserve">Reference links</w:t>
      </w:r>
    </w:p>
    <w:p>
      <w:pPr>
        <w:spacing w:before="0" w:after="60" w:line="264" w:lineRule="auto"/>
      </w:pPr>
      <w:r>
        <w:rPr>
          <w:rFonts w:ascii="Calibri" w:hAnsi="Calibri"/>
          <w:color w:val="555555"/>
          <w:sz w:val="18"/>
          <w:szCs w:val="18"/>
        </w:rPr>
        <w:t xml:space="preserve">Azure pricing overview: https://azure.microsoft.com/pricing/</w:t>
      </w:r>
    </w:p>
    <w:p>
      <w:pPr>
        <w:spacing w:before="0" w:after="60" w:line="264" w:lineRule="auto"/>
      </w:pPr>
      <w:r>
        <w:rPr>
          <w:rFonts w:ascii="Calibri" w:hAnsi="Calibri"/>
          <w:color w:val="555555"/>
          <w:sz w:val="18"/>
          <w:szCs w:val="18"/>
        </w:rPr>
        <w:t xml:space="preserve">Azure Firewall pricing: https://azure.microsoft.com/pricing/details/azure-firewall/</w:t>
      </w:r>
    </w:p>
    <w:p>
      <w:pPr>
        <w:spacing w:before="0" w:after="60" w:line="264" w:lineRule="auto"/>
      </w:pPr>
      <w:r>
        <w:rPr>
          <w:rFonts w:ascii="Calibri" w:hAnsi="Calibri"/>
          <w:color w:val="555555"/>
          <w:sz w:val="18"/>
          <w:szCs w:val="18"/>
        </w:rPr>
        <w:t xml:space="preserve">Azure Bastion pricing: https://azure.microsoft.com/pricing/details/azure-bastion/</w:t>
      </w:r>
    </w:p>
    <w:p>
      <w:pPr>
        <w:spacing w:before="0" w:after="60" w:line="264" w:lineRule="auto"/>
      </w:pPr>
      <w:r>
        <w:rPr>
          <w:rFonts w:ascii="Calibri" w:hAnsi="Calibri"/>
          <w:color w:val="555555"/>
          <w:sz w:val="18"/>
          <w:szCs w:val="18"/>
        </w:rPr>
        <w:t xml:space="preserve">Azure SQL Database pricing: https://azure.microsoft.com/pricing/details/azure-sql-database/single/</w:t>
      </w:r>
    </w:p>
    <w:p>
      <w:pPr>
        <w:spacing w:before="0" w:after="60" w:line="264" w:lineRule="auto"/>
      </w:pPr>
      <w:r>
        <w:rPr>
          <w:rFonts w:ascii="Calibri" w:hAnsi="Calibri"/>
          <w:color w:val="555555"/>
          <w:sz w:val="18"/>
          <w:szCs w:val="18"/>
        </w:rPr>
        <w:t xml:space="preserve">Azure Front Door pricing: https://azure.microsoft.com/pricing/details/frontdoor/</w:t>
      </w:r>
    </w:p>
    <w:sectPr>
      <w:footerReference w:type="default" r:id="rId2"/>
      <w:pgSz w:w="12240" w:h="15840"/>
      <w:pgMar w:top="1440" w:right="1440" w:bottom="1440" w:left="1440" w:header="708" w:footer="432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  <w:spacing w:after="0"/>
    </w:pPr>
    <w:r>
      <w:rPr>
        <w:rFonts w:ascii="Calibri" w:hAnsi="Calibri"/>
        <w:color w:val="777777"/>
        <w:sz w:val="15"/>
        <w:szCs w:val="15"/>
      </w:rPr>
      <w:t xml:space="preserve">IaC Demo | Cost Printout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IaC Demo Resource Cost Printout</dc:title>
  <dc:creator>Build-CostDocs.ps1</dc:creator>
</cp:coreProperties>
</file>