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07A"/>
          <w:spacing w:val="40"/>
          <w:sz w:val="18"/>
          <w:szCs w:val="18"/>
        </w:rPr>
        <w:t xml:space="preserve">PRIMARY HOMES INCORPORATED</w:t>
      </w:r>
    </w:p>
    <w:p>
      <w:pPr>
        <w:spacing w:after="60"/>
      </w:pPr>
      <w:r>
        <w:rPr>
          <w:b/>
          <w:bCs/>
          <w:color w:val="0F1D4A"/>
          <w:sz w:val="40"/>
          <w:szCs w:val="40"/>
        </w:rPr>
        <w:t xml:space="preserve">Commercial and Contract Clarifications</w:t>
      </w:r>
    </w:p>
    <w:p>
      <w:pPr>
        <w:pBdr>
          <w:bottom w:val="single" w:color="0F1D4A" w:sz="12" w:space="8"/>
        </w:pBdr>
        <w:spacing w:after="240"/>
      </w:pPr>
      <w:r>
        <w:rPr>
          <w:color w:val="44507A"/>
          <w:sz w:val="24"/>
          <w:szCs w:val="24"/>
        </w:rPr>
        <w:t xml:space="preserve">Statement of Work No. S343096 — Odoo v19 ERP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color w:val="0F1D4A"/>
              </w:rPr>
              <w:t xml:space="preserve">To</w:t>
            </w:r>
          </w:p>
        </w:tc>
        <w:tc>
          <w:tcPr>
            <w:tcW w:type="dxa" w:w="81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rPr>
              <w:t xml:space="preserve">Ms. Bernadette M. Cadaing, Chief, Solution Sales, Achieve Without Borders Inc.</w:t>
            </w:r>
          </w:p>
        </w:tc>
      </w:tr>
      <w:tr>
        <w:tc>
          <w:tcPr>
            <w:tcW w:type="dxa" w:w="15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color w:val="0F1D4A"/>
              </w:rPr>
              <w:t xml:space="preserve">From</w:t>
            </w:r>
          </w:p>
        </w:tc>
        <w:tc>
          <w:tcPr>
            <w:tcW w:type="dxa" w:w="81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rPr>
              <w:t xml:space="preserve">[Name], [Position], Primary Group of Builders Inc. / Primary Homes Incorporated</w:t>
            </w:r>
          </w:p>
        </w:tc>
      </w:tr>
      <w:tr>
        <w:tc>
          <w:tcPr>
            <w:tcW w:type="dxa" w:w="15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color w:val="0F1D4A"/>
              </w:rPr>
              <w:t xml:space="preserve">Date</w:t>
            </w:r>
          </w:p>
        </w:tc>
        <w:tc>
          <w:tcPr>
            <w:tcW w:type="dxa" w:w="81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rPr>
              <w:t xml:space="preserve">25 September 2026</w:t>
            </w:r>
          </w:p>
        </w:tc>
      </w:tr>
      <w:tr>
        <w:tc>
          <w:tcPr>
            <w:tcW w:type="dxa" w:w="15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color w:val="0F1D4A"/>
              </w:rPr>
              <w:t xml:space="preserve">Subject</w:t>
            </w:r>
          </w:p>
        </w:tc>
        <w:tc>
          <w:tcPr>
            <w:tcW w:type="dxa" w:w="81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rPr>
              <w:t xml:space="preserve">Commercial and contract clarifications — SOW No. S343096, Odoo v19 ERP Implementation (vendor-signed 24 September 2026)</w:t>
            </w:r>
          </w:p>
        </w:tc>
      </w:tr>
    </w:tbl>
    <w:p>
      <w:pPr>
        <w:spacing w:after="120" w:line="276"/>
      </w:pPr>
      <w:r>
        <w:t xml:space="preserve"/>
      </w:r>
    </w:p>
    <w:p>
      <w:pPr>
        <w:spacing w:after="120" w:line="276"/>
      </w:pPr>
      <w:r>
        <w:t xml:space="preserve">Dear Ms. Cadaing,</w:t>
      </w:r>
    </w:p>
    <w:p>
      <w:pPr>
        <w:spacing w:after="120" w:line="276"/>
      </w:pPr>
      <w:r>
        <w:t xml:space="preserve">Thank you for the Statement of Work for PHI's Odoo v19 implementation. We have reviewed it together with our internal process blueprint, and before we proceed to signature we would like to clarify the commercial and contract points below. Each point states what we observed in the SOW and what we are requesting.</w:t>
      </w:r>
    </w:p>
    <w:p>
      <w:pPr>
        <w:spacing w:after="120" w:line="276"/>
      </w:pPr>
      <w:r>
        <w:t xml:space="preserve">Our functional scope observations (the gap analysis between the SOW and PHI's process requirements) are listed in Appendix A, as several of those items affect points 1 and 8 below.</w:t>
      </w:r>
    </w:p>
    <w:p>
      <w:pPr>
        <w:pStyle w:val="Heading1"/>
      </w:pPr>
      <w:r>
        <w:t xml:space="preserve">Summary of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1500"/>
        <w:gridCol w:w="4918"/>
      </w:tblGrid>
      <w:tr>
        <w:trPr>
          <w:tblHeader/>
        </w:trPr>
        <w:tc>
          <w:tcPr>
            <w:tcW w:type="dxa" w:w="520"/>
            <w:tcBorders>
              <w:top w:val="single" w:color="C7D0E4" w:sz="4"/>
              <w:left w:val="single" w:color="C7D0E4" w:sz="4"/>
              <w:bottom w:val="single" w:color="C7D0E4" w:sz="4"/>
              <w:right w:val="single" w:color="C7D0E4" w:sz="4"/>
            </w:tcBorders>
            <w:shd w:fill="0F1D4A" w:color="auto" w:val="clear"/>
            <w:tcMar>
              <w:top w:type="dxa" w:w="80"/>
              <w:left w:type="dxa" w:w="110"/>
              <w:bottom w:type="dxa" w:w="80"/>
              <w:right w:type="dxa" w:w="110"/>
            </w:tcMar>
          </w:tcPr>
          <w:p>
            <w:r>
              <w:rPr>
                <w:b/>
                <w:bCs/>
                <w:color w:val="FFFFFF"/>
                <w:sz w:val="19"/>
                <w:szCs w:val="19"/>
              </w:rPr>
              <w:t xml:space="preserve">#</w:t>
            </w:r>
          </w:p>
        </w:tc>
        <w:tc>
          <w:tcPr>
            <w:tcW w:type="dxa" w:w="2700"/>
            <w:tcBorders>
              <w:top w:val="single" w:color="C7D0E4" w:sz="4"/>
              <w:left w:val="single" w:color="C7D0E4" w:sz="4"/>
              <w:bottom w:val="single" w:color="C7D0E4" w:sz="4"/>
              <w:right w:val="single" w:color="C7D0E4" w:sz="4"/>
            </w:tcBorders>
            <w:shd w:fill="0F1D4A" w:color="auto" w:val="clear"/>
            <w:tcMar>
              <w:top w:type="dxa" w:w="80"/>
              <w:left w:type="dxa" w:w="110"/>
              <w:bottom w:type="dxa" w:w="80"/>
              <w:right w:type="dxa" w:w="110"/>
            </w:tcMar>
          </w:tcPr>
          <w:p>
            <w:r>
              <w:rPr>
                <w:b/>
                <w:bCs/>
                <w:color w:val="FFFFFF"/>
                <w:sz w:val="19"/>
                <w:szCs w:val="19"/>
              </w:rPr>
              <w:t xml:space="preserve">Topic</w:t>
            </w:r>
          </w:p>
        </w:tc>
        <w:tc>
          <w:tcPr>
            <w:tcW w:type="dxa" w:w="1500"/>
            <w:tcBorders>
              <w:top w:val="single" w:color="C7D0E4" w:sz="4"/>
              <w:left w:val="single" w:color="C7D0E4" w:sz="4"/>
              <w:bottom w:val="single" w:color="C7D0E4" w:sz="4"/>
              <w:right w:val="single" w:color="C7D0E4" w:sz="4"/>
            </w:tcBorders>
            <w:shd w:fill="0F1D4A" w:color="auto" w:val="clear"/>
            <w:tcMar>
              <w:top w:type="dxa" w:w="80"/>
              <w:left w:type="dxa" w:w="110"/>
              <w:bottom w:type="dxa" w:w="80"/>
              <w:right w:type="dxa" w:w="110"/>
            </w:tcMar>
          </w:tcPr>
          <w:p>
            <w:r>
              <w:rPr>
                <w:b/>
                <w:bCs/>
                <w:color w:val="FFFFFF"/>
                <w:sz w:val="19"/>
                <w:szCs w:val="19"/>
              </w:rPr>
              <w:t xml:space="preserve">SOW reference</w:t>
            </w:r>
          </w:p>
        </w:tc>
        <w:tc>
          <w:tcPr>
            <w:tcW w:type="dxa" w:w="4918"/>
            <w:tcBorders>
              <w:top w:val="single" w:color="C7D0E4" w:sz="4"/>
              <w:left w:val="single" w:color="C7D0E4" w:sz="4"/>
              <w:bottom w:val="single" w:color="C7D0E4" w:sz="4"/>
              <w:right w:val="single" w:color="C7D0E4" w:sz="4"/>
            </w:tcBorders>
            <w:shd w:fill="0F1D4A" w:color="auto" w:val="clear"/>
            <w:tcMar>
              <w:top w:type="dxa" w:w="80"/>
              <w:left w:type="dxa" w:w="110"/>
              <w:bottom w:type="dxa" w:w="80"/>
              <w:right w:type="dxa" w:w="110"/>
            </w:tcMar>
          </w:tcPr>
          <w:p>
            <w:r>
              <w:rPr>
                <w:b/>
                <w:bCs/>
                <w:color w:val="FFFFFF"/>
                <w:sz w:val="19"/>
                <w:szCs w:val="19"/>
              </w:rPr>
              <w:t xml:space="preserve">Request</w:t>
            </w:r>
          </w:p>
        </w:tc>
      </w:tr>
      <w:tr>
        <w:tc>
          <w:tcPr>
            <w:tcW w:type="dxa" w:w="52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1</w:t>
            </w:r>
          </w:p>
        </w:tc>
        <w:tc>
          <w:tcPr>
            <w:tcW w:type="dxa" w:w="27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9"/>
                <w:szCs w:val="19"/>
              </w:rPr>
              <w:t xml:space="preserve">Development effort versus itemized customizations</w:t>
            </w:r>
          </w:p>
        </w:tc>
        <w:tc>
          <w:tcPr>
            <w:tcW w:type="dxa" w:w="15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§3.1, §3.3, §5.1</w:t>
            </w:r>
          </w:p>
        </w:tc>
        <w:tc>
          <w:tcPr>
            <w:tcW w:type="dxa" w:w="491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Reconcile §3.3 with §5.1; confirm all §3.1 and §3.3 features are within the fixed fee.</w:t>
            </w:r>
          </w:p>
        </w:tc>
      </w:tr>
      <w:tr>
        <w:tc>
          <w:tcPr>
            <w:tcW w:type="dxa" w:w="52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2</w:t>
            </w:r>
          </w:p>
        </w:tc>
        <w:tc>
          <w:tcPr>
            <w:tcW w:type="dxa" w:w="27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9"/>
                <w:szCs w:val="19"/>
              </w:rPr>
              <w:t xml:space="preserve">Role columns in the effort table</w:t>
            </w:r>
          </w:p>
        </w:tc>
        <w:tc>
          <w:tcPr>
            <w:tcW w:type="dxa" w:w="15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§5.1</w:t>
            </w:r>
          </w:p>
        </w:tc>
        <w:tc>
          <w:tcPr>
            <w:tcW w:type="dxa" w:w="491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Confirm whether columns are transposed; share team composition.</w:t>
            </w:r>
          </w:p>
        </w:tc>
      </w:tr>
      <w:tr>
        <w:tc>
          <w:tcPr>
            <w:tcW w:type="dxa" w:w="52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3</w:t>
            </w:r>
          </w:p>
        </w:tc>
        <w:tc>
          <w:tcPr>
            <w:tcW w:type="dxa" w:w="27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9"/>
                <w:szCs w:val="19"/>
              </w:rPr>
              <w:t xml:space="preserve">Customer Loans &amp; Financing row total</w:t>
            </w:r>
          </w:p>
        </w:tc>
        <w:tc>
          <w:tcPr>
            <w:tcW w:type="dxa" w:w="15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§5.1</w:t>
            </w:r>
          </w:p>
        </w:tc>
        <w:tc>
          <w:tcPr>
            <w:tcW w:type="dxa" w:w="491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Correct the row and confirm the total effort.</w:t>
            </w:r>
          </w:p>
        </w:tc>
      </w:tr>
      <w:tr>
        <w:tc>
          <w:tcPr>
            <w:tcW w:type="dxa" w:w="52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4</w:t>
            </w:r>
          </w:p>
        </w:tc>
        <w:tc>
          <w:tcPr>
            <w:tcW w:type="dxa" w:w="27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9"/>
                <w:szCs w:val="19"/>
              </w:rPr>
              <w:t xml:space="preserve">Payment gateway: in scope and out of scope</w:t>
            </w:r>
          </w:p>
        </w:tc>
        <w:tc>
          <w:tcPr>
            <w:tcW w:type="dxa" w:w="15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§3.3 #76, §9</w:t>
            </w:r>
          </w:p>
        </w:tc>
        <w:tc>
          <w:tcPr>
            <w:tcW w:type="dxa" w:w="491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Clarify the scope of #76 and adjust man-days if the gateway is excluded.</w:t>
            </w:r>
          </w:p>
        </w:tc>
      </w:tr>
      <w:tr>
        <w:tc>
          <w:tcPr>
            <w:tcW w:type="dxa" w:w="52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5</w:t>
            </w:r>
          </w:p>
        </w:tc>
        <w:tc>
          <w:tcPr>
            <w:tcW w:type="dxa" w:w="27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9"/>
                <w:szCs w:val="19"/>
              </w:rPr>
              <w:t xml:space="preserve">Man-day rates</w:t>
            </w:r>
          </w:p>
        </w:tc>
        <w:tc>
          <w:tcPr>
            <w:tcW w:type="dxa" w:w="15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Cover page, §10.2</w:t>
            </w:r>
          </w:p>
        </w:tc>
        <w:tc>
          <w:tcPr>
            <w:tcW w:type="dxa" w:w="491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Apply PHP 10,000 to flex and change requests through hypercare.</w:t>
            </w:r>
          </w:p>
        </w:tc>
      </w:tr>
      <w:tr>
        <w:tc>
          <w:tcPr>
            <w:tcW w:type="dxa" w:w="52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6</w:t>
            </w:r>
          </w:p>
        </w:tc>
        <w:tc>
          <w:tcPr>
            <w:tcW w:type="dxa" w:w="27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9"/>
                <w:szCs w:val="19"/>
              </w:rPr>
              <w:t xml:space="preserve">Payment milestone weighting</w:t>
            </w:r>
          </w:p>
        </w:tc>
        <w:tc>
          <w:tcPr>
            <w:tcW w:type="dxa" w:w="15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§11</w:t>
            </w:r>
          </w:p>
        </w:tc>
        <w:tc>
          <w:tcPr>
            <w:tcW w:type="dxa" w:w="491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Rebalance milestones toward tested delivery; confirm how the discount is applied.</w:t>
            </w:r>
          </w:p>
        </w:tc>
      </w:tr>
      <w:tr>
        <w:tc>
          <w:tcPr>
            <w:tcW w:type="dxa" w:w="52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7</w:t>
            </w:r>
          </w:p>
        </w:tc>
        <w:tc>
          <w:tcPr>
            <w:tcW w:type="dxa" w:w="27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9"/>
                <w:szCs w:val="19"/>
              </w:rPr>
              <w:t xml:space="preserve">Deemed acceptance</w:t>
            </w:r>
          </w:p>
        </w:tc>
        <w:tc>
          <w:tcPr>
            <w:tcW w:type="dxa" w:w="15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§11, §12 (and MSA §2.2)</w:t>
            </w:r>
          </w:p>
        </w:tc>
        <w:tc>
          <w:tcPr>
            <w:tcW w:type="dxa" w:w="491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10-working-day review; written sign-off for milestone deliverables.</w:t>
            </w:r>
          </w:p>
        </w:tc>
      </w:tr>
      <w:tr>
        <w:tc>
          <w:tcPr>
            <w:tcW w:type="dxa" w:w="52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8</w:t>
            </w:r>
          </w:p>
        </w:tc>
        <w:tc>
          <w:tcPr>
            <w:tcW w:type="dxa" w:w="27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9"/>
                <w:szCs w:val="19"/>
              </w:rPr>
              <w:t xml:space="preserve">Size of the Flex Allocation</w:t>
            </w:r>
          </w:p>
        </w:tc>
        <w:tc>
          <w:tcPr>
            <w:tcW w:type="dxa" w:w="15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§10.3</w:t>
            </w:r>
          </w:p>
        </w:tc>
        <w:tc>
          <w:tcPr>
            <w:tcW w:type="dxa" w:w="491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Price the Appendix A items into the base scope before signature.</w:t>
            </w:r>
          </w:p>
        </w:tc>
      </w:tr>
      <w:tr>
        <w:tc>
          <w:tcPr>
            <w:tcW w:type="dxa" w:w="52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9</w:t>
            </w:r>
          </w:p>
        </w:tc>
        <w:tc>
          <w:tcPr>
            <w:tcW w:type="dxa" w:w="27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9"/>
                <w:szCs w:val="19"/>
              </w:rPr>
              <w:t xml:space="preserve">Ownership of the Lot model and custom modules</w:t>
            </w:r>
          </w:p>
        </w:tc>
        <w:tc>
          <w:tcPr>
            <w:tcW w:type="dxa" w:w="15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§2, §3.4, §8</w:t>
            </w:r>
          </w:p>
        </w:tc>
        <w:tc>
          <w:tcPr>
            <w:tcW w:type="dxa" w:w="491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Confirm IP, licence, source-code access and upgrade approach.</w:t>
            </w:r>
          </w:p>
        </w:tc>
      </w:tr>
      <w:tr>
        <w:tc>
          <w:tcPr>
            <w:tcW w:type="dxa" w:w="52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10</w:t>
            </w:r>
          </w:p>
        </w:tc>
        <w:tc>
          <w:tcPr>
            <w:tcW w:type="dxa" w:w="27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9"/>
                <w:szCs w:val="19"/>
              </w:rPr>
              <w:t xml:space="preserve">Unfilled placeholders</w:t>
            </w:r>
          </w:p>
        </w:tc>
        <w:tc>
          <w:tcPr>
            <w:tcW w:type="dxa" w:w="15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Cover page, §1, §10.1, §10.5</w:t>
            </w:r>
          </w:p>
        </w:tc>
        <w:tc>
          <w:tcPr>
            <w:tcW w:type="dxa" w:w="491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Complete all placeholders; confirm the fee is PHP 7,090,000 ex-VAT.</w:t>
            </w:r>
          </w:p>
        </w:tc>
      </w:tr>
      <w:tr>
        <w:tc>
          <w:tcPr>
            <w:tcW w:type="dxa" w:w="52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11</w:t>
            </w:r>
          </w:p>
        </w:tc>
        <w:tc>
          <w:tcPr>
            <w:tcW w:type="dxa" w:w="27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9"/>
                <w:szCs w:val="19"/>
              </w:rPr>
              <w:t xml:space="preserve">Onsite meetings and travel</w:t>
            </w:r>
          </w:p>
        </w:tc>
        <w:tc>
          <w:tcPr>
            <w:tcW w:type="dxa" w:w="15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§8, §10.5</w:t>
            </w:r>
          </w:p>
        </w:tc>
        <w:tc>
          <w:tcPr>
            <w:tcW w:type="dxa" w:w="491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Confirm the three onsite meetings are in Cebu at no extra cost.</w:t>
            </w:r>
          </w:p>
        </w:tc>
      </w:tr>
      <w:tr>
        <w:tc>
          <w:tcPr>
            <w:tcW w:type="dxa" w:w="52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12</w:t>
            </w:r>
          </w:p>
        </w:tc>
        <w:tc>
          <w:tcPr>
            <w:tcW w:type="dxa" w:w="27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9"/>
                <w:szCs w:val="19"/>
              </w:rPr>
              <w:t xml:space="preserve">Training coverage</w:t>
            </w:r>
          </w:p>
        </w:tc>
        <w:tc>
          <w:tcPr>
            <w:tcW w:type="dxa" w:w="15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§8</w:t>
            </w:r>
          </w:p>
        </w:tc>
        <w:tc>
          <w:tcPr>
            <w:tcW w:type="dxa" w:w="491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Share a per-workstream training plan and pricing for extra sessions.</w:t>
            </w:r>
          </w:p>
        </w:tc>
      </w:tr>
      <w:tr>
        <w:tc>
          <w:tcPr>
            <w:tcW w:type="dxa" w:w="52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13</w:t>
            </w:r>
          </w:p>
        </w:tc>
        <w:tc>
          <w:tcPr>
            <w:tcW w:type="dxa" w:w="27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9"/>
                <w:szCs w:val="19"/>
              </w:rPr>
              <w:t xml:space="preserve">Contracting and in-scope entities</w:t>
            </w:r>
          </w:p>
        </w:tc>
        <w:tc>
          <w:tcPr>
            <w:tcW w:type="dxa" w:w="15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Cover page, §1, §3.4</w:t>
            </w:r>
          </w:p>
        </w:tc>
        <w:tc>
          <w:tcPr>
            <w:tcW w:type="dxa" w:w="491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9"/>
                <w:szCs w:val="19"/>
              </w:rPr>
              <w:t xml:space="preserve">Confirm in-scope entities and the billing entity.</w:t>
            </w:r>
          </w:p>
        </w:tc>
      </w:tr>
      <w:tr>
        <w:tc>
          <w:tcPr>
            <w:tcW w:type="dxa" w:w="52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14</w:t>
            </w:r>
          </w:p>
        </w:tc>
        <w:tc>
          <w:tcPr>
            <w:tcW w:type="dxa" w:w="27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9"/>
                <w:szCs w:val="19"/>
              </w:rPr>
              <w:t xml:space="preserve">Defect response and resolution targets</w:t>
            </w:r>
          </w:p>
        </w:tc>
        <w:tc>
          <w:tcPr>
            <w:tcW w:type="dxa" w:w="15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§6, §12</w:t>
            </w:r>
          </w:p>
        </w:tc>
        <w:tc>
          <w:tcPr>
            <w:tcW w:type="dxa" w:w="491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9"/>
                <w:szCs w:val="19"/>
              </w:rPr>
              <w:t xml:space="preserve">Define severity levels with response and resolution targets.</w:t>
            </w:r>
          </w:p>
        </w:tc>
      </w:tr>
    </w:tbl>
    <w:p>
      <w:pPr>
        <w:pStyle w:val="Heading1"/>
      </w:pPr>
      <w:r>
        <w:t xml:space="preserve">Details</w:t>
      </w:r>
    </w:p>
    <w:p>
      <w:pPr>
        <w:pStyle w:val="Heading2"/>
        <w:keepNext/>
      </w:pPr>
      <w:r>
        <w:t xml:space="preserve">1. Development effort versus itemized customizations</w:t>
      </w:r>
    </w:p>
    <w:p>
      <w:pPr>
        <w:keepNext/>
        <w:spacing w:after="80"/>
      </w:pPr>
      <w:r>
        <w:rPr>
          <w:i/>
          <w:iCs/>
          <w:color w:val="44507A"/>
          <w:sz w:val="19"/>
          <w:szCs w:val="19"/>
        </w:rPr>
        <w:t xml:space="preserve">SOW reference: §3.1, §3.3, §5.1</w:t>
      </w:r>
    </w:p>
    <w:p>
      <w:pPr>
        <w:spacing w:after="100" w:line="276"/>
      </w:pPr>
      <w:r>
        <w:rPr>
          <w:b/>
          <w:bCs/>
          <w:color w:val="0F1D4A"/>
        </w:rPr>
        <w:t xml:space="preserve">Observation: </w:t>
      </w:r>
      <w:r>
        <w:t xml:space="preserve">The 100 customizations itemized in §3.3 total 573.12 development man-days. §5.1 allocates 386 person-days to development (Dev Lead 285 + Developer 101), which is 187.12 person-days fewer. §3.1 also describes features that have no line in §3.3, including the land banking register and carrying cost ledger, supplier accreditation and performance rating, the TORC budget rule builder and the project P&amp;L.</w:t>
      </w:r>
    </w:p>
    <w:p>
      <w:pPr>
        <w:spacing w:after="100" w:line="276"/>
      </w:pPr>
      <w:r>
        <w:rPr>
          <w:b/>
          <w:bCs/>
          <w:color w:val="0F1D4A"/>
        </w:rPr>
        <w:t xml:space="preserve">Request: </w:t>
      </w:r>
      <w:r>
        <w:t xml:space="preserve">Please reconcile §3.3 with §5.1, and confirm in writing that every feature described in §3.1 and §3.3 is delivered within the Fixed Base Implementation Fee, without drawing on any Flex Allocation.</w:t>
      </w:r>
    </w:p>
    <w:p>
      <w:pPr>
        <w:pStyle w:val="Heading2"/>
        <w:keepNext/>
      </w:pPr>
      <w:r>
        <w:t xml:space="preserve">2. Role columns in the effort table</w:t>
      </w:r>
    </w:p>
    <w:p>
      <w:pPr>
        <w:keepNext/>
        <w:spacing w:after="80"/>
      </w:pPr>
      <w:r>
        <w:rPr>
          <w:i/>
          <w:iCs/>
          <w:color w:val="44507A"/>
          <w:sz w:val="19"/>
          <w:szCs w:val="19"/>
        </w:rPr>
        <w:t xml:space="preserve">SOW reference: §5.1</w:t>
      </w:r>
    </w:p>
    <w:p>
      <w:pPr>
        <w:spacing w:after="100" w:line="276"/>
      </w:pPr>
      <w:r>
        <w:rPr>
          <w:b/>
          <w:bCs/>
          <w:color w:val="0F1D4A"/>
        </w:rPr>
        <w:t xml:space="preserve">Observation: </w:t>
      </w:r>
      <w:r>
        <w:t xml:space="preserve">As printed, the Dev Lead column carries 285 person-days and the Developer column 101. This appears to be the reverse of the intended team shape.</w:t>
      </w:r>
    </w:p>
    <w:p>
      <w:pPr>
        <w:spacing w:after="100" w:line="276"/>
      </w:pPr>
      <w:r>
        <w:rPr>
          <w:b/>
          <w:bCs/>
          <w:color w:val="0F1D4A"/>
        </w:rPr>
        <w:t xml:space="preserve">Request: </w:t>
      </w:r>
      <w:r>
        <w:t xml:space="preserve">Please confirm whether the columns are transposed and share the proposed team composition, with named roles and allocation per workstream.</w:t>
      </w:r>
    </w:p>
    <w:p>
      <w:pPr>
        <w:pStyle w:val="Heading2"/>
        <w:keepNext/>
      </w:pPr>
      <w:r>
        <w:t xml:space="preserve">3. Customer Loans &amp; Financing row total</w:t>
      </w:r>
    </w:p>
    <w:p>
      <w:pPr>
        <w:keepNext/>
        <w:spacing w:after="80"/>
      </w:pPr>
      <w:r>
        <w:rPr>
          <w:i/>
          <w:iCs/>
          <w:color w:val="44507A"/>
          <w:sz w:val="19"/>
          <w:szCs w:val="19"/>
        </w:rPr>
        <w:t xml:space="preserve">SOW reference: §5.1</w:t>
      </w:r>
    </w:p>
    <w:p>
      <w:pPr>
        <w:spacing w:after="100" w:line="276"/>
      </w:pPr>
      <w:r>
        <w:rPr>
          <w:b/>
          <w:bCs/>
          <w:color w:val="0F1D4A"/>
        </w:rPr>
        <w:t xml:space="preserve">Observation: </w:t>
      </w:r>
      <w:r>
        <w:t xml:space="preserve">The Customer Loans &amp; Financing row adds to 73 person-days (7 + 12 + 37 + 10 + 7), while the row total and the grand total of 739 use 72.</w:t>
      </w:r>
    </w:p>
    <w:p>
      <w:pPr>
        <w:spacing w:after="100" w:line="276"/>
      </w:pPr>
      <w:r>
        <w:rPr>
          <w:b/>
          <w:bCs/>
          <w:color w:val="0F1D4A"/>
        </w:rPr>
        <w:t xml:space="preserve">Request: </w:t>
      </w:r>
      <w:r>
        <w:t xml:space="preserve">Please issue a corrected table and confirm the total effort on which the fee is based.</w:t>
      </w:r>
    </w:p>
    <w:p>
      <w:pPr>
        <w:pStyle w:val="Heading2"/>
        <w:keepNext/>
      </w:pPr>
      <w:r>
        <w:t xml:space="preserve">4. Payment gateway: in scope and out of scope</w:t>
      </w:r>
    </w:p>
    <w:p>
      <w:pPr>
        <w:keepNext/>
        <w:spacing w:after="80"/>
      </w:pPr>
      <w:r>
        <w:rPr>
          <w:i/>
          <w:iCs/>
          <w:color w:val="44507A"/>
          <w:sz w:val="19"/>
          <w:szCs w:val="19"/>
        </w:rPr>
        <w:t xml:space="preserve">SOW reference: §3.3 #76, §9</w:t>
      </w:r>
    </w:p>
    <w:p>
      <w:pPr>
        <w:spacing w:after="100" w:line="276"/>
      </w:pPr>
      <w:r>
        <w:rPr>
          <w:b/>
          <w:bCs/>
          <w:color w:val="0F1D4A"/>
        </w:rPr>
        <w:t xml:space="preserve">Observation: </w:t>
      </w:r>
      <w:r>
        <w:t xml:space="preserve">Item #76 (8.64 man-days) includes paying online via a payment gateway, while §9 lists payment gateway integration and online payment collection as out of scope.</w:t>
      </w:r>
    </w:p>
    <w:p>
      <w:pPr>
        <w:spacing w:after="100" w:line="276"/>
      </w:pPr>
      <w:r>
        <w:rPr>
          <w:b/>
          <w:bCs/>
          <w:color w:val="0F1D4A"/>
        </w:rPr>
        <w:t xml:space="preserve">Request: </w:t>
      </w:r>
      <w:r>
        <w:t xml:space="preserve">Please clarify which applies. If gateway integration is excluded, please state what item #76 delivers (for example, proof-of-payment upload and verification) and adjust its man-days accordingly.</w:t>
      </w:r>
    </w:p>
    <w:p>
      <w:pPr>
        <w:pStyle w:val="Heading2"/>
        <w:keepNext/>
      </w:pPr>
      <w:r>
        <w:t xml:space="preserve">5. Man-day rates</w:t>
      </w:r>
    </w:p>
    <w:p>
      <w:pPr>
        <w:keepNext/>
        <w:spacing w:after="80"/>
      </w:pPr>
      <w:r>
        <w:rPr>
          <w:i/>
          <w:iCs/>
          <w:color w:val="44507A"/>
          <w:sz w:val="19"/>
          <w:szCs w:val="19"/>
        </w:rPr>
        <w:t xml:space="preserve">SOW reference: Cover page, §10.2</w:t>
      </w:r>
    </w:p>
    <w:p>
      <w:pPr>
        <w:spacing w:after="100" w:line="276"/>
      </w:pPr>
      <w:r>
        <w:rPr>
          <w:b/>
          <w:bCs/>
          <w:color w:val="0F1D4A"/>
        </w:rPr>
        <w:t xml:space="preserve">Observation: </w:t>
      </w:r>
      <w:r>
        <w:t xml:space="preserve">The base scope is priced at PHP 10,000 per person-day (discounted), while Flex Allocations, scope overages and replenishments are billed at PHP 12,000 per person-day.</w:t>
      </w:r>
    </w:p>
    <w:p>
      <w:pPr>
        <w:spacing w:after="100" w:line="276"/>
      </w:pPr>
      <w:r>
        <w:rPr>
          <w:b/>
          <w:bCs/>
          <w:color w:val="0F1D4A"/>
        </w:rPr>
        <w:t xml:space="preserve">Request: </w:t>
      </w:r>
      <w:r>
        <w:t xml:space="preserve">We request that the PHP 10,000 rate apply to Flex Allocations and Change Requests throughout implementation and the 90-day hypercare period.</w:t>
      </w:r>
    </w:p>
    <w:p>
      <w:pPr>
        <w:pStyle w:val="Heading2"/>
        <w:keepNext/>
      </w:pPr>
      <w:r>
        <w:t xml:space="preserve">6. Payment milestone weighting</w:t>
      </w:r>
    </w:p>
    <w:p>
      <w:pPr>
        <w:keepNext/>
        <w:spacing w:after="80"/>
      </w:pPr>
      <w:r>
        <w:rPr>
          <w:i/>
          <w:iCs/>
          <w:color w:val="44507A"/>
          <w:sz w:val="19"/>
          <w:szCs w:val="19"/>
        </w:rPr>
        <w:t xml:space="preserve">SOW reference: §11</w:t>
      </w:r>
    </w:p>
    <w:p>
      <w:pPr>
        <w:spacing w:after="100" w:line="276"/>
      </w:pPr>
      <w:r>
        <w:rPr>
          <w:b/>
          <w:bCs/>
          <w:color w:val="0F1D4A"/>
        </w:rPr>
        <w:t xml:space="preserve">Observation: </w:t>
      </w:r>
      <w:r>
        <w:t xml:space="preserve">Fifty percent of the fee (PHP 3,695,000) is billed at Project Kickoff and BRD Sign-Off, before any build, and 80% before go-live. The SOW also does not state how the PHP 300,000 additional discount is applied across milestones.</w:t>
      </w:r>
    </w:p>
    <w:p>
      <w:pPr>
        <w:spacing w:after="100" w:line="276"/>
      </w:pPr>
      <w:r>
        <w:rPr>
          <w:b/>
          <w:bCs/>
          <w:color w:val="0F1D4A"/>
        </w:rPr>
        <w:t xml:space="preserve">Request: </w:t>
      </w:r>
      <w:r>
        <w:t xml:space="preserve">We propose linking more of the fee to tested functionality, for example: Kickoff 15%, BRD sign-off 20%, SIT completion 25%, UAT sign-off 20% and Go-Live 20%. Please also confirm how the additional discount is applied to each milestone invoice.</w:t>
      </w:r>
    </w:p>
    <w:p>
      <w:pPr>
        <w:pStyle w:val="Heading2"/>
        <w:keepNext/>
      </w:pPr>
      <w:r>
        <w:t xml:space="preserve">7. Deemed acceptance</w:t>
      </w:r>
    </w:p>
    <w:p>
      <w:pPr>
        <w:keepNext/>
        <w:spacing w:after="80"/>
      </w:pPr>
      <w:r>
        <w:rPr>
          <w:i/>
          <w:iCs/>
          <w:color w:val="44507A"/>
          <w:sz w:val="19"/>
          <w:szCs w:val="19"/>
        </w:rPr>
        <w:t xml:space="preserve">SOW reference: §11, §12 (and MSA §2.2)</w:t>
      </w:r>
    </w:p>
    <w:p>
      <w:pPr>
        <w:spacing w:after="100" w:line="276"/>
      </w:pPr>
      <w:r>
        <w:rPr>
          <w:b/>
          <w:bCs/>
          <w:color w:val="0F1D4A"/>
        </w:rPr>
        <w:t xml:space="preserve">Observation: </w:t>
      </w:r>
      <w:r>
        <w:t xml:space="preserve">Deliverables are deemed accepted five working days after submission if no written objection is received, and participation in a subsequent phase constitutes acceptance of the prior phase.</w:t>
      </w:r>
    </w:p>
    <w:p>
      <w:pPr>
        <w:spacing w:after="100" w:line="276"/>
      </w:pPr>
      <w:r>
        <w:rPr>
          <w:b/>
          <w:bCs/>
          <w:color w:val="0F1D4A"/>
        </w:rPr>
        <w:t xml:space="preserve">Request: </w:t>
      </w:r>
      <w:r>
        <w:t xml:space="preserve">We request a 10-working-day review period, and that milestone deliverables (BRD, UAT and go-live) be accepted only by written sign-off from the Client SPOC. Participation in a subsequent phase should not count as acceptance while written objections remain open.</w:t>
      </w:r>
    </w:p>
    <w:p>
      <w:pPr>
        <w:pStyle w:val="Heading2"/>
        <w:keepNext/>
      </w:pPr>
      <w:r>
        <w:t xml:space="preserve">8. Size of the Flex Allocation</w:t>
      </w:r>
    </w:p>
    <w:p>
      <w:pPr>
        <w:keepNext/>
        <w:spacing w:after="80"/>
      </w:pPr>
      <w:r>
        <w:rPr>
          <w:i/>
          <w:iCs/>
          <w:color w:val="44507A"/>
          <w:sz w:val="19"/>
          <w:szCs w:val="19"/>
        </w:rPr>
        <w:t xml:space="preserve">SOW reference: §10.3</w:t>
      </w:r>
    </w:p>
    <w:p>
      <w:pPr>
        <w:spacing w:after="100" w:line="276"/>
      </w:pPr>
      <w:r>
        <w:rPr>
          <w:b/>
          <w:bCs/>
          <w:color w:val="0F1D4A"/>
        </w:rPr>
        <w:t xml:space="preserve">Observation: </w:t>
      </w:r>
      <w:r>
        <w:t xml:space="preserve">The pre-approved Flex Allocation totals 35 person-days, of which 10 are for Change Orders. Our review of the SOW against PHI's process blueprint has identified functional scope items that are not yet covered. These are listed in Appendix A.</w:t>
      </w:r>
    </w:p>
    <w:p>
      <w:pPr>
        <w:spacing w:after="100" w:line="276"/>
      </w:pPr>
      <w:r>
        <w:rPr>
          <w:b/>
          <w:bCs/>
          <w:color w:val="0F1D4A"/>
        </w:rPr>
        <w:t xml:space="preserve">Request: </w:t>
      </w:r>
      <w:r>
        <w:t xml:space="preserve">Please price the items in Appendix A, Part 1 as part of the base scope before signature, rather than through Flex drawdowns, and confirm the items in Part 2.</w:t>
      </w:r>
    </w:p>
    <w:p>
      <w:pPr>
        <w:pStyle w:val="Heading2"/>
        <w:keepNext/>
      </w:pPr>
      <w:r>
        <w:t xml:space="preserve">9. Ownership of the Lot model and custom modules</w:t>
      </w:r>
    </w:p>
    <w:p>
      <w:pPr>
        <w:keepNext/>
        <w:spacing w:after="80"/>
      </w:pPr>
      <w:r>
        <w:rPr>
          <w:i/>
          <w:iCs/>
          <w:color w:val="44507A"/>
          <w:sz w:val="19"/>
          <w:szCs w:val="19"/>
        </w:rPr>
        <w:t xml:space="preserve">SOW reference: §2, §3.4, §8</w:t>
      </w:r>
    </w:p>
    <w:p>
      <w:pPr>
        <w:spacing w:after="100" w:line="276"/>
      </w:pPr>
      <w:r>
        <w:rPr>
          <w:b/>
          <w:bCs/>
          <w:color w:val="0F1D4A"/>
        </w:rPr>
        <w:t xml:space="preserve">Observation: </w:t>
      </w:r>
      <w:r>
        <w:t xml:space="preserve">Section 8 refers to "the existing custom Lot model", which suggests a pre-existing module (lam.lot) rather than one built for PHI.</w:t>
      </w:r>
    </w:p>
    <w:p>
      <w:pPr>
        <w:spacing w:after="100" w:line="276"/>
      </w:pPr>
      <w:r>
        <w:rPr>
          <w:b/>
          <w:bCs/>
          <w:color w:val="0F1D4A"/>
        </w:rPr>
        <w:t xml:space="preserve">Request: </w:t>
      </w:r>
      <w:r>
        <w:t xml:space="preserve">Please confirm: (a) whether the Lot model is a pre-existing Achieve Without Borders module and under what licence PHI may use it; (b) ownership of the custom modules developed under this SOW; (c) source-code delivery and repository access for PHI; and (d) your commitment and approach for compatibility with future Odoo versions.</w:t>
      </w:r>
    </w:p>
    <w:p>
      <w:pPr>
        <w:pStyle w:val="Heading2"/>
        <w:keepNext/>
      </w:pPr>
      <w:r>
        <w:t xml:space="preserve">10. Unfilled placeholders</w:t>
      </w:r>
    </w:p>
    <w:p>
      <w:pPr>
        <w:keepNext/>
        <w:spacing w:after="80"/>
      </w:pPr>
      <w:r>
        <w:rPr>
          <w:i/>
          <w:iCs/>
          <w:color w:val="44507A"/>
          <w:sz w:val="19"/>
          <w:szCs w:val="19"/>
        </w:rPr>
        <w:t xml:space="preserve">SOW reference: Cover page, §1, §10.1, §10.5</w:t>
      </w:r>
    </w:p>
    <w:p>
      <w:pPr>
        <w:spacing w:after="100" w:line="276"/>
      </w:pPr>
      <w:r>
        <w:rPr>
          <w:b/>
          <w:bCs/>
          <w:color w:val="0F1D4A"/>
        </w:rPr>
        <w:t xml:space="preserve">Observation: </w:t>
      </w:r>
      <w:r>
        <w:t xml:space="preserve">The MSA date, SOW Effective Date, the fee amount in §10.1 and the per diem amount in §10.5 still read "[Insert …]". Section 11 states PHP 7,390,000, or PHP 7,090,000 after the additional discount.</w:t>
      </w:r>
    </w:p>
    <w:p>
      <w:pPr>
        <w:spacing w:after="100" w:line="276"/>
      </w:pPr>
      <w:r>
        <w:rPr>
          <w:b/>
          <w:bCs/>
          <w:color w:val="0F1D4A"/>
        </w:rPr>
        <w:t xml:space="preserve">Request: </w:t>
      </w:r>
      <w:r>
        <w:t xml:space="preserve">Please issue a completed SOW and confirm that the binding Fixed Base Implementation Fee is PHP 7,090,000, exclusive of VAT.</w:t>
      </w:r>
    </w:p>
    <w:p>
      <w:pPr>
        <w:pStyle w:val="Heading2"/>
        <w:keepNext/>
      </w:pPr>
      <w:r>
        <w:t xml:space="preserve">11. Onsite meetings and travel</w:t>
      </w:r>
    </w:p>
    <w:p>
      <w:pPr>
        <w:keepNext/>
        <w:spacing w:after="80"/>
      </w:pPr>
      <w:r>
        <w:rPr>
          <w:i/>
          <w:iCs/>
          <w:color w:val="44507A"/>
          <w:sz w:val="19"/>
          <w:szCs w:val="19"/>
        </w:rPr>
        <w:t xml:space="preserve">SOW reference: §8, §10.5</w:t>
      </w:r>
    </w:p>
    <w:p>
      <w:pPr>
        <w:spacing w:after="100" w:line="276"/>
      </w:pPr>
      <w:r>
        <w:rPr>
          <w:b/>
          <w:bCs/>
          <w:color w:val="0F1D4A"/>
        </w:rPr>
        <w:t xml:space="preserve">Observation: </w:t>
      </w:r>
      <w:r>
        <w:t xml:space="preserve">Three onsite meetings (Kickoff, UAT Briefing and Go-Live) are included, while travel outside Metro Manila is billed at cost plus a 10% handling fee. PHI's offices are in Cebu.</w:t>
      </w:r>
    </w:p>
    <w:p>
      <w:pPr>
        <w:spacing w:after="100" w:line="276"/>
      </w:pPr>
      <w:r>
        <w:rPr>
          <w:b/>
          <w:bCs/>
          <w:color w:val="0F1D4A"/>
        </w:rPr>
        <w:t xml:space="preserve">Request: </w:t>
      </w:r>
      <w:r>
        <w:t xml:space="preserve">Please confirm that the three included onsite meetings take place in Cebu, with travel, accommodation and per diem included in the fee, and provide an estimate for any additional onsite sessions.</w:t>
      </w:r>
    </w:p>
    <w:p>
      <w:pPr>
        <w:pStyle w:val="Heading2"/>
        <w:keepNext/>
      </w:pPr>
      <w:r>
        <w:t xml:space="preserve">12. Training coverage</w:t>
      </w:r>
    </w:p>
    <w:p>
      <w:pPr>
        <w:keepNext/>
        <w:spacing w:after="80"/>
      </w:pPr>
      <w:r>
        <w:rPr>
          <w:i/>
          <w:iCs/>
          <w:color w:val="44507A"/>
          <w:sz w:val="19"/>
          <w:szCs w:val="19"/>
        </w:rPr>
        <w:t xml:space="preserve">SOW reference: §8</w:t>
      </w:r>
    </w:p>
    <w:p>
      <w:pPr>
        <w:spacing w:after="100" w:line="276"/>
      </w:pPr>
      <w:r>
        <w:rPr>
          <w:b/>
          <w:bCs/>
          <w:color w:val="0F1D4A"/>
        </w:rPr>
        <w:t xml:space="preserve">Observation: </w:t>
      </w:r>
      <w:r>
        <w:t xml:space="preserve">The SOW includes four remote train-the-trainer sessions of up to three hours each, across ten workstreams.</w:t>
      </w:r>
    </w:p>
    <w:p>
      <w:pPr>
        <w:spacing w:after="100" w:line="276"/>
      </w:pPr>
      <w:r>
        <w:rPr>
          <w:b/>
          <w:bCs/>
          <w:color w:val="0F1D4A"/>
        </w:rPr>
        <w:t xml:space="preserve">Request: </w:t>
      </w:r>
      <w:r>
        <w:t xml:space="preserve">Please provide a training plan per workstream, the price of additional sessions, and options for onsite training during UAT and go-live.</w:t>
      </w:r>
    </w:p>
    <w:p>
      <w:pPr>
        <w:pStyle w:val="Heading2"/>
        <w:keepNext/>
      </w:pPr>
      <w:r>
        <w:t xml:space="preserve">13. Contracting and in-scope entities</w:t>
      </w:r>
    </w:p>
    <w:p>
      <w:pPr>
        <w:keepNext/>
        <w:spacing w:after="80"/>
      </w:pPr>
      <w:r>
        <w:rPr>
          <w:i/>
          <w:iCs/>
          <w:color w:val="44507A"/>
          <w:sz w:val="19"/>
          <w:szCs w:val="19"/>
        </w:rPr>
        <w:t xml:space="preserve">SOW reference: Cover page, §1, §3.4</w:t>
      </w:r>
    </w:p>
    <w:p>
      <w:pPr>
        <w:spacing w:after="100" w:line="276"/>
      </w:pPr>
      <w:r>
        <w:rPr>
          <w:b/>
          <w:bCs/>
          <w:color w:val="0F1D4A"/>
        </w:rPr>
        <w:t xml:space="preserve">Observation: </w:t>
      </w:r>
      <w:r>
        <w:t xml:space="preserve">The SOW is between Achieve Without Borders Inc. and Primary Group of Builders Inc. for the implementation at Primary Homes Incorporated, and a multi-company structure is a deliverable.</w:t>
      </w:r>
    </w:p>
    <w:p>
      <w:pPr>
        <w:spacing w:after="100" w:line="276"/>
      </w:pPr>
      <w:r>
        <w:rPr>
          <w:b/>
          <w:bCs/>
          <w:color w:val="0F1D4A"/>
        </w:rPr>
        <w:t xml:space="preserve">Request: </w:t>
      </w:r>
      <w:r>
        <w:t xml:space="preserve">Please confirm the entities included in the multi-company configuration and the billing entity for each invoice.</w:t>
      </w:r>
    </w:p>
    <w:p>
      <w:pPr>
        <w:pStyle w:val="Heading2"/>
        <w:keepNext/>
      </w:pPr>
      <w:r>
        <w:t xml:space="preserve">14. Defect response and resolution targets</w:t>
      </w:r>
    </w:p>
    <w:p>
      <w:pPr>
        <w:keepNext/>
        <w:spacing w:after="80"/>
      </w:pPr>
      <w:r>
        <w:rPr>
          <w:i/>
          <w:iCs/>
          <w:color w:val="44507A"/>
          <w:sz w:val="19"/>
          <w:szCs w:val="19"/>
        </w:rPr>
        <w:t xml:space="preserve">SOW reference: §6, §12</w:t>
      </w:r>
    </w:p>
    <w:p>
      <w:pPr>
        <w:spacing w:after="100" w:line="276"/>
      </w:pPr>
      <w:r>
        <w:rPr>
          <w:b/>
          <w:bCs/>
          <w:color w:val="0F1D4A"/>
        </w:rPr>
        <w:t xml:space="preserve">Observation: </w:t>
      </w:r>
      <w:r>
        <w:t xml:space="preserve">The SOW refers to severity-based triage but does not define response or resolution times, including for the 90-day hypercare period.</w:t>
      </w:r>
    </w:p>
    <w:p>
      <w:pPr>
        <w:spacing w:after="100" w:line="276"/>
      </w:pPr>
      <w:r>
        <w:rPr>
          <w:b/>
          <w:bCs/>
          <w:color w:val="0F1D4A"/>
        </w:rPr>
        <w:t xml:space="preserve">Request: </w:t>
      </w:r>
      <w:r>
        <w:t xml:space="preserve">Please propose severity definitions (Severity 1 to 4) with response and resolution targets for SIT, UAT and hypercare, together with hypercare coverage hours and support channels.</w:t>
      </w:r>
    </w:p>
    <w:p>
      <w:pPr>
        <w:pStyle w:val="Heading1"/>
        <w:keepNext/>
      </w:pPr>
      <w:r>
        <w:t xml:space="preserve">Next steps</w:t>
      </w:r>
    </w:p>
    <w:p>
      <w:pPr>
        <w:spacing w:after="120" w:line="276"/>
      </w:pPr>
      <w:r>
        <w:t xml:space="preserve">We would appreciate a written response to each point, and a revised SOW reflecting the agreed changes, by [response date]. We are happy to walk through these points in a call at your convenience.</w:t>
      </w:r>
    </w:p>
    <w:p>
      <w:pPr>
        <w:spacing w:after="120" w:line="276"/>
      </w:pPr>
      <w:r>
        <w:t xml:space="preserve">This letter is a request for clarification and does not constitute acceptance of the SOW or any of its terms.</w:t>
      </w:r>
    </w:p>
    <w:p>
      <w:pPr>
        <w:spacing w:after="600" w:before="240"/>
      </w:pPr>
      <w:r>
        <w:t xml:space="preserve">Sincerely,</w:t>
      </w:r>
    </w:p>
    <w:p>
      <w:pPr>
        <w:spacing w:after="0"/>
      </w:pPr>
      <w:r>
        <w:rPr>
          <w:b/>
          <w:bCs/>
        </w:rPr>
        <w:t xml:space="preserve">[Name]</w:t>
      </w:r>
    </w:p>
    <w:p>
      <w:pPr>
        <w:spacing w:after="0"/>
      </w:pPr>
      <w:r>
        <w:t xml:space="preserve">[Position]</w:t>
      </w:r>
    </w:p>
    <w:p>
      <w:pPr>
        <w:spacing w:after="0"/>
      </w:pPr>
      <w:r>
        <w:t xml:space="preserve">Primary Group of Builders Inc. / Primary Homes Incorporated</w:t>
      </w:r>
    </w:p>
    <w:p>
      <w:pPr>
        <w:pStyle w:val="Heading1"/>
        <w:pageBreakBefore/>
      </w:pPr>
      <w:r>
        <w:t xml:space="preserve">Appendix A — Functional scope items not covered in the SOW</w:t>
      </w:r>
    </w:p>
    <w:p>
      <w:pPr>
        <w:spacing w:after="120" w:line="276"/>
      </w:pPr>
      <w:r>
        <w:t xml:space="preserve">These items come from PHI's review of the SOW against its Enterprise Process Blueprint (SIPOC and data and interconnection matrix). Process numbers refer to that blueprint. Section references are to the SOW.</w:t>
      </w:r>
    </w:p>
    <w:p>
      <w:pPr>
        <w:spacing w:after="120" w:line="276"/>
      </w:pPr>
      <w:r>
        <w:t xml:space="preserve">Leasing and property management (including HOA dues and HOA turnover) are not part of this list. PHI has deferred them to a later phase, so no pricing is requested for them.</w:t>
      </w:r>
    </w:p>
    <w:p>
      <w:pPr>
        <w:pStyle w:val="Heading2"/>
        <w:keepNext/>
      </w:pPr>
      <w:r>
        <w:t xml:space="preserve">Part 1 — Items requiring build (to be priced into the base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50"/>
        <w:gridCol w:w="1050"/>
        <w:gridCol w:w="4838"/>
        <w:gridCol w:w="900"/>
      </w:tblGrid>
      <w:tr>
        <w:trPr>
          <w:tblHeader/>
        </w:trPr>
        <w:tc>
          <w:tcPr>
            <w:tcW w:type="dxa" w:w="600"/>
            <w:tcBorders>
              <w:top w:val="single" w:color="C7D0E4" w:sz="4"/>
              <w:left w:val="single" w:color="C7D0E4" w:sz="4"/>
              <w:bottom w:val="single" w:color="C7D0E4" w:sz="4"/>
              <w:right w:val="single" w:color="C7D0E4" w:sz="4"/>
            </w:tcBorders>
            <w:shd w:fill="0F1D4A" w:color="auto" w:val="clear"/>
            <w:tcMar>
              <w:top w:type="dxa" w:w="80"/>
              <w:left w:type="dxa" w:w="110"/>
              <w:bottom w:type="dxa" w:w="80"/>
              <w:right w:type="dxa" w:w="110"/>
            </w:tcMar>
          </w:tcPr>
          <w:p>
            <w:r>
              <w:rPr>
                <w:b/>
                <w:bCs/>
                <w:color w:val="FFFFFF"/>
                <w:sz w:val="18"/>
                <w:szCs w:val="18"/>
              </w:rPr>
              <w:t xml:space="preserve">#</w:t>
            </w:r>
          </w:p>
        </w:tc>
        <w:tc>
          <w:tcPr>
            <w:tcW w:type="dxa" w:w="2250"/>
            <w:tcBorders>
              <w:top w:val="single" w:color="C7D0E4" w:sz="4"/>
              <w:left w:val="single" w:color="C7D0E4" w:sz="4"/>
              <w:bottom w:val="single" w:color="C7D0E4" w:sz="4"/>
              <w:right w:val="single" w:color="C7D0E4" w:sz="4"/>
            </w:tcBorders>
            <w:shd w:fill="0F1D4A" w:color="auto" w:val="clear"/>
            <w:tcMar>
              <w:top w:type="dxa" w:w="80"/>
              <w:left w:type="dxa" w:w="110"/>
              <w:bottom w:type="dxa" w:w="80"/>
              <w:right w:type="dxa" w:w="110"/>
            </w:tcMar>
          </w:tcPr>
          <w:p>
            <w:r>
              <w:rPr>
                <w:b/>
                <w:bCs/>
                <w:color w:val="FFFFFF"/>
                <w:sz w:val="18"/>
                <w:szCs w:val="18"/>
              </w:rPr>
              <w:t xml:space="preserve">Item</w:t>
            </w:r>
          </w:p>
        </w:tc>
        <w:tc>
          <w:tcPr>
            <w:tcW w:type="dxa" w:w="1050"/>
            <w:tcBorders>
              <w:top w:val="single" w:color="C7D0E4" w:sz="4"/>
              <w:left w:val="single" w:color="C7D0E4" w:sz="4"/>
              <w:bottom w:val="single" w:color="C7D0E4" w:sz="4"/>
              <w:right w:val="single" w:color="C7D0E4" w:sz="4"/>
            </w:tcBorders>
            <w:shd w:fill="0F1D4A" w:color="auto" w:val="clear"/>
            <w:tcMar>
              <w:top w:type="dxa" w:w="80"/>
              <w:left w:type="dxa" w:w="110"/>
              <w:bottom w:type="dxa" w:w="80"/>
              <w:right w:type="dxa" w:w="110"/>
            </w:tcMar>
          </w:tcPr>
          <w:p>
            <w:r>
              <w:rPr>
                <w:b/>
                <w:bCs/>
                <w:color w:val="FFFFFF"/>
                <w:sz w:val="18"/>
                <w:szCs w:val="18"/>
              </w:rPr>
              <w:t xml:space="preserve">Process</w:t>
            </w:r>
          </w:p>
        </w:tc>
        <w:tc>
          <w:tcPr>
            <w:tcW w:type="dxa" w:w="4838"/>
            <w:tcBorders>
              <w:top w:val="single" w:color="C7D0E4" w:sz="4"/>
              <w:left w:val="single" w:color="C7D0E4" w:sz="4"/>
              <w:bottom w:val="single" w:color="C7D0E4" w:sz="4"/>
              <w:right w:val="single" w:color="C7D0E4" w:sz="4"/>
            </w:tcBorders>
            <w:shd w:fill="0F1D4A" w:color="auto" w:val="clear"/>
            <w:tcMar>
              <w:top w:type="dxa" w:w="80"/>
              <w:left w:type="dxa" w:w="110"/>
              <w:bottom w:type="dxa" w:w="80"/>
              <w:right w:type="dxa" w:w="110"/>
            </w:tcMar>
          </w:tcPr>
          <w:p>
            <w:r>
              <w:rPr>
                <w:b/>
                <w:bCs/>
                <w:color w:val="FFFFFF"/>
                <w:sz w:val="18"/>
                <w:szCs w:val="18"/>
              </w:rPr>
              <w:t xml:space="preserve">Scope required</w:t>
            </w:r>
          </w:p>
        </w:tc>
        <w:tc>
          <w:tcPr>
            <w:tcW w:type="dxa" w:w="900"/>
            <w:tcBorders>
              <w:top w:val="single" w:color="C7D0E4" w:sz="4"/>
              <w:left w:val="single" w:color="C7D0E4" w:sz="4"/>
              <w:bottom w:val="single" w:color="C7D0E4" w:sz="4"/>
              <w:right w:val="single" w:color="C7D0E4" w:sz="4"/>
            </w:tcBorders>
            <w:shd w:fill="0F1D4A" w:color="auto" w:val="clear"/>
            <w:tcMar>
              <w:top w:type="dxa" w:w="80"/>
              <w:left w:type="dxa" w:w="110"/>
              <w:bottom w:type="dxa" w:w="80"/>
              <w:right w:type="dxa" w:w="110"/>
            </w:tcMar>
          </w:tcPr>
          <w:p>
            <w:r>
              <w:rPr>
                <w:b/>
                <w:bCs/>
                <w:color w:val="FFFFFF"/>
                <w:sz w:val="18"/>
                <w:szCs w:val="18"/>
              </w:rPr>
              <w:t xml:space="preserve">Priority</w:t>
            </w:r>
          </w:p>
        </w:tc>
      </w:tr>
      <w:tr>
        <w:trPr>
          <w:cantSplit/>
        </w:trPr>
        <w:tc>
          <w:tcPr>
            <w:tcW w:type="dxa" w:w="6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A1</w:t>
            </w:r>
          </w:p>
        </w:tc>
        <w:tc>
          <w:tcPr>
            <w:tcW w:type="dxa" w:w="22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8"/>
                <w:szCs w:val="18"/>
              </w:rPr>
              <w:t xml:space="preserve">Cancellation under the Maceda Law (RA 6552)</w:t>
            </w:r>
          </w:p>
        </w:tc>
        <w:tc>
          <w:tcPr>
            <w:tcW w:type="dxa" w:w="10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12</w:t>
            </w:r>
          </w:p>
        </w:tc>
        <w:tc>
          <w:tcPr>
            <w:tcW w:type="dxa" w:w="48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Grace-period tracking, notarial notice, cash surrender value computation, refund or forfeiture processing, and reversal of receivables and revenue. The SOW covers only lot release (#36) and commission clawback (#43).</w:t>
            </w:r>
          </w:p>
        </w:tc>
        <w:tc>
          <w:tcPr>
            <w:tcW w:type="dxa" w:w="9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High</w:t>
            </w:r>
          </w:p>
        </w:tc>
      </w:tr>
      <w:tr>
        <w:trPr>
          <w:cantSplit/>
        </w:trPr>
        <w:tc>
          <w:tcPr>
            <w:tcW w:type="dxa" w:w="6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A2</w:t>
            </w:r>
          </w:p>
        </w:tc>
        <w:tc>
          <w:tcPr>
            <w:tcW w:type="dxa" w:w="22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8"/>
                <w:szCs w:val="18"/>
              </w:rPr>
              <w:t xml:space="preserve">Contract to Sell (CTS)</w:t>
            </w:r>
          </w:p>
        </w:tc>
        <w:tc>
          <w:tcPr>
            <w:tcW w:type="dxa" w:w="10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09</w:t>
            </w:r>
          </w:p>
        </w:tc>
        <w:tc>
          <w:tcPr>
            <w:tcW w:type="dxa" w:w="483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CTS template, signing and notarization tracking, and a credit check before the CTS is issued. The SOW uses the sales order as the contract.</w:t>
            </w:r>
          </w:p>
        </w:tc>
        <w:tc>
          <w:tcPr>
            <w:tcW w:type="dxa" w:w="9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High</w:t>
            </w:r>
          </w:p>
        </w:tc>
      </w:tr>
      <w:tr>
        <w:trPr>
          <w:cantSplit/>
        </w:trPr>
        <w:tc>
          <w:tcPr>
            <w:tcW w:type="dxa" w:w="6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A3</w:t>
            </w:r>
          </w:p>
        </w:tc>
        <w:tc>
          <w:tcPr>
            <w:tcW w:type="dxa" w:w="22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8"/>
                <w:szCs w:val="18"/>
              </w:rPr>
              <w:t xml:space="preserve">Revenue recognition (PFRS 15)</w:t>
            </w:r>
          </w:p>
        </w:tc>
        <w:tc>
          <w:tcPr>
            <w:tcW w:type="dxa" w:w="10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Finance</w:t>
            </w:r>
          </w:p>
        </w:tc>
        <w:tc>
          <w:tcPr>
            <w:tcW w:type="dxa" w:w="48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Percentage-of-completion revenue journals driven by construction progress and collections.</w:t>
            </w:r>
          </w:p>
        </w:tc>
        <w:tc>
          <w:tcPr>
            <w:tcW w:type="dxa" w:w="9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High</w:t>
            </w:r>
          </w:p>
        </w:tc>
      </w:tr>
      <w:tr>
        <w:trPr>
          <w:cantSplit/>
        </w:trPr>
        <w:tc>
          <w:tcPr>
            <w:tcW w:type="dxa" w:w="6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A4</w:t>
            </w:r>
          </w:p>
        </w:tc>
        <w:tc>
          <w:tcPr>
            <w:tcW w:type="dxa" w:w="22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8"/>
                <w:szCs w:val="18"/>
              </w:rPr>
              <w:t xml:space="preserve">Bank and Pag-IBIG loan takeout workflow</w:t>
            </w:r>
          </w:p>
        </w:tc>
        <w:tc>
          <w:tcPr>
            <w:tcW w:type="dxa" w:w="10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13</w:t>
            </w:r>
          </w:p>
        </w:tc>
        <w:tc>
          <w:tcPr>
            <w:tcW w:type="dxa" w:w="483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Requirements checklist, submission, letter of guaranty / notice of approval, mortgage annotation on title, release of proceeds and Pag-IBIG buyback guarantee.</w:t>
            </w:r>
          </w:p>
        </w:tc>
        <w:tc>
          <w:tcPr>
            <w:tcW w:type="dxa" w:w="9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High</w:t>
            </w:r>
          </w:p>
        </w:tc>
      </w:tr>
      <w:tr>
        <w:trPr>
          <w:cantSplit/>
        </w:trPr>
        <w:tc>
          <w:tcPr>
            <w:tcW w:type="dxa" w:w="6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A5</w:t>
            </w:r>
          </w:p>
        </w:tc>
        <w:tc>
          <w:tcPr>
            <w:tcW w:type="dxa" w:w="22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8"/>
                <w:szCs w:val="18"/>
              </w:rPr>
              <w:t xml:space="preserve">Collections controls</w:t>
            </w:r>
          </w:p>
        </w:tc>
        <w:tc>
          <w:tcPr>
            <w:tcW w:type="dxa" w:w="10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11</w:t>
            </w:r>
          </w:p>
        </w:tc>
        <w:tc>
          <w:tcPr>
            <w:tcW w:type="dxa" w:w="48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Post-dated check management including bounced checks, demand-letter generation, and a BIR-registered invoice and receipt series.</w:t>
            </w:r>
          </w:p>
        </w:tc>
        <w:tc>
          <w:tcPr>
            <w:tcW w:type="dxa" w:w="9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High</w:t>
            </w:r>
          </w:p>
        </w:tc>
      </w:tr>
      <w:tr>
        <w:trPr>
          <w:cantSplit/>
        </w:trPr>
        <w:tc>
          <w:tcPr>
            <w:tcW w:type="dxa" w:w="6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A6</w:t>
            </w:r>
          </w:p>
        </w:tc>
        <w:tc>
          <w:tcPr>
            <w:tcW w:type="dxa" w:w="22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8"/>
                <w:szCs w:val="18"/>
              </w:rPr>
              <w:t xml:space="preserve">Construction contract billing</w:t>
            </w:r>
          </w:p>
        </w:tc>
        <w:tc>
          <w:tcPr>
            <w:tcW w:type="dxa" w:w="10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06</w:t>
            </w:r>
          </w:p>
        </w:tc>
        <w:tc>
          <w:tcPr>
            <w:tcW w:type="dxa" w:w="483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Contractor downpayment recoupment, variation orders, liquidated damages and back-charges.</w:t>
            </w:r>
          </w:p>
        </w:tc>
        <w:tc>
          <w:tcPr>
            <w:tcW w:type="dxa" w:w="9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High</w:t>
            </w:r>
          </w:p>
        </w:tc>
      </w:tr>
      <w:tr>
        <w:trPr>
          <w:cantSplit/>
        </w:trPr>
        <w:tc>
          <w:tcPr>
            <w:tcW w:type="dxa" w:w="6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A7</w:t>
            </w:r>
          </w:p>
        </w:tc>
        <w:tc>
          <w:tcPr>
            <w:tcW w:type="dxa" w:w="22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8"/>
                <w:szCs w:val="18"/>
              </w:rPr>
              <w:t xml:space="preserve">License to Sell and permits</w:t>
            </w:r>
          </w:p>
        </w:tc>
        <w:tc>
          <w:tcPr>
            <w:tcW w:type="dxa" w:w="10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05</w:t>
            </w:r>
          </w:p>
        </w:tc>
        <w:tc>
          <w:tcPr>
            <w:tcW w:type="dxa" w:w="48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Permit register (DP, ECC, BP, CR/LTS), with the License to Sell as a launch-readiness criterion so units cannot be sold without it.</w:t>
            </w:r>
          </w:p>
        </w:tc>
        <w:tc>
          <w:tcPr>
            <w:tcW w:type="dxa" w:w="9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High</w:t>
            </w:r>
          </w:p>
        </w:tc>
      </w:tr>
      <w:tr>
        <w:trPr>
          <w:cantSplit/>
        </w:trPr>
        <w:tc>
          <w:tcPr>
            <w:tcW w:type="dxa" w:w="6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A8</w:t>
            </w:r>
          </w:p>
        </w:tc>
        <w:tc>
          <w:tcPr>
            <w:tcW w:type="dxa" w:w="22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8"/>
                <w:szCs w:val="18"/>
              </w:rPr>
              <w:t xml:space="preserve">Budget cycle</w:t>
            </w:r>
          </w:p>
        </w:tc>
        <w:tc>
          <w:tcPr>
            <w:tcW w:type="dxa" w:w="10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01</w:t>
            </w:r>
          </w:p>
        </w:tc>
        <w:tc>
          <w:tcPr>
            <w:tcW w:type="dxa" w:w="483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Budget preparation, consolidation, versioning and approval workflow; multi-year project budgets; budget check at purchase request and PO stage.</w:t>
            </w:r>
          </w:p>
        </w:tc>
        <w:tc>
          <w:tcPr>
            <w:tcW w:type="dxa" w:w="9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High</w:t>
            </w:r>
          </w:p>
        </w:tc>
      </w:tr>
      <w:tr>
        <w:trPr>
          <w:cantSplit/>
        </w:trPr>
        <w:tc>
          <w:tcPr>
            <w:tcW w:type="dxa" w:w="6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A9</w:t>
            </w:r>
          </w:p>
        </w:tc>
        <w:tc>
          <w:tcPr>
            <w:tcW w:type="dxa" w:w="22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8"/>
                <w:szCs w:val="18"/>
              </w:rPr>
              <w:t xml:space="preserve">BIR statutory outputs</w:t>
            </w:r>
          </w:p>
        </w:tc>
        <w:tc>
          <w:tcPr>
            <w:tcW w:type="dxa" w:w="10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Finance</w:t>
            </w:r>
          </w:p>
        </w:tc>
        <w:tc>
          <w:tcPr>
            <w:tcW w:type="dxa" w:w="48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BIR Form 2307, SAWT, QAP and alphalist; EOPT invoicing rules and e-invoicing (EIS) readiness.</w:t>
            </w:r>
          </w:p>
        </w:tc>
        <w:tc>
          <w:tcPr>
            <w:tcW w:type="dxa" w:w="9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High</w:t>
            </w:r>
          </w:p>
        </w:tc>
      </w:tr>
      <w:tr>
        <w:trPr>
          <w:cantSplit/>
        </w:trPr>
        <w:tc>
          <w:tcPr>
            <w:tcW w:type="dxa" w:w="6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A10</w:t>
            </w:r>
          </w:p>
        </w:tc>
        <w:tc>
          <w:tcPr>
            <w:tcW w:type="dxa" w:w="22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8"/>
                <w:szCs w:val="18"/>
              </w:rPr>
              <w:t xml:space="preserve">Buyer title transfer processing</w:t>
            </w:r>
          </w:p>
        </w:tc>
        <w:tc>
          <w:tcPr>
            <w:tcW w:type="dxa" w:w="10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19</w:t>
            </w:r>
          </w:p>
        </w:tc>
        <w:tc>
          <w:tcPr>
            <w:tcW w:type="dxa" w:w="483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Deed of absolute sale, fee payment, eCAR, Registry of Deeds transfer and release of title to buyer or lender. The filing tracker (#26) covers land acquisition only.</w:t>
            </w:r>
          </w:p>
        </w:tc>
        <w:tc>
          <w:tcPr>
            <w:tcW w:type="dxa" w:w="9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Medium</w:t>
            </w:r>
          </w:p>
        </w:tc>
      </w:tr>
      <w:tr>
        <w:trPr>
          <w:cantSplit/>
        </w:trPr>
        <w:tc>
          <w:tcPr>
            <w:tcW w:type="dxa" w:w="6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A11</w:t>
            </w:r>
          </w:p>
        </w:tc>
        <w:tc>
          <w:tcPr>
            <w:tcW w:type="dxa" w:w="22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8"/>
                <w:szCs w:val="18"/>
              </w:rPr>
              <w:t xml:space="preserve">Corporate and project financing</w:t>
            </w:r>
          </w:p>
        </w:tc>
        <w:tc>
          <w:tcPr>
            <w:tcW w:type="dxa" w:w="10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02</w:t>
            </w:r>
          </w:p>
        </w:tc>
        <w:tc>
          <w:tcPr>
            <w:tcW w:type="dxa" w:w="48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Allocation of loan drawdowns to projects and capitalization of interest into project cost.</w:t>
            </w:r>
          </w:p>
        </w:tc>
        <w:tc>
          <w:tcPr>
            <w:tcW w:type="dxa" w:w="9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Medium</w:t>
            </w:r>
          </w:p>
        </w:tc>
      </w:tr>
      <w:tr>
        <w:trPr>
          <w:cantSplit/>
        </w:trPr>
        <w:tc>
          <w:tcPr>
            <w:tcW w:type="dxa" w:w="6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A12</w:t>
            </w:r>
          </w:p>
        </w:tc>
        <w:tc>
          <w:tcPr>
            <w:tcW w:type="dxa" w:w="22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8"/>
                <w:szCs w:val="18"/>
              </w:rPr>
              <w:t xml:space="preserve">Integration with existing PHI systems</w:t>
            </w:r>
          </w:p>
        </w:tc>
        <w:tc>
          <w:tcPr>
            <w:tcW w:type="dxa" w:w="10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Cross-cutting</w:t>
            </w:r>
          </w:p>
        </w:tc>
        <w:tc>
          <w:tcPr>
            <w:tcW w:type="dxa" w:w="483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Data feeds from Odoo to PHI's existing internal systems; the SOW covers CSV and MT940 imports only.</w:t>
            </w:r>
          </w:p>
        </w:tc>
        <w:tc>
          <w:tcPr>
            <w:tcW w:type="dxa" w:w="9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Medium</w:t>
            </w:r>
          </w:p>
        </w:tc>
      </w:tr>
      <w:tr>
        <w:trPr>
          <w:cantSplit/>
        </w:trPr>
        <w:tc>
          <w:tcPr>
            <w:tcW w:type="dxa" w:w="6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A13</w:t>
            </w:r>
          </w:p>
        </w:tc>
        <w:tc>
          <w:tcPr>
            <w:tcW w:type="dxa" w:w="22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8"/>
                <w:szCs w:val="18"/>
              </w:rPr>
              <w:t xml:space="preserve">Rolling forecasts</w:t>
            </w:r>
          </w:p>
        </w:tc>
        <w:tc>
          <w:tcPr>
            <w:tcW w:type="dxa" w:w="10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X1</w:t>
            </w:r>
          </w:p>
        </w:tc>
        <w:tc>
          <w:tcPr>
            <w:tcW w:type="dxa" w:w="48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Sales, collection and cost-to-complete forecasts, in addition to the cash-flow projections already in scope.</w:t>
            </w:r>
          </w:p>
        </w:tc>
        <w:tc>
          <w:tcPr>
            <w:tcW w:type="dxa" w:w="9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Low</w:t>
            </w:r>
          </w:p>
        </w:tc>
      </w:tr>
      <w:tr>
        <w:trPr>
          <w:cantSplit/>
        </w:trPr>
        <w:tc>
          <w:tcPr>
            <w:tcW w:type="dxa" w:w="6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A14</w:t>
            </w:r>
          </w:p>
        </w:tc>
        <w:tc>
          <w:tcPr>
            <w:tcW w:type="dxa" w:w="22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8"/>
                <w:szCs w:val="18"/>
              </w:rPr>
              <w:t xml:space="preserve">Warranty tracking</w:t>
            </w:r>
          </w:p>
        </w:tc>
        <w:tc>
          <w:tcPr>
            <w:tcW w:type="dxa" w:w="10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15</w:t>
            </w:r>
          </w:p>
        </w:tc>
        <w:tc>
          <w:tcPr>
            <w:tcW w:type="dxa" w:w="483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Warranty start and end dates per unit after turnover, linked to helpdesk tickets.</w:t>
            </w:r>
          </w:p>
        </w:tc>
        <w:tc>
          <w:tcPr>
            <w:tcW w:type="dxa" w:w="9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Low</w:t>
            </w:r>
          </w:p>
        </w:tc>
      </w:tr>
    </w:tbl>
    <w:p>
      <w:pPr>
        <w:pStyle w:val="Heading2"/>
        <w:keepNext/>
      </w:pPr>
      <w:r>
        <w:t xml:space="preserve">Part 2 — Items requiring confirmation</w:t>
      </w:r>
    </w:p>
    <w:p>
      <w:pPr>
        <w:keepNext/>
        <w:spacing w:after="120" w:line="276"/>
      </w:pPr>
      <w:r>
        <w:t xml:space="preserve">These may already be covered. If any are not, please price them as in Part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50"/>
        <w:gridCol w:w="1050"/>
        <w:gridCol w:w="5738"/>
      </w:tblGrid>
      <w:tr>
        <w:trPr>
          <w:tblHeader/>
        </w:trPr>
        <w:tc>
          <w:tcPr>
            <w:tcW w:type="dxa" w:w="600"/>
            <w:tcBorders>
              <w:top w:val="single" w:color="C7D0E4" w:sz="4"/>
              <w:left w:val="single" w:color="C7D0E4" w:sz="4"/>
              <w:bottom w:val="single" w:color="C7D0E4" w:sz="4"/>
              <w:right w:val="single" w:color="C7D0E4" w:sz="4"/>
            </w:tcBorders>
            <w:shd w:fill="0F1D4A" w:color="auto" w:val="clear"/>
            <w:tcMar>
              <w:top w:type="dxa" w:w="80"/>
              <w:left w:type="dxa" w:w="110"/>
              <w:bottom w:type="dxa" w:w="80"/>
              <w:right w:type="dxa" w:w="110"/>
            </w:tcMar>
          </w:tcPr>
          <w:p>
            <w:r>
              <w:rPr>
                <w:b/>
                <w:bCs/>
                <w:color w:val="FFFFFF"/>
                <w:sz w:val="18"/>
                <w:szCs w:val="18"/>
              </w:rPr>
              <w:t xml:space="preserve">#</w:t>
            </w:r>
          </w:p>
        </w:tc>
        <w:tc>
          <w:tcPr>
            <w:tcW w:type="dxa" w:w="2250"/>
            <w:tcBorders>
              <w:top w:val="single" w:color="C7D0E4" w:sz="4"/>
              <w:left w:val="single" w:color="C7D0E4" w:sz="4"/>
              <w:bottom w:val="single" w:color="C7D0E4" w:sz="4"/>
              <w:right w:val="single" w:color="C7D0E4" w:sz="4"/>
            </w:tcBorders>
            <w:shd w:fill="0F1D4A" w:color="auto" w:val="clear"/>
            <w:tcMar>
              <w:top w:type="dxa" w:w="80"/>
              <w:left w:type="dxa" w:w="110"/>
              <w:bottom w:type="dxa" w:w="80"/>
              <w:right w:type="dxa" w:w="110"/>
            </w:tcMar>
          </w:tcPr>
          <w:p>
            <w:r>
              <w:rPr>
                <w:b/>
                <w:bCs/>
                <w:color w:val="FFFFFF"/>
                <w:sz w:val="18"/>
                <w:szCs w:val="18"/>
              </w:rPr>
              <w:t xml:space="preserve">Item</w:t>
            </w:r>
          </w:p>
        </w:tc>
        <w:tc>
          <w:tcPr>
            <w:tcW w:type="dxa" w:w="1050"/>
            <w:tcBorders>
              <w:top w:val="single" w:color="C7D0E4" w:sz="4"/>
              <w:left w:val="single" w:color="C7D0E4" w:sz="4"/>
              <w:bottom w:val="single" w:color="C7D0E4" w:sz="4"/>
              <w:right w:val="single" w:color="C7D0E4" w:sz="4"/>
            </w:tcBorders>
            <w:shd w:fill="0F1D4A" w:color="auto" w:val="clear"/>
            <w:tcMar>
              <w:top w:type="dxa" w:w="80"/>
              <w:left w:type="dxa" w:w="110"/>
              <w:bottom w:type="dxa" w:w="80"/>
              <w:right w:type="dxa" w:w="110"/>
            </w:tcMar>
          </w:tcPr>
          <w:p>
            <w:r>
              <w:rPr>
                <w:b/>
                <w:bCs/>
                <w:color w:val="FFFFFF"/>
                <w:sz w:val="18"/>
                <w:szCs w:val="18"/>
              </w:rPr>
              <w:t xml:space="preserve">Process</w:t>
            </w:r>
          </w:p>
        </w:tc>
        <w:tc>
          <w:tcPr>
            <w:tcW w:type="dxa" w:w="5738"/>
            <w:tcBorders>
              <w:top w:val="single" w:color="C7D0E4" w:sz="4"/>
              <w:left w:val="single" w:color="C7D0E4" w:sz="4"/>
              <w:bottom w:val="single" w:color="C7D0E4" w:sz="4"/>
              <w:right w:val="single" w:color="C7D0E4" w:sz="4"/>
            </w:tcBorders>
            <w:shd w:fill="0F1D4A" w:color="auto" w:val="clear"/>
            <w:tcMar>
              <w:top w:type="dxa" w:w="80"/>
              <w:left w:type="dxa" w:w="110"/>
              <w:bottom w:type="dxa" w:w="80"/>
              <w:right w:type="dxa" w:w="110"/>
            </w:tcMar>
          </w:tcPr>
          <w:p>
            <w:r>
              <w:rPr>
                <w:b/>
                <w:bCs/>
                <w:color w:val="FFFFFF"/>
                <w:sz w:val="18"/>
                <w:szCs w:val="18"/>
              </w:rPr>
              <w:t xml:space="preserve">Confirmation requested</w:t>
            </w:r>
          </w:p>
        </w:tc>
      </w:tr>
      <w:tr>
        <w:trPr>
          <w:cantSplit/>
        </w:trPr>
        <w:tc>
          <w:tcPr>
            <w:tcW w:type="dxa" w:w="6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B1</w:t>
            </w:r>
          </w:p>
        </w:tc>
        <w:tc>
          <w:tcPr>
            <w:tcW w:type="dxa" w:w="22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8"/>
                <w:szCs w:val="18"/>
              </w:rPr>
              <w:t xml:space="preserve">TORC definition</w:t>
            </w:r>
          </w:p>
        </w:tc>
        <w:tc>
          <w:tcPr>
            <w:tcW w:type="dxa" w:w="10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14</w:t>
            </w:r>
          </w:p>
        </w:tc>
        <w:tc>
          <w:tcPr>
            <w:tcW w:type="dxa" w:w="57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PHI defines TORC as taxes and other related charges on title transfer, including amounts recharged to the buyer. The SOW describes TORC as project budget dispensing. Please confirm the SOW covers PHI's definition; if not, please price it.</w:t>
            </w:r>
          </w:p>
        </w:tc>
      </w:tr>
      <w:tr>
        <w:trPr>
          <w:cantSplit/>
        </w:trPr>
        <w:tc>
          <w:tcPr>
            <w:tcW w:type="dxa" w:w="6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B2</w:t>
            </w:r>
          </w:p>
        </w:tc>
        <w:tc>
          <w:tcPr>
            <w:tcW w:type="dxa" w:w="22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8"/>
                <w:szCs w:val="18"/>
              </w:rPr>
              <w:t xml:space="preserve">Condominium units in the Lot model</w:t>
            </w:r>
          </w:p>
        </w:tc>
        <w:tc>
          <w:tcPr>
            <w:tcW w:type="dxa" w:w="10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07</w:t>
            </w:r>
          </w:p>
        </w:tc>
        <w:tc>
          <w:tcPr>
            <w:tcW w:type="dxa" w:w="573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Please confirm the Lot model supports condominium units (tower-floor-unit, CCT titles), parking slots and house-and-lot packages.</w:t>
            </w:r>
          </w:p>
        </w:tc>
      </w:tr>
      <w:tr>
        <w:trPr>
          <w:cantSplit/>
        </w:trPr>
        <w:tc>
          <w:tcPr>
            <w:tcW w:type="dxa" w:w="6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B3</w:t>
            </w:r>
          </w:p>
        </w:tc>
        <w:tc>
          <w:tcPr>
            <w:tcW w:type="dxa" w:w="22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8"/>
                <w:szCs w:val="18"/>
              </w:rPr>
              <w:t xml:space="preserve">Joint-venture land acquisitions</w:t>
            </w:r>
          </w:p>
        </w:tc>
        <w:tc>
          <w:tcPr>
            <w:tcW w:type="dxa" w:w="10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04</w:t>
            </w:r>
          </w:p>
        </w:tc>
        <w:tc>
          <w:tcPr>
            <w:tcW w:type="dxa" w:w="57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Please confirm support for landowners compensated in units rather than cash.</w:t>
            </w:r>
          </w:p>
        </w:tc>
      </w:tr>
      <w:tr>
        <w:trPr>
          <w:cantSplit/>
        </w:trPr>
        <w:tc>
          <w:tcPr>
            <w:tcW w:type="dxa" w:w="6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B4</w:t>
            </w:r>
          </w:p>
        </w:tc>
        <w:tc>
          <w:tcPr>
            <w:tcW w:type="dxa" w:w="22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8"/>
                <w:szCs w:val="18"/>
              </w:rPr>
              <w:t xml:space="preserve">Data migration scope</w:t>
            </w:r>
          </w:p>
        </w:tc>
        <w:tc>
          <w:tcPr>
            <w:tcW w:type="dxa" w:w="10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Migration</w:t>
            </w:r>
          </w:p>
        </w:tc>
        <w:tc>
          <w:tcPr>
            <w:tcW w:type="dxa" w:w="573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Please confirm which buyer payment history migrates from the current system; full history is needed for Maceda Law computations and commission status.</w:t>
            </w:r>
          </w:p>
        </w:tc>
      </w:tr>
      <w:tr>
        <w:trPr>
          <w:cantSplit/>
        </w:trPr>
        <w:tc>
          <w:tcPr>
            <w:tcW w:type="dxa" w:w="60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B5</w:t>
            </w:r>
          </w:p>
        </w:tc>
        <w:tc>
          <w:tcPr>
            <w:tcW w:type="dxa" w:w="22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bCs/>
                <w:sz w:val="18"/>
                <w:szCs w:val="18"/>
              </w:rPr>
              <w:t xml:space="preserve">Petty cash and reimbursements</w:t>
            </w:r>
          </w:p>
        </w:tc>
        <w:tc>
          <w:tcPr>
            <w:tcW w:type="dxa" w:w="1050"/>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03</w:t>
            </w:r>
          </w:p>
        </w:tc>
        <w:tc>
          <w:tcPr>
            <w:tcW w:type="dxa" w:w="5738"/>
            <w:tcBorders>
              <w:top w:val="single" w:color="C7D0E4" w:sz="4"/>
              <w:left w:val="single" w:color="C7D0E4" w:sz="4"/>
              <w:bottom w:val="single" w:color="C7D0E4" w:sz="4"/>
              <w:right w:val="single" w:color="C7D0E4" w:sz="4"/>
            </w:tcBorders>
            <w:tcMar>
              <w:top w:type="dxa" w:w="80"/>
              <w:left w:type="dxa" w:w="110"/>
              <w:bottom w:type="dxa" w:w="80"/>
              <w:right w:type="dxa" w:w="110"/>
            </w:tcMar>
          </w:tcPr>
          <w:p>
            <w:r>
              <w:rPr>
                <w:b w:val="false"/>
                <w:bCs w:val="false"/>
                <w:sz w:val="18"/>
                <w:szCs w:val="18"/>
              </w:rPr>
              <w:t xml:space="preserve">Please confirm whether the Odoo Expenses app is in scope.</w:t>
            </w:r>
          </w:p>
        </w:tc>
      </w:tr>
      <w:tr>
        <w:trPr>
          <w:cantSplit/>
        </w:trPr>
        <w:tc>
          <w:tcPr>
            <w:tcW w:type="dxa" w:w="60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B6</w:t>
            </w:r>
          </w:p>
        </w:tc>
        <w:tc>
          <w:tcPr>
            <w:tcW w:type="dxa" w:w="22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bCs/>
                <w:sz w:val="18"/>
                <w:szCs w:val="18"/>
              </w:rPr>
              <w:t xml:space="preserve">Mockups and undefined items</w:t>
            </w:r>
          </w:p>
        </w:tc>
        <w:tc>
          <w:tcPr>
            <w:tcW w:type="dxa" w:w="1050"/>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§3.3</w:t>
            </w:r>
          </w:p>
        </w:tc>
        <w:tc>
          <w:tcPr>
            <w:tcW w:type="dxa" w:w="5738"/>
            <w:tcBorders>
              <w:top w:val="single" w:color="C7D0E4" w:sz="4"/>
              <w:left w:val="single" w:color="C7D0E4" w:sz="4"/>
              <w:bottom w:val="single" w:color="C7D0E4" w:sz="4"/>
              <w:right w:val="single" w:color="C7D0E4" w:sz="4"/>
            </w:tcBorders>
            <w:shd w:fill="EEF2F8" w:color="auto" w:val="clear"/>
            <w:tcMar>
              <w:top w:type="dxa" w:w="80"/>
              <w:left w:type="dxa" w:w="110"/>
              <w:bottom w:type="dxa" w:w="80"/>
              <w:right w:type="dxa" w:w="110"/>
            </w:tcMar>
          </w:tcPr>
          <w:p>
            <w:r>
              <w:rPr>
                <w:b w:val="false"/>
                <w:bCs w:val="false"/>
                <w:sz w:val="18"/>
                <w:szCs w:val="18"/>
              </w:rPr>
              <w:t xml:space="preserve">Please attach the mockups referenced in §3.3 as an annex to the SOW, and describe items #62–64, which have no description.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4507A"/>
        <w:sz w:val="16"/>
        <w:szCs w:val="16"/>
      </w:rPr>
      <w:t xml:space="preserve">PHI — Clarifications on SOW No. S343096</w:t>
    </w:r>
    <w:r>
      <w:rPr>
        <w:color w:val="44507A"/>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1D4A"/>
      <w:sz w:val="30"/>
      <w:szCs w:val="30"/>
    </w:rPr>
  </w:style>
  <w:style w:type="paragraph" w:styleId="Heading2">
    <w:name w:val="Heading 2"/>
    <w:basedOn w:val="Normal"/>
    <w:next w:val="Normal"/>
    <w:qFormat/>
    <w:pPr>
      <w:spacing w:after="60" w:before="260"/>
      <w:outlineLvl w:val="1"/>
    </w:pPr>
    <w:rPr>
      <w:rFonts w:ascii="Arial" w:cs="Arial" w:eastAsia="Arial" w:hAnsi="Arial"/>
      <w:b/>
      <w:bCs/>
      <w:color w:val="0F1D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and contract clarifications — SOW S343096</dc:title>
  <dc:creator>Primary Homes Incorporated</dc:creator>
  <cp:lastModifiedBy>Un-named</cp:lastModifiedBy>
  <cp:revision>1</cp:revision>
  <dcterms:created xsi:type="dcterms:W3CDTF">2026-09-24T21:41:17.768Z</dcterms:created>
  <dcterms:modified xsi:type="dcterms:W3CDTF">2026-09-24T21:41:17.768Z</dcterms:modified>
</cp:coreProperties>
</file>

<file path=docProps/custom.xml><?xml version="1.0" encoding="utf-8"?>
<Properties xmlns="http://schemas.openxmlformats.org/officeDocument/2006/custom-properties" xmlns:vt="http://schemas.openxmlformats.org/officeDocument/2006/docPropsVTypes"/>
</file>