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center"/>
      </w:pPr>
      <w:r>
        <w:rPr>
          <w:rFonts w:ascii="Arial" w:cs="Arial" w:eastAsia="Arial" w:hAnsi="Arial"/>
          <w:b/>
          <w:bCs/>
          <w:color w:val="2E4057"/>
          <w:sz w:val="64"/>
          <w:szCs w:val="64"/>
        </w:rPr>
        <w:t xml:space="preserve">SUPERSTORE</w:t>
      </w:r>
    </w:p>
    <w:p>
      <w:pPr>
        <w:spacing w:after="200" w:before="0"/>
        <w:jc w:val="center"/>
      </w:pPr>
      <w:r>
        <w:rPr>
          <w:rFonts w:ascii="Arial" w:cs="Arial" w:eastAsia="Arial" w:hAnsi="Arial"/>
          <w:i/>
          <w:iCs/>
          <w:color w:val="5B8DB8"/>
          <w:sz w:val="36"/>
          <w:szCs w:val="36"/>
        </w:rPr>
        <w:t xml:space="preserve">Business Performance &amp; Analytics Report</w:t>
      </w:r>
    </w:p>
    <w:p>
      <w:pPr>
        <w:pBdr>
          <w:bottom w:val="single" w:color="C9973D" w:sz="12" w:space="8"/>
        </w:pBdr>
        <w:spacing w:after="200" w:before="0"/>
        <w:jc w:val="center"/>
      </w:pPr>
      <w:r>
        <w:rPr>
          <w:rFonts w:ascii="Arial" w:cs="Arial" w:eastAsia="Arial" w:hAnsi="Arial"/>
          <w:color w:val="1A1A2E"/>
          <w:sz w:val="26"/>
          <w:szCs w:val="26"/>
        </w:rPr>
        <w:t xml:space="preserve">Fiscal Years 2014 – 2017</w:t>
      </w:r>
    </w:p>
    <w:p>
      <w:pPr>
        <w:spacing w:after="0" w:before="200"/>
      </w:pPr>
    </w:p>
    <w:p>
      <w:pPr>
        <w:jc w:val="center"/>
      </w:pPr>
      <w:r>
        <w:rPr>
          <w:rFonts w:ascii="Arial" w:cs="Arial" w:eastAsia="Arial" w:hAnsi="Arial"/>
          <w:color w:val="555555"/>
          <w:sz w:val="22"/>
          <w:szCs w:val="22"/>
        </w:rPr>
        <w:t xml:space="preserve">Prepared by: Business Intelligence Team</w:t>
      </w:r>
    </w:p>
    <w:p>
      <w:pPr>
        <w:jc w:val="center"/>
      </w:pPr>
      <w:r>
        <w:rPr>
          <w:rFonts w:ascii="Arial" w:cs="Arial" w:eastAsia="Arial" w:hAnsi="Arial"/>
          <w:color w:val="555555"/>
          <w:sz w:val="22"/>
          <w:szCs w:val="22"/>
        </w:rPr>
        <w:t xml:space="preserve">Classification: Internal / Confidential</w:t>
      </w:r>
    </w:p>
    <w:p>
      <w:pPr>
        <w:spacing w:after="0" w:before="800"/>
      </w:pPr>
    </w:p>
    <w:p>
      <w:r>
        <w:br w:type="page"/>
      </w:r>
    </w:p>
    <w:p>
      <w:pPr>
        <w:pStyle w:val="Heading1"/>
        <w:pBdr>
          <w:bottom w:val="single" w:color="2E4057" w:sz="8" w:space="6"/>
        </w:pBdr>
        <w:spacing w:after="160" w:before="360"/>
      </w:pPr>
      <w:r>
        <w:rPr>
          <w:rFonts w:ascii="Arial" w:cs="Arial" w:eastAsia="Arial" w:hAnsi="Arial"/>
          <w:b/>
          <w:bCs/>
          <w:color w:val="2E4057"/>
          <w:sz w:val="32"/>
          <w:szCs w:val="32"/>
        </w:rPr>
        <w:t xml:space="preserve">1. Executive Summary</w:t>
      </w:r>
    </w:p>
    <w:p>
      <w:pPr>
        <w:spacing w:after="100" w:before="80"/>
      </w:pPr>
      <w:r>
        <w:rPr>
          <w:rFonts w:ascii="Arial" w:cs="Arial" w:eastAsia="Arial" w:hAnsi="Arial"/>
          <w:color w:val="1A1A2E"/>
          <w:sz w:val="22"/>
          <w:szCs w:val="22"/>
        </w:rPr>
        <w:t xml:space="preserve">This report provides a comprehensive analysis of Superstore's business performance across all product categories, customer segments, and geographic regions for fiscal years 2014 through 2017. Based on 9,994 transactions spanning 5,009 unique orders, the business demonstrates consistent revenue growth with key opportunities for margin improvement.</w:t>
      </w:r>
    </w:p>
    <w:p>
      <w:pPr>
        <w:spacing w:after="0" w:before="80"/>
      </w:pPr>
    </w:p>
    <w:p>
      <w:pPr>
        <w:spacing w:after="100" w:before="80"/>
      </w:pPr>
      <w:r>
        <w:rPr>
          <w:rFonts w:ascii="Arial" w:cs="Arial" w:eastAsia="Arial" w:hAnsi="Arial"/>
          <w:b/>
          <w:bCs/>
          <w:color w:val="1A1A2E"/>
          <w:sz w:val="22"/>
          <w:szCs w:val="22"/>
        </w:rPr>
        <w:t xml:space="preserve">The analysis covers Sales Performance, Profitability, Regional Breakdown, Segment Analysis, and strategic recommendations to drive profitability improvements.</w:t>
      </w:r>
    </w:p>
    <w:p>
      <w:pPr>
        <w:spacing w:after="0" w:before="200"/>
      </w:pPr>
    </w:p>
    <w:p>
      <w:pPr>
        <w:pStyle w:val="Heading1"/>
        <w:pBdr>
          <w:bottom w:val="single" w:color="2E4057" w:sz="8" w:space="6"/>
        </w:pBdr>
        <w:spacing w:after="160" w:before="360"/>
      </w:pPr>
      <w:r>
        <w:rPr>
          <w:rFonts w:ascii="Arial" w:cs="Arial" w:eastAsia="Arial" w:hAnsi="Arial"/>
          <w:b/>
          <w:bCs/>
          <w:color w:val="2E4057"/>
          <w:sz w:val="32"/>
          <w:szCs w:val="32"/>
        </w:rPr>
        <w:t xml:space="preserve">2. Key Performance Indicators (KPIs)</w:t>
      </w:r>
    </w:p>
    <w:p>
      <w:pPr>
        <w:spacing w:after="100" w:before="80"/>
      </w:pPr>
      <w:r>
        <w:rPr>
          <w:rFonts w:ascii="Arial" w:cs="Arial" w:eastAsia="Arial" w:hAnsi="Arial"/>
          <w:color w:val="1A1A2E"/>
          <w:sz w:val="22"/>
          <w:szCs w:val="22"/>
        </w:rPr>
        <w:t xml:space="preserve">The following KPIs summarise overall business performance across the 4-year reporting period:</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2E4057" w:val="clear"/>
            <w:tcMar>
              <w:top w:type="dxa" w:w="160"/>
              <w:left w:type="dxa" w:w="200"/>
              <w:bottom w:type="dxa" w:w="160"/>
              <w:right w:type="dxa" w:w="200"/>
            </w:tcMar>
            <w:vAlign w:val="center"/>
          </w:tcPr>
          <w:p>
            <w:pPr>
              <w:jc w:val="center"/>
            </w:pPr>
            <w:r>
              <w:rPr>
                <w:rFonts w:ascii="Arial" w:cs="Arial" w:eastAsia="Arial" w:hAnsi="Arial"/>
                <w:b/>
                <w:bCs/>
                <w:color w:val="E8C97A"/>
                <w:sz w:val="40"/>
                <w:szCs w:val="40"/>
              </w:rPr>
              <w:t xml:space="preserve">$2.30M</w:t>
            </w:r>
          </w:p>
          <w:p>
            <w:pPr>
              <w:spacing w:before="40"/>
              <w:jc w:val="center"/>
            </w:pPr>
            <w:r>
              <w:rPr>
                <w:rFonts w:ascii="Arial" w:cs="Arial" w:eastAsia="Arial" w:hAnsi="Arial"/>
                <w:color w:val="D0D8E8"/>
                <w:sz w:val="18"/>
                <w:szCs w:val="18"/>
              </w:rPr>
              <w:t xml:space="preserve">Total Revenue</w:t>
            </w:r>
          </w:p>
        </w:tc>
        <w:tc>
          <w:tcPr>
            <w:tcW w:type="dxa" w:w="2340"/>
            <w:tcBorders>
              <w:top w:val="none"/>
              <w:left w:val="none"/>
              <w:bottom w:val="none"/>
              <w:right w:val="none"/>
            </w:tcBorders>
            <w:shd w:fill="2E4057" w:val="clear"/>
            <w:tcMar>
              <w:top w:type="dxa" w:w="160"/>
              <w:left w:type="dxa" w:w="200"/>
              <w:bottom w:type="dxa" w:w="160"/>
              <w:right w:type="dxa" w:w="200"/>
            </w:tcMar>
            <w:vAlign w:val="center"/>
          </w:tcPr>
          <w:p>
            <w:pPr>
              <w:jc w:val="center"/>
            </w:pPr>
            <w:r>
              <w:rPr>
                <w:rFonts w:ascii="Arial" w:cs="Arial" w:eastAsia="Arial" w:hAnsi="Arial"/>
                <w:b/>
                <w:bCs/>
                <w:color w:val="E8C97A"/>
                <w:sz w:val="40"/>
                <w:szCs w:val="40"/>
              </w:rPr>
              <w:t xml:space="preserve">$286.4K</w:t>
            </w:r>
          </w:p>
          <w:p>
            <w:pPr>
              <w:spacing w:before="40"/>
              <w:jc w:val="center"/>
            </w:pPr>
            <w:r>
              <w:rPr>
                <w:rFonts w:ascii="Arial" w:cs="Arial" w:eastAsia="Arial" w:hAnsi="Arial"/>
                <w:color w:val="D0D8E8"/>
                <w:sz w:val="18"/>
                <w:szCs w:val="18"/>
              </w:rPr>
              <w:t xml:space="preserve">Total Profit</w:t>
            </w:r>
          </w:p>
        </w:tc>
        <w:tc>
          <w:tcPr>
            <w:tcW w:type="dxa" w:w="2340"/>
            <w:tcBorders>
              <w:top w:val="none"/>
              <w:left w:val="none"/>
              <w:bottom w:val="none"/>
              <w:right w:val="none"/>
            </w:tcBorders>
            <w:shd w:fill="2E4057" w:val="clear"/>
            <w:tcMar>
              <w:top w:type="dxa" w:w="160"/>
              <w:left w:type="dxa" w:w="200"/>
              <w:bottom w:type="dxa" w:w="160"/>
              <w:right w:type="dxa" w:w="200"/>
            </w:tcMar>
            <w:vAlign w:val="center"/>
          </w:tcPr>
          <w:p>
            <w:pPr>
              <w:jc w:val="center"/>
            </w:pPr>
            <w:r>
              <w:rPr>
                <w:rFonts w:ascii="Arial" w:cs="Arial" w:eastAsia="Arial" w:hAnsi="Arial"/>
                <w:b/>
                <w:bCs/>
                <w:color w:val="E8C97A"/>
                <w:sz w:val="40"/>
                <w:szCs w:val="40"/>
              </w:rPr>
              <w:t xml:space="preserve">12.47%</w:t>
            </w:r>
          </w:p>
          <w:p>
            <w:pPr>
              <w:spacing w:before="40"/>
              <w:jc w:val="center"/>
            </w:pPr>
            <w:r>
              <w:rPr>
                <w:rFonts w:ascii="Arial" w:cs="Arial" w:eastAsia="Arial" w:hAnsi="Arial"/>
                <w:color w:val="D0D8E8"/>
                <w:sz w:val="18"/>
                <w:szCs w:val="18"/>
              </w:rPr>
              <w:t xml:space="preserve">Profit Margin</w:t>
            </w:r>
          </w:p>
        </w:tc>
        <w:tc>
          <w:tcPr>
            <w:tcW w:type="dxa" w:w="2340"/>
            <w:tcBorders>
              <w:top w:val="none"/>
              <w:left w:val="none"/>
              <w:bottom w:val="none"/>
              <w:right w:val="none"/>
            </w:tcBorders>
            <w:shd w:fill="2E4057" w:val="clear"/>
            <w:tcMar>
              <w:top w:type="dxa" w:w="160"/>
              <w:left w:type="dxa" w:w="200"/>
              <w:bottom w:type="dxa" w:w="160"/>
              <w:right w:type="dxa" w:w="200"/>
            </w:tcMar>
            <w:vAlign w:val="center"/>
          </w:tcPr>
          <w:p>
            <w:pPr>
              <w:jc w:val="center"/>
            </w:pPr>
            <w:r>
              <w:rPr>
                <w:rFonts w:ascii="Arial" w:cs="Arial" w:eastAsia="Arial" w:hAnsi="Arial"/>
                <w:b/>
                <w:bCs/>
                <w:color w:val="E8C97A"/>
                <w:sz w:val="40"/>
                <w:szCs w:val="40"/>
              </w:rPr>
              <w:t xml:space="preserve">5,009</w:t>
            </w:r>
          </w:p>
          <w:p>
            <w:pPr>
              <w:spacing w:before="40"/>
              <w:jc w:val="center"/>
            </w:pPr>
            <w:r>
              <w:rPr>
                <w:rFonts w:ascii="Arial" w:cs="Arial" w:eastAsia="Arial" w:hAnsi="Arial"/>
                <w:color w:val="D0D8E8"/>
                <w:sz w:val="18"/>
                <w:szCs w:val="18"/>
              </w:rPr>
              <w:t xml:space="preserve">Total Orders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2E4057" w:val="clear"/>
            <w:tcMar>
              <w:top w:type="dxa" w:w="160"/>
              <w:left w:type="dxa" w:w="200"/>
              <w:bottom w:type="dxa" w:w="160"/>
              <w:right w:type="dxa" w:w="200"/>
            </w:tcMar>
            <w:vAlign w:val="center"/>
          </w:tcPr>
          <w:p>
            <w:pPr>
              <w:jc w:val="center"/>
            </w:pPr>
            <w:r>
              <w:rPr>
                <w:rFonts w:ascii="Arial" w:cs="Arial" w:eastAsia="Arial" w:hAnsi="Arial"/>
                <w:b/>
                <w:bCs/>
                <w:color w:val="E8C97A"/>
                <w:sz w:val="40"/>
                <w:szCs w:val="40"/>
              </w:rPr>
              <w:t xml:space="preserve">37,873</w:t>
            </w:r>
          </w:p>
          <w:p>
            <w:pPr>
              <w:spacing w:before="40"/>
              <w:jc w:val="center"/>
            </w:pPr>
            <w:r>
              <w:rPr>
                <w:rFonts w:ascii="Arial" w:cs="Arial" w:eastAsia="Arial" w:hAnsi="Arial"/>
                <w:color w:val="D0D8E8"/>
                <w:sz w:val="18"/>
                <w:szCs w:val="18"/>
              </w:rPr>
              <w:t xml:space="preserve">Units Sold</w:t>
            </w:r>
          </w:p>
        </w:tc>
        <w:tc>
          <w:tcPr>
            <w:tcW w:type="dxa" w:w="2340"/>
            <w:tcBorders>
              <w:top w:val="none"/>
              <w:left w:val="none"/>
              <w:bottom w:val="none"/>
              <w:right w:val="none"/>
            </w:tcBorders>
            <w:shd w:fill="2E4057" w:val="clear"/>
            <w:tcMar>
              <w:top w:type="dxa" w:w="160"/>
              <w:left w:type="dxa" w:w="200"/>
              <w:bottom w:type="dxa" w:w="160"/>
              <w:right w:type="dxa" w:w="200"/>
            </w:tcMar>
            <w:vAlign w:val="center"/>
          </w:tcPr>
          <w:p>
            <w:pPr>
              <w:jc w:val="center"/>
            </w:pPr>
            <w:r>
              <w:rPr>
                <w:rFonts w:ascii="Arial" w:cs="Arial" w:eastAsia="Arial" w:hAnsi="Arial"/>
                <w:b/>
                <w:bCs/>
                <w:color w:val="E8C97A"/>
                <w:sz w:val="40"/>
                <w:szCs w:val="40"/>
              </w:rPr>
              <w:t xml:space="preserve">9,994</w:t>
            </w:r>
          </w:p>
          <w:p>
            <w:pPr>
              <w:spacing w:before="40"/>
              <w:jc w:val="center"/>
            </w:pPr>
            <w:r>
              <w:rPr>
                <w:rFonts w:ascii="Arial" w:cs="Arial" w:eastAsia="Arial" w:hAnsi="Arial"/>
                <w:color w:val="D0D8E8"/>
                <w:sz w:val="18"/>
                <w:szCs w:val="18"/>
              </w:rPr>
              <w:t xml:space="preserve">Transactions</w:t>
            </w:r>
          </w:p>
        </w:tc>
        <w:tc>
          <w:tcPr>
            <w:tcW w:type="dxa" w:w="2340"/>
            <w:tcBorders>
              <w:top w:val="none"/>
              <w:left w:val="none"/>
              <w:bottom w:val="none"/>
              <w:right w:val="none"/>
            </w:tcBorders>
            <w:shd w:fill="2E4057" w:val="clear"/>
            <w:tcMar>
              <w:top w:type="dxa" w:w="160"/>
              <w:left w:type="dxa" w:w="200"/>
              <w:bottom w:type="dxa" w:w="160"/>
              <w:right w:type="dxa" w:w="200"/>
            </w:tcMar>
            <w:vAlign w:val="center"/>
          </w:tcPr>
          <w:p>
            <w:pPr>
              <w:jc w:val="center"/>
            </w:pPr>
            <w:r>
              <w:rPr>
                <w:rFonts w:ascii="Arial" w:cs="Arial" w:eastAsia="Arial" w:hAnsi="Arial"/>
                <w:b/>
                <w:bCs/>
                <w:color w:val="E8C97A"/>
                <w:sz w:val="40"/>
                <w:szCs w:val="40"/>
              </w:rPr>
              <w:t xml:space="preserve">$458.6</w:t>
            </w:r>
          </w:p>
          <w:p>
            <w:pPr>
              <w:spacing w:before="40"/>
              <w:jc w:val="center"/>
            </w:pPr>
            <w:r>
              <w:rPr>
                <w:rFonts w:ascii="Arial" w:cs="Arial" w:eastAsia="Arial" w:hAnsi="Arial"/>
                <w:color w:val="D0D8E8"/>
                <w:sz w:val="18"/>
                <w:szCs w:val="18"/>
              </w:rPr>
              <w:t xml:space="preserve">Avg Order Value</w:t>
            </w:r>
          </w:p>
        </w:tc>
        <w:tc>
          <w:tcPr>
            <w:tcW w:type="dxa" w:w="2340"/>
            <w:tcBorders>
              <w:top w:val="none"/>
              <w:left w:val="none"/>
              <w:bottom w:val="none"/>
              <w:right w:val="none"/>
            </w:tcBorders>
            <w:shd w:fill="2E4057" w:val="clear"/>
            <w:tcMar>
              <w:top w:type="dxa" w:w="160"/>
              <w:left w:type="dxa" w:w="200"/>
              <w:bottom w:type="dxa" w:w="160"/>
              <w:right w:type="dxa" w:w="200"/>
            </w:tcMar>
            <w:vAlign w:val="center"/>
          </w:tcPr>
          <w:p>
            <w:pPr>
              <w:jc w:val="center"/>
            </w:pPr>
            <w:r>
              <w:rPr>
                <w:rFonts w:ascii="Arial" w:cs="Arial" w:eastAsia="Arial" w:hAnsi="Arial"/>
                <w:b/>
                <w:bCs/>
                <w:color w:val="E8C97A"/>
                <w:sz w:val="40"/>
                <w:szCs w:val="40"/>
              </w:rPr>
              <w:t xml:space="preserve">$57.2</w:t>
            </w:r>
          </w:p>
          <w:p>
            <w:pPr>
              <w:spacing w:before="40"/>
              <w:jc w:val="center"/>
            </w:pPr>
            <w:r>
              <w:rPr>
                <w:rFonts w:ascii="Arial" w:cs="Arial" w:eastAsia="Arial" w:hAnsi="Arial"/>
                <w:color w:val="D0D8E8"/>
                <w:sz w:val="18"/>
                <w:szCs w:val="18"/>
              </w:rPr>
              <w:t xml:space="preserve">Avg Profit/Order</w:t>
            </w:r>
          </w:p>
        </w:tc>
      </w:tr>
    </w:tbl>
    <w:p>
      <w:pPr>
        <w:spacing w:after="0" w:before="200"/>
      </w:pPr>
    </w:p>
    <w:p>
      <w:pPr>
        <w:spacing w:after="100" w:before="80"/>
      </w:pPr>
      <w:r>
        <w:rPr>
          <w:rFonts w:ascii="Arial" w:cs="Arial" w:eastAsia="Arial" w:hAnsi="Arial"/>
          <w:b/>
          <w:bCs/>
          <w:color w:val="C62828"/>
          <w:sz w:val="22"/>
          <w:szCs w:val="22"/>
        </w:rPr>
        <w:t xml:space="preserve">KEY INSIGHT: While revenue grew 51.4% from 2014 to 2017, the profit margin remains relatively thin at 12.47%, driven by high discounting in Furniture and underperforming sub-categories like Tables and Bookcases.</w:t>
      </w:r>
    </w:p>
    <w:p>
      <w:pPr>
        <w:spacing w:after="0" w:before="240"/>
      </w:pPr>
    </w:p>
    <w:p>
      <w:pPr>
        <w:pStyle w:val="Heading1"/>
        <w:pBdr>
          <w:bottom w:val="single" w:color="2E4057" w:sz="8" w:space="6"/>
        </w:pBdr>
        <w:spacing w:after="160" w:before="360"/>
      </w:pPr>
      <w:r>
        <w:rPr>
          <w:rFonts w:ascii="Arial" w:cs="Arial" w:eastAsia="Arial" w:hAnsi="Arial"/>
          <w:b/>
          <w:bCs/>
          <w:color w:val="2E4057"/>
          <w:sz w:val="32"/>
          <w:szCs w:val="32"/>
        </w:rPr>
        <w:t xml:space="preserve">3. Annual Performance Trend</w:t>
      </w:r>
    </w:p>
    <w:p>
      <w:pPr>
        <w:spacing w:after="100" w:before="80"/>
      </w:pPr>
      <w:r>
        <w:rPr>
          <w:rFonts w:ascii="Arial" w:cs="Arial" w:eastAsia="Arial" w:hAnsi="Arial"/>
          <w:color w:val="1A1A2E"/>
          <w:sz w:val="22"/>
          <w:szCs w:val="22"/>
        </w:rPr>
        <w:t xml:space="preserve">Both revenue and profit show consistent year-over-year growth across the 4-year period, with 2017 being the strongest year on record.</w:t>
      </w:r>
    </w:p>
    <w:p>
      <w:pPr>
        <w:spacing w:after="0" w:before="120"/>
      </w:pPr>
    </w:p>
    <w:p>
      <w:pPr>
        <w:spacing w:after="12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67000"/>
                    </a:xfrm>
                    <a:prstGeom prst="rect">
                      <a:avLst/>
                    </a:prstGeom>
                  </pic:spPr>
                </pic:pic>
              </a:graphicData>
            </a:graphic>
          </wp:inline>
        </w:drawing>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60"/>
        <w:gridCol w:w="1960"/>
      </w:tblGrid>
      <w:tr>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w:t>
            </w:r>
          </w:p>
        </w:tc>
        <w:tc>
          <w:tcPr>
            <w:tcW w:type="dxa" w:w="1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Sales</w:t>
            </w:r>
          </w:p>
        </w:tc>
        <w:tc>
          <w:tcPr>
            <w:tcW w:type="dxa" w:w="1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Profit</w:t>
            </w:r>
          </w:p>
        </w:tc>
        <w:tc>
          <w:tcPr>
            <w:tcW w:type="dxa" w:w="19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Profit Margin</w:t>
            </w:r>
          </w:p>
        </w:tc>
        <w:tc>
          <w:tcPr>
            <w:tcW w:type="dxa" w:w="19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YoY Growth</w:t>
            </w:r>
          </w:p>
        </w:tc>
      </w:tr>
      <w:tr>
        <w:tc>
          <w:tcPr>
            <w:tcW w:type="dxa" w:w="1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left"/>
            </w:pPr>
            <w:r>
              <w:rPr>
                <w:rFonts w:ascii="Arial" w:cs="Arial" w:eastAsia="Arial" w:hAnsi="Arial"/>
                <w:color w:val="1A1A2E"/>
                <w:sz w:val="20"/>
                <w:szCs w:val="20"/>
              </w:rPr>
              <w:t xml:space="preserve">2014</w:t>
            </w:r>
          </w:p>
        </w:tc>
        <w:tc>
          <w:tcPr>
            <w:tcW w:type="dxa" w:w="19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$484,247</w:t>
            </w:r>
          </w:p>
        </w:tc>
        <w:tc>
          <w:tcPr>
            <w:tcW w:type="dxa" w:w="19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$49,544</w:t>
            </w:r>
          </w:p>
        </w:tc>
        <w:tc>
          <w:tcPr>
            <w:tcW w:type="dxa" w:w="196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10.23%</w:t>
            </w:r>
          </w:p>
        </w:tc>
        <w:tc>
          <w:tcPr>
            <w:tcW w:type="dxa" w:w="196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2015</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$470,533</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$61,619</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13.10%</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-2.84%</w:t>
            </w:r>
          </w:p>
        </w:tc>
      </w:tr>
      <w:tr>
        <w:tc>
          <w:tcPr>
            <w:tcW w:type="dxa" w:w="1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left"/>
            </w:pPr>
            <w:r>
              <w:rPr>
                <w:rFonts w:ascii="Arial" w:cs="Arial" w:eastAsia="Arial" w:hAnsi="Arial"/>
                <w:color w:val="1A1A2E"/>
                <w:sz w:val="20"/>
                <w:szCs w:val="20"/>
              </w:rPr>
              <w:t xml:space="preserve">2016</w:t>
            </w:r>
          </w:p>
        </w:tc>
        <w:tc>
          <w:tcPr>
            <w:tcW w:type="dxa" w:w="19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$609,206</w:t>
            </w:r>
          </w:p>
        </w:tc>
        <w:tc>
          <w:tcPr>
            <w:tcW w:type="dxa" w:w="19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$81,795</w:t>
            </w:r>
          </w:p>
        </w:tc>
        <w:tc>
          <w:tcPr>
            <w:tcW w:type="dxa" w:w="196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13.43%</w:t>
            </w:r>
          </w:p>
        </w:tc>
        <w:tc>
          <w:tcPr>
            <w:tcW w:type="dxa" w:w="196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+29.47%</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2017</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$733,215</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$93,439</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12.74%</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+20.36%</w:t>
            </w:r>
          </w:p>
        </w:tc>
      </w:tr>
    </w:tbl>
    <w:p>
      <w:pPr>
        <w:spacing w:after="0" w:before="140"/>
      </w:pPr>
    </w:p>
    <w:p>
      <w:pPr>
        <w:spacing w:after="100" w:before="80"/>
      </w:pPr>
      <w:r>
        <w:rPr>
          <w:rFonts w:ascii="Arial" w:cs="Arial" w:eastAsia="Arial" w:hAnsi="Arial"/>
          <w:color w:val="1A1A2E"/>
          <w:sz w:val="22"/>
          <w:szCs w:val="22"/>
        </w:rPr>
        <w:t xml:space="preserve">2015 saw a slight revenue dip (-2.84%) but an improvement in profit margin, suggesting tighter cost control. From 2016 onward, both revenue and profit accelerated significantly, pointing to effective market expansion.</w:t>
      </w:r>
    </w:p>
    <w:p>
      <w:r>
        <w:br w:type="page"/>
      </w:r>
    </w:p>
    <w:p>
      <w:pPr>
        <w:pStyle w:val="Heading1"/>
        <w:pBdr>
          <w:bottom w:val="single" w:color="2E4057" w:sz="8" w:space="6"/>
        </w:pBdr>
        <w:spacing w:after="160" w:before="360"/>
      </w:pPr>
      <w:r>
        <w:rPr>
          <w:rFonts w:ascii="Arial" w:cs="Arial" w:eastAsia="Arial" w:hAnsi="Arial"/>
          <w:b/>
          <w:bCs/>
          <w:color w:val="2E4057"/>
          <w:sz w:val="32"/>
          <w:szCs w:val="32"/>
        </w:rPr>
        <w:t xml:space="preserve">4. Category Performance Analysis</w:t>
      </w:r>
    </w:p>
    <w:p>
      <w:pPr>
        <w:spacing w:after="100" w:before="80"/>
      </w:pPr>
      <w:r>
        <w:rPr>
          <w:rFonts w:ascii="Arial" w:cs="Arial" w:eastAsia="Arial" w:hAnsi="Arial"/>
          <w:color w:val="1A1A2E"/>
          <w:sz w:val="22"/>
          <w:szCs w:val="22"/>
        </w:rPr>
        <w:t xml:space="preserve">Superstore operates across three primary categories: Technology, Furniture, and Office Supplies. Technology leads in both sales and profit, while Furniture generates significant revenue but alarmingly low profit.</w:t>
      </w:r>
    </w:p>
    <w:p>
      <w:pPr>
        <w:spacing w:after="0" w:before="120"/>
      </w:pPr>
    </w:p>
    <w:p>
      <w:pPr>
        <w:spacing w:after="120" w:before="120"/>
        <w:jc w:val="center"/>
      </w:pPr>
      <w:r>
        <w:drawing>
          <wp:inline distT="0" distB="0" distL="0" distR="0">
            <wp:extent cx="5334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9900"/>
                    </a:xfrm>
                    <a:prstGeom prst="rect">
                      <a:avLst/>
                    </a:prstGeom>
                  </pic:spPr>
                </pic:pic>
              </a:graphicData>
            </a:graphic>
          </wp:inline>
        </w:drawing>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Sales</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Profit</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Profit Margin</w:t>
            </w:r>
          </w:p>
        </w:tc>
        <w:tc>
          <w:tcPr>
            <w:tcW w:type="dxa" w:w="17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Share of Sales</w:t>
            </w:r>
          </w:p>
        </w:tc>
      </w:tr>
      <w:tr>
        <w:tc>
          <w:tcPr>
            <w:tcW w:type="dxa" w:w="2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left"/>
            </w:pPr>
            <w:r>
              <w:rPr>
                <w:rFonts w:ascii="Arial" w:cs="Arial" w:eastAsia="Arial" w:hAnsi="Arial"/>
                <w:color w:val="1A1A2E"/>
                <w:sz w:val="20"/>
                <w:szCs w:val="20"/>
              </w:rPr>
              <w:t xml:space="preserve">Technology</w:t>
            </w:r>
          </w:p>
        </w:tc>
        <w:tc>
          <w:tcPr>
            <w:tcW w:type="dxa" w:w="18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$836,154</w:t>
            </w:r>
          </w:p>
        </w:tc>
        <w:tc>
          <w:tcPr>
            <w:tcW w:type="dxa" w:w="18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$145,455</w:t>
            </w:r>
          </w:p>
        </w:tc>
        <w:tc>
          <w:tcPr>
            <w:tcW w:type="dxa" w:w="18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17.40%</w:t>
            </w:r>
          </w:p>
        </w:tc>
        <w:tc>
          <w:tcPr>
            <w:tcW w:type="dxa" w:w="176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36.4%</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Office Supplies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$719,047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$122,491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17.03%</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31.3%</w:t>
            </w:r>
          </w:p>
        </w:tc>
      </w:tr>
      <w:tr>
        <w:tc>
          <w:tcPr>
            <w:tcW w:type="dxa" w:w="2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left"/>
            </w:pPr>
            <w:r>
              <w:rPr>
                <w:rFonts w:ascii="Arial" w:cs="Arial" w:eastAsia="Arial" w:hAnsi="Arial"/>
                <w:color w:val="1A1A2E"/>
                <w:sz w:val="20"/>
                <w:szCs w:val="20"/>
              </w:rPr>
              <w:t xml:space="preserve">Furniture</w:t>
            </w:r>
          </w:p>
        </w:tc>
        <w:tc>
          <w:tcPr>
            <w:tcW w:type="dxa" w:w="18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$741,999</w:t>
            </w:r>
          </w:p>
        </w:tc>
        <w:tc>
          <w:tcPr>
            <w:tcW w:type="dxa" w:w="18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$18,451</w:t>
            </w:r>
          </w:p>
        </w:tc>
        <w:tc>
          <w:tcPr>
            <w:tcW w:type="dxa" w:w="18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2.49%</w:t>
            </w:r>
          </w:p>
        </w:tc>
        <w:tc>
          <w:tcPr>
            <w:tcW w:type="dxa" w:w="176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32.3%</w:t>
            </w:r>
          </w:p>
        </w:tc>
      </w:tr>
    </w:tbl>
    <w:p>
      <w:pPr>
        <w:spacing w:after="0" w:before="140"/>
      </w:pPr>
    </w:p>
    <w:p>
      <w:pPr>
        <w:spacing w:after="100" w:before="80"/>
      </w:pPr>
      <w:r>
        <w:rPr>
          <w:rFonts w:ascii="Arial" w:cs="Arial" w:eastAsia="Arial" w:hAnsi="Arial"/>
          <w:b/>
          <w:bCs/>
          <w:color w:val="C62828"/>
          <w:sz w:val="22"/>
          <w:szCs w:val="22"/>
        </w:rPr>
        <w:t xml:space="preserve">Critical Finding: Furniture contributes 32.3% of total sales but only 6.4% of total profit. The 2.49% profit margin in Furniture is dangerously thin and warrants immediate attention.</w:t>
      </w:r>
    </w:p>
    <w:p>
      <w:pPr>
        <w:spacing w:after="0" w:before="200"/>
      </w:pPr>
    </w:p>
    <w:p>
      <w:pPr>
        <w:pStyle w:val="Heading1"/>
        <w:pBdr>
          <w:bottom w:val="single" w:color="2E4057" w:sz="8" w:space="6"/>
        </w:pBdr>
        <w:spacing w:after="160" w:before="360"/>
      </w:pPr>
      <w:r>
        <w:rPr>
          <w:rFonts w:ascii="Arial" w:cs="Arial" w:eastAsia="Arial" w:hAnsi="Arial"/>
          <w:b/>
          <w:bCs/>
          <w:color w:val="2E4057"/>
          <w:sz w:val="32"/>
          <w:szCs w:val="32"/>
        </w:rPr>
        <w:t xml:space="preserve">5. Regional Performance</w:t>
      </w:r>
    </w:p>
    <w:p>
      <w:pPr>
        <w:spacing w:after="100" w:before="80"/>
      </w:pPr>
      <w:r>
        <w:rPr>
          <w:rFonts w:ascii="Arial" w:cs="Arial" w:eastAsia="Arial" w:hAnsi="Arial"/>
          <w:color w:val="1A1A2E"/>
          <w:sz w:val="22"/>
          <w:szCs w:val="22"/>
        </w:rPr>
        <w:t xml:space="preserve">The West region is the top-performing geography, contributing the highest sales ($725K) and profit ($108K). The Central region, despite ranking second in sales, generates the second-lowest profit — a significant inefficiency.</w:t>
      </w:r>
    </w:p>
    <w:p>
      <w:pPr>
        <w:spacing w:after="0" w:before="120"/>
      </w:pPr>
    </w:p>
    <w:p>
      <w:pPr>
        <w:spacing w:after="120" w:before="120"/>
        <w:jc w:val="center"/>
      </w:pPr>
      <w:r>
        <w:drawing>
          <wp:inline distT="0" distB="0" distL="0" distR="0">
            <wp:extent cx="4667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2667000"/>
                    </a:xfrm>
                    <a:prstGeom prst="rect">
                      <a:avLst/>
                    </a:prstGeom>
                  </pic:spPr>
                </pic:pic>
              </a:graphicData>
            </a:graphic>
          </wp:inline>
        </w:drawing>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960"/>
        <w:gridCol w:w="2200"/>
      </w:tblGrid>
      <w:tr>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Region</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Sales</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Profit</w:t>
            </w:r>
          </w:p>
        </w:tc>
        <w:tc>
          <w:tcPr>
            <w:tcW w:type="dxa" w:w="19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Profit Margin</w:t>
            </w:r>
          </w:p>
        </w:tc>
        <w:tc>
          <w:tcPr>
            <w:tcW w:type="dxa" w:w="2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Profit Rank</w:t>
            </w:r>
          </w:p>
        </w:tc>
      </w:tr>
      <w:tr>
        <w:tc>
          <w:tcPr>
            <w:tcW w:type="dxa" w:w="1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left"/>
            </w:pPr>
            <w:r>
              <w:rPr>
                <w:rFonts w:ascii="Arial" w:cs="Arial" w:eastAsia="Arial" w:hAnsi="Arial"/>
                <w:color w:val="1A1A2E"/>
                <w:sz w:val="20"/>
                <w:szCs w:val="20"/>
              </w:rPr>
              <w:t xml:space="preserve">West</w:t>
            </w:r>
          </w:p>
        </w:tc>
        <w:tc>
          <w:tcPr>
            <w:tcW w:type="dxa" w:w="18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$725,458</w:t>
            </w:r>
          </w:p>
        </w:tc>
        <w:tc>
          <w:tcPr>
            <w:tcW w:type="dxa" w:w="18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$108,418</w:t>
            </w:r>
          </w:p>
        </w:tc>
        <w:tc>
          <w:tcPr>
            <w:tcW w:type="dxa" w:w="196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14.94%</w:t>
            </w:r>
          </w:p>
        </w:tc>
        <w:tc>
          <w:tcPr>
            <w:tcW w:type="dxa" w:w="2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#1</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East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$678,781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$91,523</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13.48%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#2</w:t>
            </w:r>
          </w:p>
        </w:tc>
      </w:tr>
      <w:tr>
        <w:tc>
          <w:tcPr>
            <w:tcW w:type="dxa" w:w="1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left"/>
            </w:pPr>
            <w:r>
              <w:rPr>
                <w:rFonts w:ascii="Arial" w:cs="Arial" w:eastAsia="Arial" w:hAnsi="Arial"/>
                <w:color w:val="1A1A2E"/>
                <w:sz w:val="20"/>
                <w:szCs w:val="20"/>
              </w:rPr>
              <w:t xml:space="preserve">South</w:t>
            </w:r>
          </w:p>
        </w:tc>
        <w:tc>
          <w:tcPr>
            <w:tcW w:type="dxa" w:w="18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$391,722</w:t>
            </w:r>
          </w:p>
        </w:tc>
        <w:tc>
          <w:tcPr>
            <w:tcW w:type="dxa" w:w="18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$46,749</w:t>
            </w:r>
          </w:p>
        </w:tc>
        <w:tc>
          <w:tcPr>
            <w:tcW w:type="dxa" w:w="196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11.94%</w:t>
            </w:r>
          </w:p>
        </w:tc>
        <w:tc>
          <w:tcPr>
            <w:tcW w:type="dxa" w:w="2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#3</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Central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$501,240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$39,706</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7.92%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#4</w:t>
            </w:r>
          </w:p>
        </w:tc>
      </w:tr>
    </w:tbl>
    <w:p>
      <w:pPr>
        <w:spacing w:after="0" w:before="140"/>
      </w:pPr>
    </w:p>
    <w:p>
      <w:pPr>
        <w:spacing w:after="100" w:before="80"/>
      </w:pPr>
      <w:r>
        <w:rPr>
          <w:rFonts w:ascii="Arial" w:cs="Arial" w:eastAsia="Arial" w:hAnsi="Arial"/>
          <w:color w:val="1A1A2E"/>
          <w:sz w:val="22"/>
          <w:szCs w:val="22"/>
        </w:rPr>
        <w:t xml:space="preserve">The Central region's margin of only 7.92% — compared to 14.94% in the West — suggests excessive discounting or an unfavourable product/customer mix in that geography.</w:t>
      </w:r>
    </w:p>
    <w:p>
      <w:r>
        <w:br w:type="page"/>
      </w:r>
    </w:p>
    <w:p>
      <w:pPr>
        <w:pStyle w:val="Heading1"/>
        <w:pBdr>
          <w:bottom w:val="single" w:color="2E4057" w:sz="8" w:space="6"/>
        </w:pBdr>
        <w:spacing w:after="160" w:before="360"/>
      </w:pPr>
      <w:r>
        <w:rPr>
          <w:rFonts w:ascii="Arial" w:cs="Arial" w:eastAsia="Arial" w:hAnsi="Arial"/>
          <w:b/>
          <w:bCs/>
          <w:color w:val="2E4057"/>
          <w:sz w:val="32"/>
          <w:szCs w:val="32"/>
        </w:rPr>
        <w:t xml:space="preserve">6. Customer Segment Analysis</w:t>
      </w:r>
    </w:p>
    <w:p>
      <w:pPr>
        <w:spacing w:after="100" w:before="80"/>
      </w:pPr>
      <w:r>
        <w:rPr>
          <w:rFonts w:ascii="Arial" w:cs="Arial" w:eastAsia="Arial" w:hAnsi="Arial"/>
          <w:color w:val="1A1A2E"/>
          <w:sz w:val="22"/>
          <w:szCs w:val="22"/>
        </w:rPr>
        <w:t xml:space="preserve">Consumer customers account for the largest share of revenue (50.6%) and profit (46.8%). The Corporate and Home Office segments, while smaller, demonstrate competitive profit margins.</w:t>
      </w:r>
    </w:p>
    <w:p>
      <w:pPr>
        <w:spacing w:after="0" w:before="120"/>
      </w:pPr>
    </w:p>
    <w:p>
      <w:pPr>
        <w:spacing w:after="120" w:before="12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000375"/>
                    </a:xfrm>
                    <a:prstGeom prst="rect">
                      <a:avLst/>
                    </a:prstGeom>
                  </pic:spPr>
                </pic:pic>
              </a:graphicData>
            </a:graphic>
          </wp:inline>
        </w:drawing>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800"/>
        <w:gridCol w:w="1800"/>
        <w:gridCol w:w="1860"/>
      </w:tblGrid>
      <w:tr>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Segment</w:t>
            </w:r>
          </w:p>
        </w:tc>
        <w:tc>
          <w:tcPr>
            <w:tcW w:type="dxa" w:w="1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Sales</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Profit</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Profit Margin</w:t>
            </w:r>
          </w:p>
        </w:tc>
        <w:tc>
          <w:tcPr>
            <w:tcW w:type="dxa" w:w="18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Share of Revenue</w:t>
            </w:r>
          </w:p>
        </w:tc>
      </w:tr>
      <w:tr>
        <w:tc>
          <w:tcPr>
            <w:tcW w:type="dxa" w:w="20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left"/>
            </w:pPr>
            <w:r>
              <w:rPr>
                <w:rFonts w:ascii="Arial" w:cs="Arial" w:eastAsia="Arial" w:hAnsi="Arial"/>
                <w:color w:val="1A1A2E"/>
                <w:sz w:val="20"/>
                <w:szCs w:val="20"/>
              </w:rPr>
              <w:t xml:space="preserve">Consumer</w:t>
            </w:r>
          </w:p>
        </w:tc>
        <w:tc>
          <w:tcPr>
            <w:tcW w:type="dxa" w:w="19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$1,161,401</w:t>
            </w:r>
          </w:p>
        </w:tc>
        <w:tc>
          <w:tcPr>
            <w:tcW w:type="dxa" w:w="18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$134,119</w:t>
            </w:r>
          </w:p>
        </w:tc>
        <w:tc>
          <w:tcPr>
            <w:tcW w:type="dxa" w:w="18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11.55%</w:t>
            </w:r>
          </w:p>
        </w:tc>
        <w:tc>
          <w:tcPr>
            <w:tcW w:type="dxa" w:w="186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50.6%</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Corporate</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$706,146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$91,979</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13.03%</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30.7%</w:t>
            </w:r>
          </w:p>
        </w:tc>
      </w:tr>
      <w:tr>
        <w:tc>
          <w:tcPr>
            <w:tcW w:type="dxa" w:w="20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left"/>
            </w:pPr>
            <w:r>
              <w:rPr>
                <w:rFonts w:ascii="Arial" w:cs="Arial" w:eastAsia="Arial" w:hAnsi="Arial"/>
                <w:color w:val="1A1A2E"/>
                <w:sz w:val="20"/>
                <w:szCs w:val="20"/>
              </w:rPr>
              <w:t xml:space="preserve">Home Office</w:t>
            </w:r>
          </w:p>
        </w:tc>
        <w:tc>
          <w:tcPr>
            <w:tcW w:type="dxa" w:w="19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$429,653</w:t>
            </w:r>
          </w:p>
        </w:tc>
        <w:tc>
          <w:tcPr>
            <w:tcW w:type="dxa" w:w="18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$60,299</w:t>
            </w:r>
          </w:p>
        </w:tc>
        <w:tc>
          <w:tcPr>
            <w:tcW w:type="dxa" w:w="18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14.04%</w:t>
            </w:r>
          </w:p>
        </w:tc>
        <w:tc>
          <w:tcPr>
            <w:tcW w:type="dxa" w:w="186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18.7%</w:t>
            </w:r>
          </w:p>
        </w:tc>
      </w:tr>
    </w:tbl>
    <w:p>
      <w:pPr>
        <w:spacing w:after="0" w:before="140"/>
      </w:pPr>
    </w:p>
    <w:p>
      <w:pPr>
        <w:spacing w:after="100" w:before="80"/>
      </w:pPr>
      <w:r>
        <w:rPr>
          <w:rFonts w:ascii="Arial" w:cs="Arial" w:eastAsia="Arial" w:hAnsi="Arial"/>
          <w:color w:val="1A1A2E"/>
          <w:sz w:val="22"/>
          <w:szCs w:val="22"/>
        </w:rPr>
        <w:t xml:space="preserve">Notably, Home Office commands the highest profit margin (14.04%), though it represents the smallest segment by revenue. Investing to grow this segment could disproportionately improve overall profitability.</w:t>
      </w:r>
    </w:p>
    <w:p>
      <w:pPr>
        <w:spacing w:after="0" w:before="200"/>
      </w:pPr>
    </w:p>
    <w:p>
      <w:pPr>
        <w:pStyle w:val="Heading1"/>
        <w:pBdr>
          <w:bottom w:val="single" w:color="2E4057" w:sz="8" w:space="6"/>
        </w:pBdr>
        <w:spacing w:after="160" w:before="360"/>
      </w:pPr>
      <w:r>
        <w:rPr>
          <w:rFonts w:ascii="Arial" w:cs="Arial" w:eastAsia="Arial" w:hAnsi="Arial"/>
          <w:b/>
          <w:bCs/>
          <w:color w:val="2E4057"/>
          <w:sz w:val="32"/>
          <w:szCs w:val="32"/>
        </w:rPr>
        <w:t xml:space="preserve">7. Sub-Category Deep Dive</w:t>
      </w:r>
    </w:p>
    <w:p>
      <w:pPr>
        <w:spacing w:after="100" w:before="80"/>
      </w:pPr>
      <w:r>
        <w:rPr>
          <w:rFonts w:ascii="Arial" w:cs="Arial" w:eastAsia="Arial" w:hAnsi="Arial"/>
          <w:color w:val="1A1A2E"/>
          <w:sz w:val="22"/>
          <w:szCs w:val="22"/>
        </w:rPr>
        <w:t xml:space="preserve">At the sub-category level, a clear divergence emerges between strong profit contributors and loss-making product lines. Tables and Bookcases are generating net losses and require urgent action.</w:t>
      </w:r>
    </w:p>
    <w:p>
      <w:pPr>
        <w:spacing w:after="0" w:before="120"/>
      </w:pPr>
    </w:p>
    <w:p>
      <w:pPr>
        <w:spacing w:after="120" w:before="120"/>
        <w:jc w:val="center"/>
      </w:pPr>
      <w:r>
        <w:drawing>
          <wp:inline distT="0" distB="0" distL="0" distR="0">
            <wp:extent cx="5905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800350"/>
                    </a:xfrm>
                    <a:prstGeom prst="rect">
                      <a:avLst/>
                    </a:prstGeom>
                  </pic:spPr>
                </pic:pic>
              </a:graphicData>
            </a:graphic>
          </wp:inline>
        </w:drawing>
      </w:r>
    </w:p>
    <w:p>
      <w:pPr>
        <w:spacing w:after="0" w:before="100"/>
      </w:pPr>
    </w:p>
    <w:p>
      <w:pPr>
        <w:pStyle w:val="Heading2"/>
        <w:spacing w:after="120" w:before="280"/>
      </w:pPr>
      <w:r>
        <w:rPr>
          <w:rFonts w:ascii="Arial" w:cs="Arial" w:eastAsia="Arial" w:hAnsi="Arial"/>
          <w:b/>
          <w:bCs/>
          <w:color w:val="2E4057"/>
          <w:sz w:val="26"/>
          <w:szCs w:val="26"/>
        </w:rPr>
        <w:t xml:space="preserve">7.1 Top Performers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c>
          <w:tcPr>
            <w:tcW w:type="dxa" w:w="3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Sub-Category</w:t>
            </w:r>
          </w:p>
        </w:tc>
        <w:tc>
          <w:tcPr>
            <w:tcW w:type="dxa" w:w="3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Profit</w:t>
            </w:r>
          </w:p>
        </w:tc>
        <w:tc>
          <w:tcPr>
            <w:tcW w:type="dxa" w:w="27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r>
      <w:tr>
        <w:tc>
          <w:tcPr>
            <w:tcW w:type="dxa" w:w="3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left"/>
            </w:pPr>
            <w:r>
              <w:rPr>
                <w:rFonts w:ascii="Arial" w:cs="Arial" w:eastAsia="Arial" w:hAnsi="Arial"/>
                <w:color w:val="1A1A2E"/>
                <w:sz w:val="20"/>
                <w:szCs w:val="20"/>
              </w:rPr>
              <w:t xml:space="preserve">Copiers</w:t>
            </w:r>
          </w:p>
        </w:tc>
        <w:tc>
          <w:tcPr>
            <w:tcW w:type="dxa" w:w="30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$55,618</w:t>
            </w:r>
          </w:p>
        </w:tc>
        <w:tc>
          <w:tcPr>
            <w:tcW w:type="dxa" w:w="276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Technology</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Phones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$44,516</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Technology</w:t>
            </w:r>
          </w:p>
        </w:tc>
      </w:tr>
      <w:tr>
        <w:tc>
          <w:tcPr>
            <w:tcW w:type="dxa" w:w="3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left"/>
            </w:pPr>
            <w:r>
              <w:rPr>
                <w:rFonts w:ascii="Arial" w:cs="Arial" w:eastAsia="Arial" w:hAnsi="Arial"/>
                <w:color w:val="1A1A2E"/>
                <w:sz w:val="20"/>
                <w:szCs w:val="20"/>
              </w:rPr>
              <w:t xml:space="preserve">Accessories</w:t>
            </w:r>
          </w:p>
        </w:tc>
        <w:tc>
          <w:tcPr>
            <w:tcW w:type="dxa" w:w="30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$41,937</w:t>
            </w:r>
          </w:p>
        </w:tc>
        <w:tc>
          <w:tcPr>
            <w:tcW w:type="dxa" w:w="276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Technology</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Paper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$34,054</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Office Supplies</w:t>
            </w:r>
          </w:p>
        </w:tc>
      </w:tr>
      <w:tr>
        <w:tc>
          <w:tcPr>
            <w:tcW w:type="dxa" w:w="3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left"/>
            </w:pPr>
            <w:r>
              <w:rPr>
                <w:rFonts w:ascii="Arial" w:cs="Arial" w:eastAsia="Arial" w:hAnsi="Arial"/>
                <w:color w:val="1A1A2E"/>
                <w:sz w:val="20"/>
                <w:szCs w:val="20"/>
              </w:rPr>
              <w:t xml:space="preserve">Binders</w:t>
            </w:r>
          </w:p>
        </w:tc>
        <w:tc>
          <w:tcPr>
            <w:tcW w:type="dxa" w:w="30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$30,222</w:t>
            </w:r>
          </w:p>
        </w:tc>
        <w:tc>
          <w:tcPr>
            <w:tcW w:type="dxa" w:w="276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Office Supplies</w:t>
            </w:r>
          </w:p>
        </w:tc>
      </w:tr>
    </w:tbl>
    <w:p>
      <w:pPr>
        <w:spacing w:after="0" w:before="120"/>
      </w:pPr>
    </w:p>
    <w:p>
      <w:pPr>
        <w:pStyle w:val="Heading2"/>
        <w:spacing w:after="120" w:before="280"/>
      </w:pPr>
      <w:r>
        <w:rPr>
          <w:rFonts w:ascii="Arial" w:cs="Arial" w:eastAsia="Arial" w:hAnsi="Arial"/>
          <w:b/>
          <w:bCs/>
          <w:color w:val="2E4057"/>
          <w:sz w:val="26"/>
          <w:szCs w:val="26"/>
        </w:rPr>
        <w:t xml:space="preserve">7.2 Underperformers (Immediate Action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c>
          <w:tcPr>
            <w:tcW w:type="dxa" w:w="3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Sub-Category</w:t>
            </w:r>
          </w:p>
        </w:tc>
        <w:tc>
          <w:tcPr>
            <w:tcW w:type="dxa" w:w="3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Profit/Loss</w:t>
            </w:r>
          </w:p>
        </w:tc>
        <w:tc>
          <w:tcPr>
            <w:tcW w:type="dxa" w:w="27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left"/>
            </w:pPr>
            <w:r>
              <w:rPr>
                <w:rFonts w:ascii="Arial" w:cs="Arial" w:eastAsia="Arial" w:hAnsi="Arial"/>
                <w:color w:val="1A1A2E"/>
                <w:sz w:val="20"/>
                <w:szCs w:val="20"/>
              </w:rPr>
              <w:t xml:space="preserve">Tables</w:t>
            </w:r>
          </w:p>
        </w:tc>
        <w:tc>
          <w:tcPr>
            <w:tcW w:type="dxa" w:w="30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-$17,725</w:t>
            </w:r>
          </w:p>
        </w:tc>
        <w:tc>
          <w:tcPr>
            <w:tcW w:type="dxa" w:w="276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Loss-Making</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Bookcases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-$3,473</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Loss-Making</w:t>
            </w:r>
          </w:p>
        </w:tc>
      </w:tr>
      <w:tr>
        <w:tc>
          <w:tcPr>
            <w:tcW w:type="dxa" w:w="3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left"/>
            </w:pPr>
            <w:r>
              <w:rPr>
                <w:rFonts w:ascii="Arial" w:cs="Arial" w:eastAsia="Arial" w:hAnsi="Arial"/>
                <w:color w:val="1A1A2E"/>
                <w:sz w:val="20"/>
                <w:szCs w:val="20"/>
              </w:rPr>
              <w:t xml:space="preserve">Supplies</w:t>
            </w:r>
          </w:p>
        </w:tc>
        <w:tc>
          <w:tcPr>
            <w:tcW w:type="dxa" w:w="30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-$1,189</w:t>
            </w:r>
          </w:p>
        </w:tc>
        <w:tc>
          <w:tcPr>
            <w:tcW w:type="dxa" w:w="276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Loss-Making</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Fasteners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$950</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Near Break-Even</w:t>
            </w:r>
          </w:p>
        </w:tc>
      </w:tr>
      <w:tr>
        <w:tc>
          <w:tcPr>
            <w:tcW w:type="dxa" w:w="3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left"/>
            </w:pPr>
            <w:r>
              <w:rPr>
                <w:rFonts w:ascii="Arial" w:cs="Arial" w:eastAsia="Arial" w:hAnsi="Arial"/>
                <w:color w:val="1A1A2E"/>
                <w:sz w:val="20"/>
                <w:szCs w:val="20"/>
              </w:rPr>
              <w:t xml:space="preserve">Machines</w:t>
            </w:r>
          </w:p>
        </w:tc>
        <w:tc>
          <w:tcPr>
            <w:tcW w:type="dxa" w:w="30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$3,385</w:t>
            </w:r>
          </w:p>
        </w:tc>
        <w:tc>
          <w:tcPr>
            <w:tcW w:type="dxa" w:w="276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Low Margin</w:t>
            </w:r>
          </w:p>
        </w:tc>
      </w:tr>
    </w:tbl>
    <w:p>
      <w:r>
        <w:br w:type="page"/>
      </w:r>
    </w:p>
    <w:p>
      <w:pPr>
        <w:pStyle w:val="Heading1"/>
        <w:pBdr>
          <w:bottom w:val="single" w:color="2E4057" w:sz="8" w:space="6"/>
        </w:pBdr>
        <w:spacing w:after="160" w:before="360"/>
      </w:pPr>
      <w:r>
        <w:rPr>
          <w:rFonts w:ascii="Arial" w:cs="Arial" w:eastAsia="Arial" w:hAnsi="Arial"/>
          <w:b/>
          <w:bCs/>
          <w:color w:val="2E4057"/>
          <w:sz w:val="32"/>
          <w:szCs w:val="32"/>
        </w:rPr>
        <w:t xml:space="preserve">8. Identified Problem Areas</w:t>
      </w:r>
    </w:p>
    <w:p>
      <w:pPr>
        <w:pStyle w:val="Heading2"/>
        <w:spacing w:after="120" w:before="280"/>
      </w:pPr>
      <w:r>
        <w:rPr>
          <w:rFonts w:ascii="Arial" w:cs="Arial" w:eastAsia="Arial" w:hAnsi="Arial"/>
          <w:b/>
          <w:bCs/>
          <w:color w:val="2E4057"/>
          <w:sz w:val="26"/>
          <w:szCs w:val="26"/>
        </w:rPr>
        <w:t xml:space="preserve">8.1 Discounting Impact</w:t>
      </w:r>
    </w:p>
    <w:p>
      <w:pPr>
        <w:spacing w:after="100" w:before="80"/>
      </w:pPr>
      <w:r>
        <w:rPr>
          <w:rFonts w:ascii="Arial" w:cs="Arial" w:eastAsia="Arial" w:hAnsi="Arial"/>
          <w:color w:val="1A1A2E"/>
          <w:sz w:val="22"/>
          <w:szCs w:val="22"/>
        </w:rPr>
        <w:t xml:space="preserve">Excessive discounting is the primary driver of poor profitability in Furniture. Analysis shows that products with discounts above 20% frequently generate negative margins, particularly in the Tables and Chairs sub-categories.</w:t>
      </w:r>
    </w:p>
    <w:p>
      <w:pPr>
        <w:spacing w:after="0" w:before="100"/>
      </w:pPr>
    </w:p>
    <w:p>
      <w:pPr>
        <w:pStyle w:val="Heading2"/>
        <w:spacing w:after="120" w:before="280"/>
      </w:pPr>
      <w:r>
        <w:rPr>
          <w:rFonts w:ascii="Arial" w:cs="Arial" w:eastAsia="Arial" w:hAnsi="Arial"/>
          <w:b/>
          <w:bCs/>
          <w:color w:val="2E4057"/>
          <w:sz w:val="26"/>
          <w:szCs w:val="26"/>
        </w:rPr>
        <w:t xml:space="preserve">8.2 Furniture Category Underperformance</w:t>
      </w:r>
    </w:p>
    <w:p>
      <w:pPr>
        <w:pStyle w:val="ListParagraph"/>
        <w:numPr>
          <w:ilvl w:val="0"/>
          <w:numId w:val="2"/>
        </w:numPr>
        <w:spacing w:after="60" w:before="60"/>
      </w:pPr>
      <w:r>
        <w:rPr>
          <w:rFonts w:ascii="Arial" w:cs="Arial" w:eastAsia="Arial" w:hAnsi="Arial"/>
          <w:color w:val="1A1A2E"/>
          <w:sz w:val="22"/>
          <w:szCs w:val="22"/>
        </w:rPr>
        <w:t xml:space="preserve">Tables sub-category alone loses $17,725 — the single largest profit drain in the entire business.</w:t>
      </w:r>
    </w:p>
    <w:p>
      <w:pPr>
        <w:pStyle w:val="ListParagraph"/>
        <w:numPr>
          <w:ilvl w:val="0"/>
          <w:numId w:val="2"/>
        </w:numPr>
        <w:spacing w:after="60" w:before="60"/>
      </w:pPr>
      <w:r>
        <w:rPr>
          <w:rFonts w:ascii="Arial" w:cs="Arial" w:eastAsia="Arial" w:hAnsi="Arial"/>
          <w:color w:val="1A1A2E"/>
          <w:sz w:val="22"/>
          <w:szCs w:val="22"/>
        </w:rPr>
        <w:t xml:space="preserve">Bookcases and Supplies together add another $4,662 in losses.</w:t>
      </w:r>
    </w:p>
    <w:p>
      <w:pPr>
        <w:pStyle w:val="ListParagraph"/>
        <w:numPr>
          <w:ilvl w:val="0"/>
          <w:numId w:val="2"/>
        </w:numPr>
        <w:spacing w:after="60" w:before="60"/>
      </w:pPr>
      <w:r>
        <w:rPr>
          <w:rFonts w:ascii="Arial" w:cs="Arial" w:eastAsia="Arial" w:hAnsi="Arial"/>
          <w:color w:val="1A1A2E"/>
          <w:sz w:val="22"/>
          <w:szCs w:val="22"/>
        </w:rPr>
        <w:t xml:space="preserve">The Furniture category's 2.49% profit margin is 7x lower than Technology.</w:t>
      </w:r>
    </w:p>
    <w:p>
      <w:pPr>
        <w:spacing w:after="0" w:before="100"/>
      </w:pPr>
    </w:p>
    <w:p>
      <w:pPr>
        <w:pStyle w:val="Heading2"/>
        <w:spacing w:after="120" w:before="280"/>
      </w:pPr>
      <w:r>
        <w:rPr>
          <w:rFonts w:ascii="Arial" w:cs="Arial" w:eastAsia="Arial" w:hAnsi="Arial"/>
          <w:b/>
          <w:bCs/>
          <w:color w:val="2E4057"/>
          <w:sz w:val="26"/>
          <w:szCs w:val="26"/>
        </w:rPr>
        <w:t xml:space="preserve">8.3 Central Region Inefficiency</w:t>
      </w:r>
    </w:p>
    <w:p>
      <w:pPr>
        <w:pStyle w:val="ListParagraph"/>
        <w:numPr>
          <w:ilvl w:val="0"/>
          <w:numId w:val="2"/>
        </w:numPr>
        <w:spacing w:after="60" w:before="60"/>
      </w:pPr>
      <w:r>
        <w:rPr>
          <w:rFonts w:ascii="Arial" w:cs="Arial" w:eastAsia="Arial" w:hAnsi="Arial"/>
          <w:color w:val="1A1A2E"/>
          <w:sz w:val="22"/>
          <w:szCs w:val="22"/>
        </w:rPr>
        <w:t xml:space="preserve">Central region margin (7.92%) is nearly half that of the West (14.94%).</w:t>
      </w:r>
    </w:p>
    <w:p>
      <w:pPr>
        <w:pStyle w:val="ListParagraph"/>
        <w:numPr>
          <w:ilvl w:val="0"/>
          <w:numId w:val="2"/>
        </w:numPr>
        <w:spacing w:after="60" w:before="60"/>
      </w:pPr>
      <w:r>
        <w:rPr>
          <w:rFonts w:ascii="Arial" w:cs="Arial" w:eastAsia="Arial" w:hAnsi="Arial"/>
          <w:color w:val="1A1A2E"/>
          <w:sz w:val="22"/>
          <w:szCs w:val="22"/>
        </w:rPr>
        <w:t xml:space="preserve">High discount rates and unfavourable product mix are the likely culprits.</w:t>
      </w:r>
    </w:p>
    <w:p>
      <w:pPr>
        <w:pStyle w:val="ListParagraph"/>
        <w:numPr>
          <w:ilvl w:val="0"/>
          <w:numId w:val="2"/>
        </w:numPr>
        <w:spacing w:after="60" w:before="60"/>
      </w:pPr>
      <w:r>
        <w:rPr>
          <w:rFonts w:ascii="Arial" w:cs="Arial" w:eastAsia="Arial" w:hAnsi="Arial"/>
          <w:color w:val="1A1A2E"/>
          <w:sz w:val="22"/>
          <w:szCs w:val="22"/>
        </w:rPr>
        <w:t xml:space="preserve">Central region sales rank 3rd but profit contribution ranks 4th.</w:t>
      </w:r>
    </w:p>
    <w:p>
      <w:pPr>
        <w:spacing w:after="0" w:before="100"/>
      </w:pPr>
    </w:p>
    <w:p>
      <w:pPr>
        <w:pStyle w:val="Heading2"/>
        <w:spacing w:after="120" w:before="280"/>
      </w:pPr>
      <w:r>
        <w:rPr>
          <w:rFonts w:ascii="Arial" w:cs="Arial" w:eastAsia="Arial" w:hAnsi="Arial"/>
          <w:b/>
          <w:bCs/>
          <w:color w:val="2E4057"/>
          <w:sz w:val="26"/>
          <w:szCs w:val="26"/>
        </w:rPr>
        <w:t xml:space="preserve">8.4 Consumer Segment Margin Compression</w:t>
      </w:r>
    </w:p>
    <w:p>
      <w:pPr>
        <w:pStyle w:val="ListParagraph"/>
        <w:numPr>
          <w:ilvl w:val="0"/>
          <w:numId w:val="2"/>
        </w:numPr>
        <w:spacing w:after="60" w:before="60"/>
      </w:pPr>
      <w:r>
        <w:rPr>
          <w:rFonts w:ascii="Arial" w:cs="Arial" w:eastAsia="Arial" w:hAnsi="Arial"/>
          <w:color w:val="1A1A2E"/>
          <w:sz w:val="22"/>
          <w:szCs w:val="22"/>
        </w:rPr>
        <w:t xml:space="preserve">Consumer segment, despite being largest by revenue, has the lowest margin (11.55%).</w:t>
      </w:r>
    </w:p>
    <w:p>
      <w:pPr>
        <w:pStyle w:val="ListParagraph"/>
        <w:numPr>
          <w:ilvl w:val="0"/>
          <w:numId w:val="2"/>
        </w:numPr>
        <w:spacing w:after="60" w:before="60"/>
      </w:pPr>
      <w:r>
        <w:rPr>
          <w:rFonts w:ascii="Arial" w:cs="Arial" w:eastAsia="Arial" w:hAnsi="Arial"/>
          <w:color w:val="1A1A2E"/>
          <w:sz w:val="22"/>
          <w:szCs w:val="22"/>
        </w:rPr>
        <w:t xml:space="preserve">Heavy promotional offers targeted at consumers may be eroding margin gains.</w:t>
      </w:r>
    </w:p>
    <w:p>
      <w:pPr>
        <w:spacing w:after="0" w:before="240"/>
      </w:pPr>
    </w:p>
    <w:p>
      <w:pPr>
        <w:pStyle w:val="Heading1"/>
        <w:pBdr>
          <w:bottom w:val="single" w:color="2E4057" w:sz="8" w:space="6"/>
        </w:pBdr>
        <w:spacing w:after="160" w:before="360"/>
      </w:pPr>
      <w:r>
        <w:rPr>
          <w:rFonts w:ascii="Arial" w:cs="Arial" w:eastAsia="Arial" w:hAnsi="Arial"/>
          <w:b/>
          <w:bCs/>
          <w:color w:val="2E4057"/>
          <w:sz w:val="32"/>
          <w:szCs w:val="32"/>
        </w:rPr>
        <w:t xml:space="preserve">9. Strategic Recommendations</w:t>
      </w:r>
    </w:p>
    <w:p>
      <w:pPr>
        <w:spacing w:after="100" w:before="80"/>
      </w:pPr>
      <w:r>
        <w:rPr>
          <w:rFonts w:ascii="Arial" w:cs="Arial" w:eastAsia="Arial" w:hAnsi="Arial"/>
          <w:color w:val="1A1A2E"/>
          <w:sz w:val="22"/>
          <w:szCs w:val="22"/>
        </w:rPr>
        <w:t xml:space="preserve">Based on the analysis, the following strategic actions are recommended to improve profitability and drive sustainable growth:</w:t>
      </w:r>
    </w:p>
    <w:p>
      <w:pPr>
        <w:spacing w:after="0" w:before="140"/>
      </w:pPr>
    </w:p>
    <w:p>
      <w:pPr>
        <w:pStyle w:val="Heading2"/>
        <w:spacing w:after="120" w:before="280"/>
      </w:pPr>
      <w:r>
        <w:rPr>
          <w:rFonts w:ascii="Arial" w:cs="Arial" w:eastAsia="Arial" w:hAnsi="Arial"/>
          <w:b/>
          <w:bCs/>
          <w:color w:val="2E4057"/>
          <w:sz w:val="26"/>
          <w:szCs w:val="26"/>
        </w:rPr>
        <w:t xml:space="preserve">Recommendation 1: Restructure Discount Policy in Furniture</w:t>
      </w:r>
    </w:p>
    <w:p>
      <w:pPr>
        <w:pStyle w:val="ListParagraph"/>
        <w:numPr>
          <w:ilvl w:val="0"/>
          <w:numId w:val="2"/>
        </w:numPr>
        <w:spacing w:after="60" w:before="60"/>
      </w:pPr>
      <w:r>
        <w:rPr>
          <w:rFonts w:ascii="Arial" w:cs="Arial" w:eastAsia="Arial" w:hAnsi="Arial"/>
          <w:color w:val="1A1A2E"/>
          <w:sz w:val="22"/>
          <w:szCs w:val="22"/>
        </w:rPr>
        <w:t xml:space="preserve">Implement a maximum discount cap of 15% for all Furniture products.</w:t>
      </w:r>
    </w:p>
    <w:p>
      <w:pPr>
        <w:pStyle w:val="ListParagraph"/>
        <w:numPr>
          <w:ilvl w:val="0"/>
          <w:numId w:val="2"/>
        </w:numPr>
        <w:spacing w:after="60" w:before="60"/>
      </w:pPr>
      <w:r>
        <w:rPr>
          <w:rFonts w:ascii="Arial" w:cs="Arial" w:eastAsia="Arial" w:hAnsi="Arial"/>
          <w:color w:val="1A1A2E"/>
          <w:sz w:val="22"/>
          <w:szCs w:val="22"/>
        </w:rPr>
        <w:t xml:space="preserve">Introduce dynamic pricing — offer discounts only when inventory turnover is below threshold.</w:t>
      </w:r>
    </w:p>
    <w:p>
      <w:pPr>
        <w:pStyle w:val="ListParagraph"/>
        <w:numPr>
          <w:ilvl w:val="0"/>
          <w:numId w:val="2"/>
        </w:numPr>
        <w:spacing w:after="60" w:before="60"/>
      </w:pPr>
      <w:r>
        <w:rPr>
          <w:rFonts w:ascii="Arial" w:cs="Arial" w:eastAsia="Arial" w:hAnsi="Arial"/>
          <w:color w:val="1A1A2E"/>
          <w:sz w:val="22"/>
          <w:szCs w:val="22"/>
        </w:rPr>
        <w:t xml:space="preserve">Phase out or re-price the Tables sub-category; consider discontinuing lowest-margin SKUs.</w:t>
      </w:r>
    </w:p>
    <w:p>
      <w:pPr>
        <w:pStyle w:val="ListParagraph"/>
        <w:numPr>
          <w:ilvl w:val="0"/>
          <w:numId w:val="2"/>
        </w:numPr>
        <w:spacing w:after="60" w:before="60"/>
      </w:pPr>
      <w:r>
        <w:rPr>
          <w:rFonts w:ascii="Arial" w:cs="Arial" w:eastAsia="Arial" w:hAnsi="Arial"/>
          <w:color w:val="1A1A2E"/>
          <w:sz w:val="22"/>
          <w:szCs w:val="22"/>
        </w:rPr>
        <w:t xml:space="preserve">Expected Outcome: Improve Furniture margin from 2.49% to 8%+, adding ~$41K annual profit.</w:t>
      </w:r>
    </w:p>
    <w:p>
      <w:pPr>
        <w:spacing w:after="0" w:before="120"/>
      </w:pPr>
    </w:p>
    <w:p>
      <w:pPr>
        <w:pStyle w:val="Heading2"/>
        <w:spacing w:after="120" w:before="280"/>
      </w:pPr>
      <w:r>
        <w:rPr>
          <w:rFonts w:ascii="Arial" w:cs="Arial" w:eastAsia="Arial" w:hAnsi="Arial"/>
          <w:b/>
          <w:bCs/>
          <w:color w:val="2E4057"/>
          <w:sz w:val="26"/>
          <w:szCs w:val="26"/>
        </w:rPr>
        <w:t xml:space="preserve">Recommendation 2: Invest in Technology Category Growth</w:t>
      </w:r>
    </w:p>
    <w:p>
      <w:pPr>
        <w:pStyle w:val="ListParagraph"/>
        <w:numPr>
          <w:ilvl w:val="0"/>
          <w:numId w:val="2"/>
        </w:numPr>
        <w:spacing w:after="60" w:before="60"/>
      </w:pPr>
      <w:r>
        <w:rPr>
          <w:rFonts w:ascii="Arial" w:cs="Arial" w:eastAsia="Arial" w:hAnsi="Arial"/>
          <w:color w:val="1A1A2E"/>
          <w:sz w:val="22"/>
          <w:szCs w:val="22"/>
        </w:rPr>
        <w:t xml:space="preserve">Technology delivers a 17.4% margin — the best in the portfolio. Expand the product range.</w:t>
      </w:r>
    </w:p>
    <w:p>
      <w:pPr>
        <w:pStyle w:val="ListParagraph"/>
        <w:numPr>
          <w:ilvl w:val="0"/>
          <w:numId w:val="2"/>
        </w:numPr>
        <w:spacing w:after="60" w:before="60"/>
      </w:pPr>
      <w:r>
        <w:rPr>
          <w:rFonts w:ascii="Arial" w:cs="Arial" w:eastAsia="Arial" w:hAnsi="Arial"/>
          <w:color w:val="1A1A2E"/>
          <w:sz w:val="22"/>
          <w:szCs w:val="22"/>
        </w:rPr>
        <w:t xml:space="preserve">Increase marketing budget allocated to Copiers, Phones, and Accessories.</w:t>
      </w:r>
    </w:p>
    <w:p>
      <w:pPr>
        <w:pStyle w:val="ListParagraph"/>
        <w:numPr>
          <w:ilvl w:val="0"/>
          <w:numId w:val="2"/>
        </w:numPr>
        <w:spacing w:after="60" w:before="60"/>
      </w:pPr>
      <w:r>
        <w:rPr>
          <w:rFonts w:ascii="Arial" w:cs="Arial" w:eastAsia="Arial" w:hAnsi="Arial"/>
          <w:color w:val="1A1A2E"/>
          <w:sz w:val="22"/>
          <w:szCs w:val="22"/>
        </w:rPr>
        <w:t xml:space="preserve">Create technology bundles to increase average order value.</w:t>
      </w:r>
    </w:p>
    <w:p>
      <w:pPr>
        <w:pStyle w:val="ListParagraph"/>
        <w:numPr>
          <w:ilvl w:val="0"/>
          <w:numId w:val="2"/>
        </w:numPr>
        <w:spacing w:after="60" w:before="60"/>
      </w:pPr>
      <w:r>
        <w:rPr>
          <w:rFonts w:ascii="Arial" w:cs="Arial" w:eastAsia="Arial" w:hAnsi="Arial"/>
          <w:color w:val="1A1A2E"/>
          <w:sz w:val="22"/>
          <w:szCs w:val="22"/>
        </w:rPr>
        <w:t xml:space="preserve">Expected Outcome: 10% increase in Technology revenue could yield ~$14.5K additional profit.</w:t>
      </w:r>
    </w:p>
    <w:p>
      <w:pPr>
        <w:spacing w:after="0" w:before="120"/>
      </w:pPr>
    </w:p>
    <w:p>
      <w:pPr>
        <w:pStyle w:val="Heading2"/>
        <w:spacing w:after="120" w:before="280"/>
      </w:pPr>
      <w:r>
        <w:rPr>
          <w:rFonts w:ascii="Arial" w:cs="Arial" w:eastAsia="Arial" w:hAnsi="Arial"/>
          <w:b/>
          <w:bCs/>
          <w:color w:val="2E4057"/>
          <w:sz w:val="26"/>
          <w:szCs w:val="26"/>
        </w:rPr>
        <w:t xml:space="preserve">Recommendation 3: Optimise the Central Region</w:t>
      </w:r>
    </w:p>
    <w:p>
      <w:pPr>
        <w:pStyle w:val="ListParagraph"/>
        <w:numPr>
          <w:ilvl w:val="0"/>
          <w:numId w:val="2"/>
        </w:numPr>
        <w:spacing w:after="60" w:before="60"/>
      </w:pPr>
      <w:r>
        <w:rPr>
          <w:rFonts w:ascii="Arial" w:cs="Arial" w:eastAsia="Arial" w:hAnsi="Arial"/>
          <w:color w:val="1A1A2E"/>
          <w:sz w:val="22"/>
          <w:szCs w:val="22"/>
        </w:rPr>
        <w:t xml:space="preserve">Conduct a full discount audit for Central region sales reps — enforce stricter approval thresholds.</w:t>
      </w:r>
    </w:p>
    <w:p>
      <w:pPr>
        <w:pStyle w:val="ListParagraph"/>
        <w:numPr>
          <w:ilvl w:val="0"/>
          <w:numId w:val="2"/>
        </w:numPr>
        <w:spacing w:after="60" w:before="60"/>
      </w:pPr>
      <w:r>
        <w:rPr>
          <w:rFonts w:ascii="Arial" w:cs="Arial" w:eastAsia="Arial" w:hAnsi="Arial"/>
          <w:color w:val="1A1A2E"/>
          <w:sz w:val="22"/>
          <w:szCs w:val="22"/>
        </w:rPr>
        <w:t xml:space="preserve">Rebalance product mix towards high-margin categories (Technology, Office Supplies).</w:t>
      </w:r>
    </w:p>
    <w:p>
      <w:pPr>
        <w:pStyle w:val="ListParagraph"/>
        <w:numPr>
          <w:ilvl w:val="0"/>
          <w:numId w:val="2"/>
        </w:numPr>
        <w:spacing w:after="60" w:before="60"/>
      </w:pPr>
      <w:r>
        <w:rPr>
          <w:rFonts w:ascii="Arial" w:cs="Arial" w:eastAsia="Arial" w:hAnsi="Arial"/>
          <w:color w:val="1A1A2E"/>
          <w:sz w:val="22"/>
          <w:szCs w:val="22"/>
        </w:rPr>
        <w:t xml:space="preserve">Introduce region-specific promotions only for high-margin product lines.</w:t>
      </w:r>
    </w:p>
    <w:p>
      <w:pPr>
        <w:pStyle w:val="ListParagraph"/>
        <w:numPr>
          <w:ilvl w:val="0"/>
          <w:numId w:val="2"/>
        </w:numPr>
        <w:spacing w:after="60" w:before="60"/>
      </w:pPr>
      <w:r>
        <w:rPr>
          <w:rFonts w:ascii="Arial" w:cs="Arial" w:eastAsia="Arial" w:hAnsi="Arial"/>
          <w:color w:val="1A1A2E"/>
          <w:sz w:val="22"/>
          <w:szCs w:val="22"/>
        </w:rPr>
        <w:t xml:space="preserve">Expected Outcome: Raise Central region margin from 7.92% to 11%+.</w:t>
      </w:r>
    </w:p>
    <w:p>
      <w:pPr>
        <w:spacing w:after="0" w:before="120"/>
      </w:pPr>
    </w:p>
    <w:p>
      <w:pPr>
        <w:pStyle w:val="Heading2"/>
        <w:spacing w:after="120" w:before="280"/>
      </w:pPr>
      <w:r>
        <w:rPr>
          <w:rFonts w:ascii="Arial" w:cs="Arial" w:eastAsia="Arial" w:hAnsi="Arial"/>
          <w:b/>
          <w:bCs/>
          <w:color w:val="2E4057"/>
          <w:sz w:val="26"/>
          <w:szCs w:val="26"/>
        </w:rPr>
        <w:t xml:space="preserve">Recommendation 4: Grow the Home Office Segment</w:t>
      </w:r>
    </w:p>
    <w:p>
      <w:pPr>
        <w:pStyle w:val="ListParagraph"/>
        <w:numPr>
          <w:ilvl w:val="0"/>
          <w:numId w:val="2"/>
        </w:numPr>
        <w:spacing w:after="60" w:before="60"/>
      </w:pPr>
      <w:r>
        <w:rPr>
          <w:rFonts w:ascii="Arial" w:cs="Arial" w:eastAsia="Arial" w:hAnsi="Arial"/>
          <w:color w:val="1A1A2E"/>
          <w:sz w:val="22"/>
          <w:szCs w:val="22"/>
        </w:rPr>
        <w:t xml:space="preserve">Home Office shows the highest margin (14.04%) — a clear priority for growth investment.</w:t>
      </w:r>
    </w:p>
    <w:p>
      <w:pPr>
        <w:pStyle w:val="ListParagraph"/>
        <w:numPr>
          <w:ilvl w:val="0"/>
          <w:numId w:val="2"/>
        </w:numPr>
        <w:spacing w:after="60" w:before="60"/>
      </w:pPr>
      <w:r>
        <w:rPr>
          <w:rFonts w:ascii="Arial" w:cs="Arial" w:eastAsia="Arial" w:hAnsi="Arial"/>
          <w:color w:val="1A1A2E"/>
          <w:sz w:val="22"/>
          <w:szCs w:val="22"/>
        </w:rPr>
        <w:t xml:space="preserve">Launch a dedicated Home Office loyalty program or subscription bundle.</w:t>
      </w:r>
    </w:p>
    <w:p>
      <w:pPr>
        <w:pStyle w:val="ListParagraph"/>
        <w:numPr>
          <w:ilvl w:val="0"/>
          <w:numId w:val="2"/>
        </w:numPr>
        <w:spacing w:after="60" w:before="60"/>
      </w:pPr>
      <w:r>
        <w:rPr>
          <w:rFonts w:ascii="Arial" w:cs="Arial" w:eastAsia="Arial" w:hAnsi="Arial"/>
          <w:color w:val="1A1A2E"/>
          <w:sz w:val="22"/>
          <w:szCs w:val="22"/>
        </w:rPr>
        <w:t xml:space="preserve">Target small business owners and remote workers through digital marketing.</w:t>
      </w:r>
    </w:p>
    <w:p>
      <w:pPr>
        <w:pStyle w:val="ListParagraph"/>
        <w:numPr>
          <w:ilvl w:val="0"/>
          <w:numId w:val="2"/>
        </w:numPr>
        <w:spacing w:after="60" w:before="60"/>
      </w:pPr>
      <w:r>
        <w:rPr>
          <w:rFonts w:ascii="Arial" w:cs="Arial" w:eastAsia="Arial" w:hAnsi="Arial"/>
          <w:color w:val="1A1A2E"/>
          <w:sz w:val="22"/>
          <w:szCs w:val="22"/>
        </w:rPr>
        <w:t xml:space="preserve">Expected Outcome: 20% growth in Home Office revenue adds ~$12K profit.</w:t>
      </w:r>
    </w:p>
    <w:p>
      <w:pPr>
        <w:spacing w:after="0" w:before="120"/>
      </w:pPr>
    </w:p>
    <w:p>
      <w:pPr>
        <w:pStyle w:val="Heading2"/>
        <w:spacing w:after="120" w:before="280"/>
      </w:pPr>
      <w:r>
        <w:rPr>
          <w:rFonts w:ascii="Arial" w:cs="Arial" w:eastAsia="Arial" w:hAnsi="Arial"/>
          <w:b/>
          <w:bCs/>
          <w:color w:val="2E4057"/>
          <w:sz w:val="26"/>
          <w:szCs w:val="26"/>
        </w:rPr>
        <w:t xml:space="preserve">Recommendation 5: Eliminate or Turnaround Loss-Making SKUs</w:t>
      </w:r>
    </w:p>
    <w:p>
      <w:pPr>
        <w:pStyle w:val="ListParagraph"/>
        <w:numPr>
          <w:ilvl w:val="0"/>
          <w:numId w:val="2"/>
        </w:numPr>
        <w:spacing w:after="60" w:before="60"/>
      </w:pPr>
      <w:r>
        <w:rPr>
          <w:rFonts w:ascii="Arial" w:cs="Arial" w:eastAsia="Arial" w:hAnsi="Arial"/>
          <w:color w:val="1A1A2E"/>
          <w:sz w:val="22"/>
          <w:szCs w:val="22"/>
        </w:rPr>
        <w:t xml:space="preserve">Conduct an SKU-level profitability review of Tables, Bookcases, and Supplies.</w:t>
      </w:r>
    </w:p>
    <w:p>
      <w:pPr>
        <w:pStyle w:val="ListParagraph"/>
        <w:numPr>
          <w:ilvl w:val="0"/>
          <w:numId w:val="2"/>
        </w:numPr>
        <w:spacing w:after="60" w:before="60"/>
      </w:pPr>
      <w:r>
        <w:rPr>
          <w:rFonts w:ascii="Arial" w:cs="Arial" w:eastAsia="Arial" w:hAnsi="Arial"/>
          <w:color w:val="1A1A2E"/>
          <w:sz w:val="22"/>
          <w:szCs w:val="22"/>
        </w:rPr>
        <w:t xml:space="preserve">Consider discontinuing products with negative margin for 3+ consecutive quarters.</w:t>
      </w:r>
    </w:p>
    <w:p>
      <w:pPr>
        <w:pStyle w:val="ListParagraph"/>
        <w:numPr>
          <w:ilvl w:val="0"/>
          <w:numId w:val="2"/>
        </w:numPr>
        <w:spacing w:after="60" w:before="60"/>
      </w:pPr>
      <w:r>
        <w:rPr>
          <w:rFonts w:ascii="Arial" w:cs="Arial" w:eastAsia="Arial" w:hAnsi="Arial"/>
          <w:color w:val="1A1A2E"/>
          <w:sz w:val="22"/>
          <w:szCs w:val="22"/>
        </w:rPr>
        <w:t xml:space="preserve">Negotiate better supplier terms for near-break-even products (Fasteners, Machines).</w:t>
      </w:r>
    </w:p>
    <w:p>
      <w:pPr>
        <w:pStyle w:val="ListParagraph"/>
        <w:numPr>
          <w:ilvl w:val="0"/>
          <w:numId w:val="2"/>
        </w:numPr>
        <w:spacing w:after="60" w:before="60"/>
      </w:pPr>
      <w:r>
        <w:rPr>
          <w:rFonts w:ascii="Arial" w:cs="Arial" w:eastAsia="Arial" w:hAnsi="Arial"/>
          <w:color w:val="1A1A2E"/>
          <w:sz w:val="22"/>
          <w:szCs w:val="22"/>
        </w:rPr>
        <w:t xml:space="preserve">Expected Outcome: Eliminating loss-making SKUs could recover $22K+ annually.</w:t>
      </w:r>
    </w:p>
    <w:p>
      <w:r>
        <w:br w:type="page"/>
      </w:r>
    </w:p>
    <w:p>
      <w:pPr>
        <w:pStyle w:val="Heading1"/>
        <w:pBdr>
          <w:bottom w:val="single" w:color="2E4057" w:sz="8" w:space="6"/>
        </w:pBdr>
        <w:spacing w:after="160" w:before="360"/>
      </w:pPr>
      <w:r>
        <w:rPr>
          <w:rFonts w:ascii="Arial" w:cs="Arial" w:eastAsia="Arial" w:hAnsi="Arial"/>
          <w:b/>
          <w:bCs/>
          <w:color w:val="2E4057"/>
          <w:sz w:val="32"/>
          <w:szCs w:val="32"/>
        </w:rPr>
        <w:t xml:space="preserve">10. Summary &amp; Outlook</w:t>
      </w:r>
    </w:p>
    <w:p>
      <w:pPr>
        <w:spacing w:after="100" w:before="80"/>
      </w:pPr>
      <w:r>
        <w:rPr>
          <w:rFonts w:ascii="Arial" w:cs="Arial" w:eastAsia="Arial" w:hAnsi="Arial"/>
          <w:color w:val="1A1A2E"/>
          <w:sz w:val="22"/>
          <w:szCs w:val="22"/>
        </w:rPr>
        <w:t xml:space="preserve">Superstore demonstrates strong revenue momentum with a 51.4% growth from 2014 to 2017. However, the overall 12.47% profit margin leaves significant room for improvement. With targeted interventions in pricing, product mix, and regional strategy, a 3–5 percentage point margin improvement is achievable within 12 months.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000"/>
        <w:gridCol w:w="2460"/>
      </w:tblGrid>
      <w:tr>
        <w:tc>
          <w:tcPr>
            <w:tcW w:type="dxa" w:w="2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Area</w:t>
            </w:r>
          </w:p>
        </w:tc>
        <w:tc>
          <w:tcPr>
            <w:tcW w:type="dxa" w:w="23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Status</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24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2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left"/>
            </w:pPr>
            <w:r>
              <w:rPr>
                <w:rFonts w:ascii="Arial" w:cs="Arial" w:eastAsia="Arial" w:hAnsi="Arial"/>
                <w:color w:val="1A1A2E"/>
                <w:sz w:val="20"/>
                <w:szCs w:val="20"/>
              </w:rPr>
              <w:t xml:space="preserve">Overall Profit Margin</w:t>
            </w:r>
          </w:p>
        </w:tc>
        <w:tc>
          <w:tcPr>
            <w:tcW w:type="dxa" w:w="23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12.47%</w:t>
            </w:r>
          </w:p>
        </w:tc>
        <w:tc>
          <w:tcPr>
            <w:tcW w:type="dxa" w:w="20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15–17%</w:t>
            </w:r>
          </w:p>
        </w:tc>
        <w:tc>
          <w:tcPr>
            <w:tcW w:type="dxa" w:w="246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Furniture Margin</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2.49%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8%+</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Critical</w:t>
            </w:r>
          </w:p>
        </w:tc>
      </w:tr>
      <w:tr>
        <w:tc>
          <w:tcPr>
            <w:tcW w:type="dxa" w:w="2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left"/>
            </w:pPr>
            <w:r>
              <w:rPr>
                <w:rFonts w:ascii="Arial" w:cs="Arial" w:eastAsia="Arial" w:hAnsi="Arial"/>
                <w:color w:val="1A1A2E"/>
                <w:sz w:val="20"/>
                <w:szCs w:val="20"/>
              </w:rPr>
              <w:t xml:space="preserve">Central Region Margin</w:t>
            </w:r>
          </w:p>
        </w:tc>
        <w:tc>
          <w:tcPr>
            <w:tcW w:type="dxa" w:w="23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7.92%</w:t>
            </w:r>
          </w:p>
        </w:tc>
        <w:tc>
          <w:tcPr>
            <w:tcW w:type="dxa" w:w="20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11%+</w:t>
            </w:r>
          </w:p>
        </w:tc>
        <w:tc>
          <w:tcPr>
            <w:tcW w:type="dxa" w:w="246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High</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Tables Sub-Category</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-$17,725 loss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Break-even</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Critical</w:t>
            </w:r>
          </w:p>
        </w:tc>
      </w:tr>
      <w:tr>
        <w:tc>
          <w:tcPr>
            <w:tcW w:type="dxa" w:w="2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left"/>
            </w:pPr>
            <w:r>
              <w:rPr>
                <w:rFonts w:ascii="Arial" w:cs="Arial" w:eastAsia="Arial" w:hAnsi="Arial"/>
                <w:color w:val="1A1A2E"/>
                <w:sz w:val="20"/>
                <w:szCs w:val="20"/>
              </w:rPr>
              <w:t xml:space="preserve">Home Office Segment</w:t>
            </w:r>
          </w:p>
        </w:tc>
        <w:tc>
          <w:tcPr>
            <w:tcW w:type="dxa" w:w="23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14.04%</w:t>
            </w:r>
          </w:p>
        </w:tc>
        <w:tc>
          <w:tcPr>
            <w:tcW w:type="dxa" w:w="20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16%+</w:t>
            </w:r>
          </w:p>
        </w:tc>
        <w:tc>
          <w:tcPr>
            <w:tcW w:type="dxa" w:w="246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pPr>
              <w:jc w:val="center"/>
            </w:pPr>
            <w:r>
              <w:rPr>
                <w:rFonts w:ascii="Arial" w:cs="Arial" w:eastAsia="Arial" w:hAnsi="Arial"/>
                <w:color w:val="1A1A2E"/>
                <w:sz w:val="20"/>
                <w:szCs w:val="20"/>
              </w:rPr>
              <w:t xml:space="preserve">Medium</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Technology Revenue</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$836,154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$920,000+</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Medium</w:t>
            </w:r>
          </w:p>
        </w:tc>
      </w:tr>
    </w:tbl>
    <w:p>
      <w:pPr>
        <w:spacing w:after="0" w:before="200"/>
      </w:pPr>
    </w:p>
    <w:p>
      <w:pPr>
        <w:spacing w:after="100" w:before="80"/>
      </w:pPr>
      <w:r>
        <w:rPr>
          <w:rFonts w:ascii="Arial" w:cs="Arial" w:eastAsia="Arial" w:hAnsi="Arial"/>
          <w:color w:val="1A1A2E"/>
          <w:sz w:val="22"/>
          <w:szCs w:val="22"/>
        </w:rPr>
        <w:t xml:space="preserve">If the above recommendations are implemented, we project:</w:t>
      </w:r>
    </w:p>
    <w:p>
      <w:pPr>
        <w:pStyle w:val="ListParagraph"/>
        <w:numPr>
          <w:ilvl w:val="0"/>
          <w:numId w:val="2"/>
        </w:numPr>
        <w:spacing w:after="60" w:before="60"/>
      </w:pPr>
      <w:r>
        <w:rPr>
          <w:rFonts w:ascii="Arial" w:cs="Arial" w:eastAsia="Arial" w:hAnsi="Arial"/>
          <w:color w:val="1A1A2E"/>
          <w:sz w:val="22"/>
          <w:szCs w:val="22"/>
        </w:rPr>
        <w:t xml:space="preserve">Profit margin improvement from 12.47% to 15–17%</w:t>
      </w:r>
    </w:p>
    <w:p>
      <w:pPr>
        <w:pStyle w:val="ListParagraph"/>
        <w:numPr>
          <w:ilvl w:val="0"/>
          <w:numId w:val="2"/>
        </w:numPr>
        <w:spacing w:after="60" w:before="60"/>
      </w:pPr>
      <w:r>
        <w:rPr>
          <w:rFonts w:ascii="Arial" w:cs="Arial" w:eastAsia="Arial" w:hAnsi="Arial"/>
          <w:color w:val="1A1A2E"/>
          <w:sz w:val="22"/>
          <w:szCs w:val="22"/>
        </w:rPr>
        <w:t xml:space="preserve">Annual profit increase of $65,000–$90,000</w:t>
      </w:r>
    </w:p>
    <w:p>
      <w:pPr>
        <w:pStyle w:val="ListParagraph"/>
        <w:numPr>
          <w:ilvl w:val="0"/>
          <w:numId w:val="2"/>
        </w:numPr>
        <w:spacing w:after="60" w:before="60"/>
      </w:pPr>
      <w:r>
        <w:rPr>
          <w:rFonts w:ascii="Arial" w:cs="Arial" w:eastAsia="Arial" w:hAnsi="Arial"/>
          <w:color w:val="1A1A2E"/>
          <w:sz w:val="22"/>
          <w:szCs w:val="22"/>
        </w:rPr>
        <w:t xml:space="preserve">Stronger competitive position in Technology and Office Supplies</w:t>
      </w:r>
    </w:p>
    <w:p>
      <w:pPr>
        <w:pStyle w:val="ListParagraph"/>
        <w:numPr>
          <w:ilvl w:val="0"/>
          <w:numId w:val="2"/>
        </w:numPr>
        <w:spacing w:after="60" w:before="60"/>
      </w:pPr>
      <w:r>
        <w:rPr>
          <w:rFonts w:ascii="Arial" w:cs="Arial" w:eastAsia="Arial" w:hAnsi="Arial"/>
          <w:color w:val="1A1A2E"/>
          <w:sz w:val="22"/>
          <w:szCs w:val="22"/>
        </w:rPr>
        <w:t xml:space="preserve">Significantly reduced exposure from loss-making product lines</w:t>
      </w:r>
    </w:p>
    <w:p>
      <w:pPr>
        <w:spacing w:after="0" w:before="300"/>
      </w:pPr>
    </w:p>
    <w:p>
      <w:pPr>
        <w:pBdr>
          <w:top w:val="single" w:color="2E4057" w:sz="6" w:space="6"/>
        </w:pBdr>
        <w:spacing w:before="200"/>
      </w:pPr>
      <w:r>
        <w:rPr>
          <w:rFonts w:ascii="Arial" w:cs="Arial" w:eastAsia="Arial" w:hAnsi="Arial"/>
          <w:i/>
          <w:iCs/>
          <w:color w:val="888888"/>
          <w:sz w:val="18"/>
          <w:szCs w:val="18"/>
        </w:rPr>
        <w:t xml:space="preserve">Report compiled from Superstore transactional data (2014–2017). All figures in USD. For internal use only.</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6"/>
      </w:pBdr>
    </w:pPr>
    <w:r>
      <w:rPr>
        <w:rFonts w:ascii="Arial" w:cs="Arial" w:eastAsia="Arial" w:hAnsi="Arial"/>
        <w:b/>
        <w:bCs/>
        <w:color w:val="2E4057"/>
        <w:sz w:val="20"/>
        <w:szCs w:val="20"/>
      </w:rPr>
      <w:t xml:space="preserve">SUPERSTORE BUSINESS PERFORMANCE REPORT</w:t>
    </w:r>
    <w:r>
      <w:rPr>
        <w:sz w:val="18"/>
        <w:szCs w:val="18"/>
      </w:rPr>
      <w:t xml:space="preserve">																		</w:t>
    </w:r>
    <w:r>
      <w:rPr>
        <w:rFonts w:ascii="Arial" w:cs="Arial" w:eastAsia="Arial" w:hAnsi="Arial"/>
        <w:color w:val="888888"/>
        <w:sz w:val="18"/>
        <w:szCs w:val="18"/>
      </w:rPr>
      <w:t xml:space="preserve">Confidential | 2014-2017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e999e3341ac8272beaa377fe32895de5b54d1c19.png"/><Relationship Id="rId9" Type="http://schemas.openxmlformats.org/officeDocument/2006/relationships/image" Target="media/e25253e8d772517e5580963ebfa01fd0121a1626.png"/><Relationship Id="rId10" Type="http://schemas.openxmlformats.org/officeDocument/2006/relationships/image" Target="media/5bec8b279077cf27ed6d8d4129db88db64473ef6.png"/><Relationship Id="rId11" Type="http://schemas.openxmlformats.org/officeDocument/2006/relationships/image" Target="media/bda21bd6b7ed5abe888831f43de1ca04238a423d.png"/><Relationship Id="rId12" Type="http://schemas.openxmlformats.org/officeDocument/2006/relationships/image" Target="media/f8391f013991937c7b4f6bc81f9626985201e04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2026-04-25T13:34:35.223Z</dcterms:created>
  <dcterms:modified xsi:type="dcterms:W3CDTF">2026-04-25T13:34:35.224Z</dcterms:modified>
</cp:coreProperties>
</file>

<file path=docProps/custom.xml><?xml version="1.0" encoding="utf-8"?>
<Properties xmlns="http://schemas.openxmlformats.org/officeDocument/2006/custom-properties" xmlns:vt="http://schemas.openxmlformats.org/officeDocument/2006/docPropsVTypes"/>
</file>