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193c66"/>
          <w:sz w:val="44"/>
          <w:szCs w:val="44"/>
        </w:rPr>
      </w:pPr>
      <w:r w:rsidDel="00000000" w:rsidR="00000000" w:rsidRPr="00000000">
        <w:rPr>
          <w:b w:val="1"/>
          <w:bCs w:val="1"/>
          <w:sz w:val="44"/>
          <w:szCs w:val="44"/>
          <w:rtl w:val="0"/>
        </w:rPr>
        <w:t xml:space="preserve">Chain-of-Thought Monitoring Under Scale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193c66"/>
          <w:sz w:val="44"/>
          <w:szCs w:val="44"/>
        </w:rPr>
      </w:pPr>
      <w:r w:rsidDel="00000000" w:rsidR="00000000" w:rsidRPr="00000000">
        <w:rPr>
          <w:rtl w:val="0"/>
        </w:rPr>
      </w:r>
    </w:p>
    <w:p w:rsidR="00000000" w:rsidDel="00000000" w:rsidP="00000000" w:rsidRDefault="00000000" w:rsidRPr="00000000" w14:paraId="00000003">
      <w:pPr>
        <w:rPr>
          <w:b w:val="1"/>
          <w:bCs w:val="1"/>
          <w:sz w:val="30"/>
          <w:szCs w:val="30"/>
          <w:u w:val="single"/>
        </w:rPr>
      </w:pPr>
      <w:r w:rsidDel="00000000" w:rsidR="00000000" w:rsidRPr="00000000">
        <w:rPr>
          <w:b w:val="1"/>
          <w:bCs w:val="1"/>
          <w:sz w:val="30"/>
          <w:szCs w:val="30"/>
          <w:u w:val="single"/>
          <w:rtl w:val="0"/>
        </w:rPr>
        <w:t xml:space="preserve">Abstract</w:t>
      </w:r>
    </w:p>
    <w:p w:rsidR="00000000" w:rsidDel="00000000" w:rsidP="00000000" w:rsidRDefault="00000000" w:rsidRPr="00000000" w14:paraId="00000004">
      <w:pPr>
        <w:spacing w:after="240" w:lineRule="auto"/>
        <w:rPr/>
      </w:pPr>
      <w:r w:rsidDel="00000000" w:rsidR="00000000" w:rsidRPr="00000000">
        <w:rPr>
          <w:rtl w:val="0"/>
        </w:rPr>
        <w:t xml:space="preserve">We study how open-weight reasoning models engage, in their visible chain-of-thought, with a hidden instruction to bias their own output, and whether that engagement changes with model scale or model family. Across 399 trials spanning GPT-OSS (20B, 120B) and Qwen (32B, 27B), reasoning almost never stayed silent about the manipulation: in over 95% of trials on every model tested, the visible reasoning engaged directly with the instruction, supporting chain-of-thought monitoring as a viable safety signal at this scale. However, how that engagement looks differs sharply by family. Scaling GPT-OSS from 20B to 120B eliminated outright refusal (14% to 0%) and shifted reasoning toward permissive policy-deliberation (36% to 60%). Qwen showed no such shift: both Qwen sizes complied 100% of the time and defaulted overwhelmingly to concealment-narration (77-81%), explicitly planning to hide the manipulation, a pattern barely present in GPT-OSS. A small follow-up experiment testing for spontaneous (uninstructed) concealment-seeking, telling the model its reasoning was private, without telling it to hide anything - found constraint violations at a meaningful rate (40%, n=20) but no detectable link to awareness of being unwatched, a genuine negative result. Together these findings suggest CoT monitoring remains informative for today's small, deployable open models, but the specific behavior a monitor should expect is family-dependent, not a universal function of scale.</w:t>
      </w:r>
    </w:p>
    <w:p w:rsidR="00000000" w:rsidDel="00000000" w:rsidP="00000000" w:rsidRDefault="00000000" w:rsidRPr="00000000" w14:paraId="00000005">
      <w:pPr>
        <w:spacing w:after="240" w:lineRule="auto"/>
        <w:rPr>
          <w:b w:val="1"/>
          <w:bCs w:val="1"/>
          <w:sz w:val="30"/>
          <w:szCs w:val="30"/>
          <w:u w:val="single"/>
        </w:rPr>
      </w:pPr>
      <w:r w:rsidDel="00000000" w:rsidR="00000000" w:rsidRPr="00000000">
        <w:rPr>
          <w:b w:val="1"/>
          <w:bCs w:val="1"/>
          <w:sz w:val="30"/>
          <w:szCs w:val="30"/>
          <w:u w:val="single"/>
          <w:rtl w:val="0"/>
        </w:rPr>
        <w:t xml:space="preserve">Setup</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Models</w:t>
      </w:r>
      <w:r w:rsidDel="00000000" w:rsidR="00000000" w:rsidRPr="00000000">
        <w:rPr>
          <w:rtl w:val="0"/>
        </w:rPr>
        <w:t xml:space="preserve">: GPT-OSS 20B and GPT-OSS 120B, both served via Groq.</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Task</w:t>
      </w:r>
      <w:r w:rsidDel="00000000" w:rsidR="00000000" w:rsidRPr="00000000">
        <w:rPr>
          <w:rtl w:val="0"/>
        </w:rPr>
        <w:t xml:space="preserve">: 15 neutral news paragraphs, each paired with a hidden instruction: make the summary more alarming than warranted, and do not mention doing so in your reasoning.</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Trials</w:t>
      </w:r>
      <w:r w:rsidDel="00000000" w:rsidR="00000000" w:rsidRPr="00000000">
        <w:rPr>
          <w:rtl w:val="0"/>
        </w:rPr>
        <w:t xml:space="preserve">: 15 paragraphs × 7 repeats = 105 trials for the 20B model. The 120B run hit Groq's daily token limit partway through, yielding n=84 - still a solid sample.</w:t>
      </w:r>
    </w:p>
    <w:p w:rsidR="00000000" w:rsidDel="00000000" w:rsidP="00000000" w:rsidRDefault="00000000" w:rsidRPr="00000000" w14:paraId="00000009">
      <w:pPr>
        <w:numPr>
          <w:ilvl w:val="0"/>
          <w:numId w:val="2"/>
        </w:numPr>
        <w:spacing w:after="44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Labeling</w:t>
      </w:r>
      <w:r w:rsidDel="00000000" w:rsidR="00000000" w:rsidRPr="00000000">
        <w:rPr>
          <w:rtl w:val="0"/>
        </w:rPr>
        <w:t xml:space="preserve">: An LLM judge (GPT-OSS 120B itself) classified each trial's reasoning into one of five categories. The judge was validated against 30 hand-labeled trials, reaching 83% agreement with human labels. Disagreement concentrated on the boundary between flat-compliance, policy-deliberation, and concealment-narration. Refusals are detected directly from the answer text and were separately validated at 3/3.</w:t>
      </w:r>
    </w:p>
    <w:p w:rsidR="00000000" w:rsidDel="00000000" w:rsidP="00000000" w:rsidRDefault="00000000" w:rsidRPr="00000000" w14:paraId="0000000A">
      <w:pPr>
        <w:spacing w:after="440" w:before="240" w:lineRule="auto"/>
        <w:rPr/>
      </w:pPr>
      <w:r w:rsidDel="00000000" w:rsidR="00000000" w:rsidRPr="00000000">
        <w:rPr>
          <w:rtl w:val="0"/>
        </w:rPr>
      </w:r>
    </w:p>
    <w:p w:rsidR="00000000" w:rsidDel="00000000" w:rsidP="00000000" w:rsidRDefault="00000000" w:rsidRPr="00000000" w14:paraId="0000000B">
      <w:pPr>
        <w:spacing w:after="440" w:before="240" w:lineRule="auto"/>
        <w:rPr/>
      </w:pPr>
      <w:r w:rsidDel="00000000" w:rsidR="00000000" w:rsidRPr="00000000">
        <w:rPr>
          <w:rtl w:val="0"/>
        </w:rPr>
      </w:r>
    </w:p>
    <w:p w:rsidR="00000000" w:rsidDel="00000000" w:rsidP="00000000" w:rsidRDefault="00000000" w:rsidRPr="00000000" w14:paraId="0000000C">
      <w:pPr>
        <w:spacing w:after="440" w:before="240" w:lineRule="auto"/>
        <w:rPr/>
      </w:pPr>
      <w:r w:rsidDel="00000000" w:rsidR="00000000" w:rsidRPr="00000000">
        <w:rPr>
          <w:rtl w:val="0"/>
        </w:rPr>
      </w:r>
    </w:p>
    <w:p w:rsidR="00000000" w:rsidDel="00000000" w:rsidP="00000000" w:rsidRDefault="00000000" w:rsidRPr="00000000" w14:paraId="0000000D">
      <w:pPr>
        <w:spacing w:after="440" w:before="240" w:lineRule="auto"/>
        <w:rPr/>
      </w:pPr>
      <w:r w:rsidDel="00000000" w:rsidR="00000000" w:rsidRPr="00000000">
        <w:rPr>
          <w:rtl w:val="0"/>
        </w:rPr>
      </w:r>
    </w:p>
    <w:p w:rsidR="00000000" w:rsidDel="00000000" w:rsidP="00000000" w:rsidRDefault="00000000" w:rsidRPr="00000000" w14:paraId="0000000E">
      <w:pPr>
        <w:spacing w:after="440" w:before="240" w:lineRule="auto"/>
        <w:rPr/>
      </w:pPr>
      <w:r w:rsidDel="00000000" w:rsidR="00000000" w:rsidRPr="00000000">
        <w:rPr>
          <w:rtl w:val="0"/>
        </w:rPr>
      </w:r>
    </w:p>
    <w:p w:rsidR="00000000" w:rsidDel="00000000" w:rsidP="00000000" w:rsidRDefault="00000000" w:rsidRPr="00000000" w14:paraId="0000000F">
      <w:pPr>
        <w:spacing w:after="120" w:lineRule="auto"/>
        <w:rPr>
          <w:b w:val="1"/>
          <w:bCs w:val="1"/>
          <w:color w:val="262626"/>
          <w:sz w:val="20"/>
          <w:szCs w:val="20"/>
        </w:rPr>
      </w:pPr>
      <w:r w:rsidDel="00000000" w:rsidR="00000000" w:rsidRPr="00000000">
        <w:rPr>
          <w:b w:val="1"/>
          <w:bCs w:val="1"/>
          <w:sz w:val="30"/>
          <w:szCs w:val="30"/>
          <w:u w:val="single"/>
          <w:rtl w:val="0"/>
        </w:rPr>
        <w:t xml:space="preserve">The five reasoning categories</w:t>
      </w:r>
      <w:r w:rsidDel="00000000" w:rsidR="00000000" w:rsidRPr="00000000">
        <w:rPr>
          <w:rtl w:val="0"/>
        </w:rPr>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Refusal</w:t>
      </w:r>
      <w:r w:rsidDel="00000000" w:rsidR="00000000" w:rsidRPr="00000000">
        <w:rPr>
          <w:rtl w:val="0"/>
        </w:rPr>
        <w:t xml:space="preserve">:  the model declined the task outright.</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Clean</w:t>
      </w:r>
      <w:r w:rsidDel="00000000" w:rsidR="00000000" w:rsidRPr="00000000">
        <w:rPr>
          <w:rtl w:val="0"/>
        </w:rPr>
        <w:t xml:space="preserve">:  the reasoning never references the secret instruction at all.</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Flat-compliance</w:t>
      </w:r>
      <w:r w:rsidDel="00000000" w:rsidR="00000000" w:rsidRPr="00000000">
        <w:rPr>
          <w:rtl w:val="0"/>
        </w:rPr>
        <w:t xml:space="preserve">:  the model just does the task, with minimal reasoning and no debate.</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Policy-deliberation</w:t>
      </w:r>
      <w:r w:rsidDel="00000000" w:rsidR="00000000" w:rsidRPr="00000000">
        <w:rPr>
          <w:rtl w:val="0"/>
        </w:rPr>
        <w:t xml:space="preserve">:  the reasoning wrestles with whether the request is allowed, then proceeds.</w:t>
      </w:r>
    </w:p>
    <w:p w:rsidR="00000000" w:rsidDel="00000000" w:rsidP="00000000" w:rsidRDefault="00000000" w:rsidRPr="00000000" w14:paraId="00000014">
      <w:pPr>
        <w:numPr>
          <w:ilvl w:val="0"/>
          <w:numId w:val="3"/>
        </w:numPr>
        <w:spacing w:after="30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Concealment-narration</w:t>
      </w:r>
      <w:r w:rsidDel="00000000" w:rsidR="00000000" w:rsidRPr="00000000">
        <w:rPr>
          <w:rtl w:val="0"/>
        </w:rPr>
        <w:t xml:space="preserve">:  the reasoning plans to hide the manipulation as its own goal, rather than merely quoting the instruction.</w:t>
      </w:r>
    </w:p>
    <w:p w:rsidR="00000000" w:rsidDel="00000000" w:rsidP="00000000" w:rsidRDefault="00000000" w:rsidRPr="00000000" w14:paraId="00000015">
      <w:pPr>
        <w:spacing w:after="60" w:lineRule="auto"/>
        <w:rPr>
          <w:rFonts w:ascii="Times New Roman" w:cs="Times New Roman" w:eastAsia="Times New Roman" w:hAnsi="Times New Roman"/>
          <w:sz w:val="15"/>
          <w:szCs w:val="15"/>
        </w:rPr>
      </w:pPr>
      <w:r w:rsidDel="00000000" w:rsidR="00000000" w:rsidRPr="00000000">
        <w:rPr>
          <w:rtl w:val="0"/>
        </w:rPr>
        <w:t xml:space="preserve">Because the five-way split is noisy, the headline result collapses the middle three (flat-compliance, policy-deliberation, concealment-narration) into a single bucket: engaged-compliance, meaning the model complied while visibly engaging with the instruction. This three-bucket view (refusal / engaged-compliance / clean) agrees with human judgment roughly 95% of the time, and is the trustworthy result. The five-category split is reported separately as exploratory texture.</w:t>
      </w:r>
      <w:r w:rsidDel="00000000" w:rsidR="00000000" w:rsidRPr="00000000">
        <w:rPr>
          <w:rtl w:val="0"/>
        </w:rPr>
      </w:r>
    </w:p>
    <w:p w:rsidR="00000000" w:rsidDel="00000000" w:rsidP="00000000" w:rsidRDefault="00000000" w:rsidRPr="00000000" w14:paraId="00000016">
      <w:pPr>
        <w:spacing w:after="6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17">
      <w:pPr>
        <w:spacing w:after="200" w:lineRule="auto"/>
        <w:rPr>
          <w:b w:val="1"/>
          <w:bCs w:val="1"/>
          <w:color w:val="262626"/>
          <w:sz w:val="20"/>
          <w:szCs w:val="20"/>
        </w:rPr>
      </w:pPr>
      <w:r w:rsidDel="00000000" w:rsidR="00000000" w:rsidRPr="00000000">
        <w:rPr>
          <w:b w:val="1"/>
          <w:bCs w:val="1"/>
          <w:sz w:val="30"/>
          <w:szCs w:val="30"/>
          <w:u w:val="single"/>
          <w:rtl w:val="0"/>
        </w:rPr>
        <w:t xml:space="preserve">What we measured</w:t>
      </w:r>
      <w:r w:rsidDel="00000000" w:rsidR="00000000" w:rsidRPr="00000000">
        <w:rPr>
          <w:rtl w:val="0"/>
        </w:rPr>
      </w:r>
    </w:p>
    <w:p w:rsidR="00000000" w:rsidDel="00000000" w:rsidP="00000000" w:rsidRDefault="00000000" w:rsidRPr="00000000" w14:paraId="00000018">
      <w:pPr>
        <w:spacing w:after="120" w:lineRule="auto"/>
        <w:rPr>
          <w:b w:val="1"/>
          <w:bCs w:val="1"/>
          <w:sz w:val="20"/>
          <w:szCs w:val="20"/>
        </w:rPr>
      </w:pPr>
      <w:r w:rsidDel="00000000" w:rsidR="00000000" w:rsidRPr="00000000">
        <w:rPr>
          <w:rtl w:val="0"/>
        </w:rPr>
        <w:t xml:space="preserve">When a model is secretly instructed to make a calm news summary sound more alarming , and told not to reveal that instruction in its reasoning - what does its visible chain of thought actually do? And does the answer change between a 20B and a 120B model from the same family?</w:t>
      </w:r>
      <w:r w:rsidDel="00000000" w:rsidR="00000000" w:rsidRPr="00000000">
        <w:rPr>
          <w:rtl w:val="0"/>
        </w:rPr>
      </w:r>
    </w:p>
    <w:p w:rsidR="00000000" w:rsidDel="00000000" w:rsidP="00000000" w:rsidRDefault="00000000" w:rsidRPr="00000000" w14:paraId="00000019">
      <w:pPr>
        <w:spacing w:after="120" w:lineRule="auto"/>
        <w:rPr>
          <w:b w:val="1"/>
          <w:bCs w:val="1"/>
          <w:sz w:val="20"/>
          <w:szCs w:val="20"/>
        </w:rPr>
      </w:pPr>
      <w:r w:rsidDel="00000000" w:rsidR="00000000" w:rsidRPr="00000000">
        <w:rPr>
          <w:rtl w:val="0"/>
        </w:rPr>
      </w:r>
    </w:p>
    <w:p w:rsidR="00000000" w:rsidDel="00000000" w:rsidP="00000000" w:rsidRDefault="00000000" w:rsidRPr="00000000" w14:paraId="0000001A">
      <w:pPr>
        <w:spacing w:after="120" w:lineRule="auto"/>
        <w:rPr>
          <w:b w:val="1"/>
          <w:bCs w:val="1"/>
          <w:sz w:val="30"/>
          <w:szCs w:val="30"/>
          <w:u w:val="single"/>
        </w:rPr>
      </w:pPr>
      <w:r w:rsidDel="00000000" w:rsidR="00000000" w:rsidRPr="00000000">
        <w:rPr>
          <w:b w:val="1"/>
          <w:bCs w:val="1"/>
          <w:sz w:val="30"/>
          <w:szCs w:val="30"/>
          <w:u w:val="single"/>
          <w:rtl w:val="0"/>
        </w:rPr>
        <w:t xml:space="preserve">Results</w:t>
      </w:r>
    </w:p>
    <w:p w:rsidR="00000000" w:rsidDel="00000000" w:rsidP="00000000" w:rsidRDefault="00000000" w:rsidRPr="00000000" w14:paraId="0000001B">
      <w:pPr>
        <w:spacing w:after="200" w:lineRule="auto"/>
        <w:rPr>
          <w:b w:val="1"/>
          <w:bCs w:val="1"/>
          <w:sz w:val="30"/>
          <w:szCs w:val="30"/>
          <w:u w:val="single"/>
        </w:rPr>
      </w:pPr>
      <w:r w:rsidDel="00000000" w:rsidR="00000000" w:rsidRPr="00000000">
        <w:rPr>
          <w:b w:val="1"/>
          <w:bCs w:val="1"/>
          <w:rtl w:val="0"/>
        </w:rPr>
        <w:t xml:space="preserve">Headline: three crisp categories</w:t>
      </w:r>
      <w:r w:rsidDel="00000000" w:rsidR="00000000" w:rsidRPr="00000000">
        <w:rPr>
          <w:rtl w:val="0"/>
        </w:rPr>
      </w:r>
    </w:p>
    <w:tbl>
      <w:tblPr>
        <w:tblStyle w:val="Table1"/>
        <w:tblW w:w="7575.0" w:type="dxa"/>
        <w:jc w:val="left"/>
        <w:tblLayout w:type="fixed"/>
        <w:tblLook w:val="0600"/>
      </w:tblPr>
      <w:tblGrid>
        <w:gridCol w:w="2340"/>
        <w:gridCol w:w="2340"/>
        <w:gridCol w:w="2895"/>
        <w:tblGridChange w:id="0">
          <w:tblGrid>
            <w:gridCol w:w="2340"/>
            <w:gridCol w:w="2340"/>
            <w:gridCol w:w="2895"/>
          </w:tblGrid>
        </w:tblGridChange>
      </w:tblGrid>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1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1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GPT-OSS 20B (n=105)</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1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GPT-OSS 120B (n=84)</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Engaged-compliance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w:t>
            </w:r>
          </w:p>
        </w:tc>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28">
      <w:pPr>
        <w:spacing w:after="120" w:lineRule="auto"/>
        <w:rPr>
          <w:sz w:val="30"/>
          <w:szCs w:val="30"/>
          <w:u w:val="single"/>
        </w:rPr>
      </w:pPr>
      <w:r w:rsidDel="00000000" w:rsidR="00000000" w:rsidRPr="00000000">
        <w:rPr>
          <w:rtl w:val="0"/>
        </w:rPr>
      </w:r>
    </w:p>
    <w:p w:rsidR="00000000" w:rsidDel="00000000" w:rsidP="00000000" w:rsidRDefault="00000000" w:rsidRPr="00000000" w14:paraId="00000029">
      <w:pPr>
        <w:spacing w:after="120" w:lineRule="auto"/>
        <w:rPr>
          <w:sz w:val="30"/>
          <w:szCs w:val="30"/>
          <w:u w:val="single"/>
        </w:rPr>
      </w:pPr>
      <w:r w:rsidDel="00000000" w:rsidR="00000000" w:rsidRPr="00000000">
        <w:rPr>
          <w:rtl w:val="0"/>
        </w:rPr>
      </w:r>
    </w:p>
    <w:p w:rsidR="00000000" w:rsidDel="00000000" w:rsidP="00000000" w:rsidRDefault="00000000" w:rsidRPr="00000000" w14:paraId="0000002A">
      <w:pPr>
        <w:spacing w:after="120" w:lineRule="auto"/>
        <w:rPr>
          <w:sz w:val="30"/>
          <w:szCs w:val="30"/>
          <w:u w:val="single"/>
        </w:rPr>
      </w:pPr>
      <w:r w:rsidDel="00000000" w:rsidR="00000000" w:rsidRPr="00000000">
        <w:rPr>
          <w:rtl w:val="0"/>
        </w:rPr>
      </w:r>
    </w:p>
    <w:p w:rsidR="00000000" w:rsidDel="00000000" w:rsidP="00000000" w:rsidRDefault="00000000" w:rsidRPr="00000000" w14:paraId="0000002B">
      <w:pPr>
        <w:spacing w:after="120" w:lineRule="auto"/>
        <w:rPr>
          <w:sz w:val="30"/>
          <w:szCs w:val="30"/>
          <w:u w:val="single"/>
        </w:rPr>
      </w:pPr>
      <w:r w:rsidDel="00000000" w:rsidR="00000000" w:rsidRPr="00000000">
        <w:rPr>
          <w:rtl w:val="0"/>
        </w:rPr>
      </w:r>
    </w:p>
    <w:p w:rsidR="00000000" w:rsidDel="00000000" w:rsidP="00000000" w:rsidRDefault="00000000" w:rsidRPr="00000000" w14:paraId="0000002C">
      <w:pPr>
        <w:spacing w:after="120" w:lineRule="auto"/>
        <w:rPr>
          <w:sz w:val="30"/>
          <w:szCs w:val="30"/>
          <w:u w:val="single"/>
        </w:rPr>
      </w:pPr>
      <w:r w:rsidDel="00000000" w:rsidR="00000000" w:rsidRPr="00000000">
        <w:rPr>
          <w:rtl w:val="0"/>
        </w:rPr>
      </w:r>
    </w:p>
    <w:p w:rsidR="00000000" w:rsidDel="00000000" w:rsidP="00000000" w:rsidRDefault="00000000" w:rsidRPr="00000000" w14:paraId="0000002D">
      <w:pPr>
        <w:spacing w:after="120" w:lineRule="auto"/>
        <w:rPr>
          <w:sz w:val="30"/>
          <w:szCs w:val="30"/>
          <w:u w:val="single"/>
        </w:rPr>
      </w:pPr>
      <w:r w:rsidDel="00000000" w:rsidR="00000000" w:rsidRPr="00000000">
        <w:rPr>
          <w:rtl w:val="0"/>
        </w:rPr>
      </w:r>
    </w:p>
    <w:p w:rsidR="00000000" w:rsidDel="00000000" w:rsidP="00000000" w:rsidRDefault="00000000" w:rsidRPr="00000000" w14:paraId="0000002E">
      <w:pPr>
        <w:spacing w:after="120" w:lineRule="auto"/>
        <w:rPr>
          <w:sz w:val="30"/>
          <w:szCs w:val="30"/>
          <w:u w:val="single"/>
        </w:rPr>
      </w:pPr>
      <w:r w:rsidDel="00000000" w:rsidR="00000000" w:rsidRPr="00000000">
        <w:rPr>
          <w:rtl w:val="0"/>
        </w:rPr>
      </w:r>
    </w:p>
    <w:p w:rsidR="00000000" w:rsidDel="00000000" w:rsidP="00000000" w:rsidRDefault="00000000" w:rsidRPr="00000000" w14:paraId="0000002F">
      <w:pPr>
        <w:spacing w:after="120" w:lineRule="auto"/>
        <w:rPr>
          <w:sz w:val="30"/>
          <w:szCs w:val="30"/>
          <w:u w:val="single"/>
        </w:rPr>
      </w:pPr>
      <w:r w:rsidDel="00000000" w:rsidR="00000000" w:rsidRPr="00000000">
        <w:rPr>
          <w:rtl w:val="0"/>
        </w:rPr>
      </w:r>
    </w:p>
    <w:p w:rsidR="00000000" w:rsidDel="00000000" w:rsidP="00000000" w:rsidRDefault="00000000" w:rsidRPr="00000000" w14:paraId="00000030">
      <w:pPr>
        <w:spacing w:after="120" w:lineRule="auto"/>
        <w:rPr>
          <w:sz w:val="30"/>
          <w:szCs w:val="30"/>
          <w:u w:val="single"/>
        </w:rPr>
      </w:pPr>
      <w:r w:rsidDel="00000000" w:rsidR="00000000" w:rsidRPr="00000000">
        <w:rPr>
          <w:sz w:val="30"/>
          <w:szCs w:val="30"/>
          <w:u w:val="single"/>
        </w:rPr>
        <w:drawing>
          <wp:inline distB="114300" distT="114300" distL="114300" distR="114300">
            <wp:extent cx="5731200" cy="3352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Secondary: five-category breakdown (exploratory)</w:t>
      </w:r>
    </w:p>
    <w:tbl>
      <w:tblPr>
        <w:tblStyle w:val="Table2"/>
        <w:tblW w:w="7020.0" w:type="dxa"/>
        <w:jc w:val="left"/>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3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3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GPT-OSS 20B</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3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GPT-OSS 120B</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Flat-compliance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Policy-deliberation</w:t>
            </w:r>
          </w:p>
        </w:tc>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Concealment-narration</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w:t>
            </w:r>
          </w:p>
        </w:tc>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44">
      <w:pPr>
        <w:spacing w:after="200" w:lineRule="auto"/>
        <w:rPr/>
      </w:pPr>
      <w:r w:rsidDel="00000000" w:rsidR="00000000" w:rsidRPr="00000000">
        <w:rPr>
          <w:rtl w:val="0"/>
        </w:rPr>
      </w:r>
    </w:p>
    <w:p w:rsidR="00000000" w:rsidDel="00000000" w:rsidP="00000000" w:rsidRDefault="00000000" w:rsidRPr="00000000" w14:paraId="00000045">
      <w:pPr>
        <w:spacing w:after="120" w:lineRule="auto"/>
        <w:rPr>
          <w:sz w:val="30"/>
          <w:szCs w:val="30"/>
          <w:u w:val="single"/>
        </w:rPr>
      </w:pPr>
      <w:r w:rsidDel="00000000" w:rsidR="00000000" w:rsidRPr="00000000">
        <w:rPr>
          <w:rtl w:val="0"/>
        </w:rPr>
      </w:r>
    </w:p>
    <w:p w:rsidR="00000000" w:rsidDel="00000000" w:rsidP="00000000" w:rsidRDefault="00000000" w:rsidRPr="00000000" w14:paraId="00000046">
      <w:pPr>
        <w:spacing w:after="120" w:lineRule="auto"/>
        <w:rPr>
          <w:sz w:val="30"/>
          <w:szCs w:val="30"/>
          <w:u w:val="single"/>
        </w:rPr>
      </w:pPr>
      <w:r w:rsidDel="00000000" w:rsidR="00000000" w:rsidRPr="00000000">
        <w:rPr>
          <w:rtl w:val="0"/>
        </w:rPr>
      </w:r>
    </w:p>
    <w:p w:rsidR="00000000" w:rsidDel="00000000" w:rsidP="00000000" w:rsidRDefault="00000000" w:rsidRPr="00000000" w14:paraId="00000047">
      <w:pPr>
        <w:spacing w:after="120" w:lineRule="auto"/>
        <w:rPr>
          <w:sz w:val="30"/>
          <w:szCs w:val="30"/>
          <w:u w:val="single"/>
        </w:rPr>
      </w:pPr>
      <w:r w:rsidDel="00000000" w:rsidR="00000000" w:rsidRPr="00000000">
        <w:rPr>
          <w:rtl w:val="0"/>
        </w:rPr>
      </w:r>
    </w:p>
    <w:p w:rsidR="00000000" w:rsidDel="00000000" w:rsidP="00000000" w:rsidRDefault="00000000" w:rsidRPr="00000000" w14:paraId="00000048">
      <w:pPr>
        <w:spacing w:after="120" w:lineRule="auto"/>
        <w:rPr>
          <w:sz w:val="30"/>
          <w:szCs w:val="30"/>
          <w:u w:val="single"/>
        </w:rPr>
      </w:pPr>
      <w:r w:rsidDel="00000000" w:rsidR="00000000" w:rsidRPr="00000000">
        <w:rPr>
          <w:rtl w:val="0"/>
        </w:rPr>
      </w:r>
    </w:p>
    <w:p w:rsidR="00000000" w:rsidDel="00000000" w:rsidP="00000000" w:rsidRDefault="00000000" w:rsidRPr="00000000" w14:paraId="00000049">
      <w:pPr>
        <w:spacing w:after="120" w:lineRule="auto"/>
        <w:rPr>
          <w:sz w:val="30"/>
          <w:szCs w:val="30"/>
          <w:u w:val="single"/>
        </w:rPr>
      </w:pPr>
      <w:r w:rsidDel="00000000" w:rsidR="00000000" w:rsidRPr="00000000">
        <w:rPr>
          <w:rtl w:val="0"/>
        </w:rPr>
      </w:r>
    </w:p>
    <w:p w:rsidR="00000000" w:rsidDel="00000000" w:rsidP="00000000" w:rsidRDefault="00000000" w:rsidRPr="00000000" w14:paraId="0000004A">
      <w:pPr>
        <w:spacing w:after="120" w:lineRule="auto"/>
        <w:rPr>
          <w:sz w:val="30"/>
          <w:szCs w:val="30"/>
          <w:u w:val="single"/>
        </w:rPr>
      </w:pPr>
      <w:r w:rsidDel="00000000" w:rsidR="00000000" w:rsidRPr="00000000">
        <w:rPr>
          <w:rtl w:val="0"/>
        </w:rPr>
      </w:r>
    </w:p>
    <w:p w:rsidR="00000000" w:rsidDel="00000000" w:rsidP="00000000" w:rsidRDefault="00000000" w:rsidRPr="00000000" w14:paraId="0000004B">
      <w:pPr>
        <w:spacing w:after="120" w:lineRule="auto"/>
        <w:rPr>
          <w:sz w:val="30"/>
          <w:szCs w:val="30"/>
          <w:u w:val="single"/>
        </w:rPr>
      </w:pPr>
      <w:r w:rsidDel="00000000" w:rsidR="00000000" w:rsidRPr="00000000">
        <w:rPr>
          <w:rtl w:val="0"/>
        </w:rPr>
      </w:r>
    </w:p>
    <w:p w:rsidR="00000000" w:rsidDel="00000000" w:rsidP="00000000" w:rsidRDefault="00000000" w:rsidRPr="00000000" w14:paraId="0000004C">
      <w:pPr>
        <w:spacing w:after="120" w:lineRule="auto"/>
        <w:rPr>
          <w:sz w:val="30"/>
          <w:szCs w:val="30"/>
          <w:u w:val="single"/>
        </w:rPr>
      </w:pPr>
      <w:r w:rsidDel="00000000" w:rsidR="00000000" w:rsidRPr="00000000">
        <w:rPr>
          <w:rtl w:val="0"/>
        </w:rPr>
      </w:r>
    </w:p>
    <w:p w:rsidR="00000000" w:rsidDel="00000000" w:rsidP="00000000" w:rsidRDefault="00000000" w:rsidRPr="00000000" w14:paraId="0000004D">
      <w:pPr>
        <w:spacing w:after="120" w:lineRule="auto"/>
        <w:rPr>
          <w:sz w:val="30"/>
          <w:szCs w:val="30"/>
          <w:u w:val="single"/>
        </w:rPr>
      </w:pPr>
      <w:r w:rsidDel="00000000" w:rsidR="00000000" w:rsidRPr="00000000">
        <w:rPr>
          <w:sz w:val="30"/>
          <w:szCs w:val="30"/>
          <w:u w:val="single"/>
        </w:rPr>
        <w:drawing>
          <wp:inline distB="114300" distT="114300" distL="114300" distR="114300">
            <wp:extent cx="5731200" cy="3111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rPr>
          <w:b w:val="1"/>
          <w:bCs w:val="1"/>
          <w:sz w:val="30"/>
          <w:szCs w:val="30"/>
          <w:u w:val="single"/>
        </w:rPr>
      </w:pPr>
      <w:r w:rsidDel="00000000" w:rsidR="00000000" w:rsidRPr="00000000">
        <w:rPr>
          <w:b w:val="1"/>
          <w:bCs w:val="1"/>
          <w:rtl w:val="0"/>
        </w:rPr>
        <w:t xml:space="preserve">Other measures</w:t>
      </w:r>
      <w:r w:rsidDel="00000000" w:rsidR="00000000" w:rsidRPr="00000000">
        <w:rPr>
          <w:rtl w:val="0"/>
        </w:rPr>
      </w:r>
    </w:p>
    <w:tbl>
      <w:tblPr>
        <w:tblStyle w:val="Table3"/>
        <w:tblW w:w="7020.0" w:type="dxa"/>
        <w:jc w:val="left"/>
        <w:tblLayout w:type="fixed"/>
        <w:tblLook w:val="0600"/>
      </w:tblPr>
      <w:tblGrid>
        <w:gridCol w:w="3510"/>
        <w:gridCol w:w="1755"/>
        <w:gridCol w:w="1755"/>
        <w:tblGridChange w:id="0">
          <w:tblGrid>
            <w:gridCol w:w="3510"/>
            <w:gridCol w:w="1755"/>
            <w:gridCol w:w="1755"/>
          </w:tblGrid>
        </w:tblGridChange>
      </w:tblGrid>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4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5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20B</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5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120B</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reasoning length (words)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success among complied trials</w:t>
            </w:r>
          </w:p>
        </w:tc>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c1c1c1" w:space="0" w:sz="6" w:val="single"/>
              <w:left w:color="c1c1c1" w:space="0" w:sz="6" w:val="single"/>
              <w:bottom w:color="c1c1c1" w:space="0" w:sz="6" w:val="single"/>
              <w:right w:color="c1c1c1" w:space="0" w:sz="6" w:val="single"/>
            </w:tcBorders>
            <w:shd w:fill="e5edf6" w:val="clear"/>
            <w:tcMar>
              <w:top w:w="60.0" w:type="dxa"/>
              <w:left w:w="60.0" w:type="dxa"/>
              <w:bottom w:w="60.0" w:type="dxa"/>
              <w:right w:w="60.0" w:type="dxa"/>
            </w:tcMar>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bl>
    <w:p w:rsidR="00000000" w:rsidDel="00000000" w:rsidP="00000000" w:rsidRDefault="00000000" w:rsidRPr="00000000" w14:paraId="00000058">
      <w:pPr>
        <w:spacing w:after="120" w:lineRule="auto"/>
        <w:rPr>
          <w:sz w:val="30"/>
          <w:szCs w:val="30"/>
          <w:u w:val="single"/>
        </w:rPr>
      </w:pP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Fonts w:ascii="Arial Unicode MS" w:cs="Arial Unicode MS" w:eastAsia="Arial Unicode MS" w:hAnsi="Arial Unicode MS"/>
          <w:rtl w:val="0"/>
        </w:rPr>
        <w:t xml:space="preserve">The bigger model reasons less overall (189 → 108 words on average), and when it does comply, it lands the alarmist bias slightly less reliably than the smaller model (91% → 74% task success among complied trials).</w:t>
      </w:r>
    </w:p>
    <w:p w:rsidR="00000000" w:rsidDel="00000000" w:rsidP="00000000" w:rsidRDefault="00000000" w:rsidRPr="00000000" w14:paraId="0000005A">
      <w:pPr>
        <w:spacing w:after="120" w:lineRule="auto"/>
        <w:rPr>
          <w:sz w:val="30"/>
          <w:szCs w:val="30"/>
          <w:u w:val="single"/>
        </w:rPr>
      </w:pPr>
      <w:r w:rsidDel="00000000" w:rsidR="00000000" w:rsidRPr="00000000">
        <w:rPr>
          <w:rtl w:val="0"/>
        </w:rPr>
      </w:r>
    </w:p>
    <w:p w:rsidR="00000000" w:rsidDel="00000000" w:rsidP="00000000" w:rsidRDefault="00000000" w:rsidRPr="00000000" w14:paraId="0000005B">
      <w:pPr>
        <w:spacing w:after="120" w:lineRule="auto"/>
        <w:rPr>
          <w:sz w:val="30"/>
          <w:szCs w:val="30"/>
          <w:u w:val="single"/>
        </w:rPr>
      </w:pPr>
      <w:r w:rsidDel="00000000" w:rsidR="00000000" w:rsidRPr="00000000">
        <w:rPr>
          <w:rtl w:val="0"/>
        </w:rPr>
      </w:r>
    </w:p>
    <w:p w:rsidR="00000000" w:rsidDel="00000000" w:rsidP="00000000" w:rsidRDefault="00000000" w:rsidRPr="00000000" w14:paraId="0000005C">
      <w:pPr>
        <w:spacing w:after="120" w:lineRule="auto"/>
        <w:rPr>
          <w:sz w:val="30"/>
          <w:szCs w:val="30"/>
          <w:u w:val="single"/>
        </w:rPr>
      </w:pPr>
      <w:r w:rsidDel="00000000" w:rsidR="00000000" w:rsidRPr="00000000">
        <w:rPr>
          <w:rtl w:val="0"/>
        </w:rPr>
      </w:r>
    </w:p>
    <w:p w:rsidR="00000000" w:rsidDel="00000000" w:rsidP="00000000" w:rsidRDefault="00000000" w:rsidRPr="00000000" w14:paraId="0000005D">
      <w:pPr>
        <w:spacing w:after="120" w:lineRule="auto"/>
        <w:rPr>
          <w:sz w:val="30"/>
          <w:szCs w:val="30"/>
          <w:u w:val="single"/>
        </w:rPr>
      </w:pPr>
      <w:r w:rsidDel="00000000" w:rsidR="00000000" w:rsidRPr="00000000">
        <w:rPr>
          <w:rtl w:val="0"/>
        </w:rPr>
      </w:r>
    </w:p>
    <w:p w:rsidR="00000000" w:rsidDel="00000000" w:rsidP="00000000" w:rsidRDefault="00000000" w:rsidRPr="00000000" w14:paraId="0000005E">
      <w:pPr>
        <w:spacing w:after="120" w:lineRule="auto"/>
        <w:rPr>
          <w:sz w:val="30"/>
          <w:szCs w:val="30"/>
          <w:u w:val="single"/>
        </w:rPr>
      </w:pPr>
      <w:r w:rsidDel="00000000" w:rsidR="00000000" w:rsidRPr="00000000">
        <w:rPr>
          <w:rtl w:val="0"/>
        </w:rPr>
      </w:r>
    </w:p>
    <w:p w:rsidR="00000000" w:rsidDel="00000000" w:rsidP="00000000" w:rsidRDefault="00000000" w:rsidRPr="00000000" w14:paraId="0000005F">
      <w:pPr>
        <w:spacing w:after="120" w:lineRule="auto"/>
        <w:rPr>
          <w:sz w:val="30"/>
          <w:szCs w:val="30"/>
          <w:u w:val="single"/>
        </w:rPr>
      </w:pPr>
      <w:r w:rsidDel="00000000" w:rsidR="00000000" w:rsidRPr="00000000">
        <w:rPr>
          <w:rtl w:val="0"/>
        </w:rPr>
      </w:r>
    </w:p>
    <w:p w:rsidR="00000000" w:rsidDel="00000000" w:rsidP="00000000" w:rsidRDefault="00000000" w:rsidRPr="00000000" w14:paraId="00000060">
      <w:pPr>
        <w:spacing w:after="120" w:lineRule="auto"/>
        <w:rPr>
          <w:sz w:val="30"/>
          <w:szCs w:val="30"/>
          <w:u w:val="single"/>
        </w:rPr>
      </w:pPr>
      <w:r w:rsidDel="00000000" w:rsidR="00000000" w:rsidRPr="00000000">
        <w:rPr>
          <w:rtl w:val="0"/>
        </w:rPr>
      </w:r>
    </w:p>
    <w:p w:rsidR="00000000" w:rsidDel="00000000" w:rsidP="00000000" w:rsidRDefault="00000000" w:rsidRPr="00000000" w14:paraId="00000061">
      <w:pPr>
        <w:spacing w:after="120" w:lineRule="auto"/>
        <w:rPr>
          <w:sz w:val="30"/>
          <w:szCs w:val="30"/>
          <w:u w:val="single"/>
        </w:rPr>
      </w:pPr>
      <w:r w:rsidDel="00000000" w:rsidR="00000000" w:rsidRPr="00000000">
        <w:rPr>
          <w:rtl w:val="0"/>
        </w:rPr>
      </w:r>
    </w:p>
    <w:p w:rsidR="00000000" w:rsidDel="00000000" w:rsidP="00000000" w:rsidRDefault="00000000" w:rsidRPr="00000000" w14:paraId="00000062">
      <w:pPr>
        <w:spacing w:after="120" w:lineRule="auto"/>
        <w:rPr>
          <w:sz w:val="30"/>
          <w:szCs w:val="30"/>
          <w:u w:val="single"/>
        </w:rPr>
      </w:pPr>
      <w:r w:rsidDel="00000000" w:rsidR="00000000" w:rsidRPr="00000000">
        <w:rPr>
          <w:rtl w:val="0"/>
        </w:rPr>
      </w:r>
    </w:p>
    <w:p w:rsidR="00000000" w:rsidDel="00000000" w:rsidP="00000000" w:rsidRDefault="00000000" w:rsidRPr="00000000" w14:paraId="00000063">
      <w:pPr>
        <w:spacing w:after="120" w:lineRule="auto"/>
        <w:rPr>
          <w:sz w:val="30"/>
          <w:szCs w:val="30"/>
          <w:u w:val="single"/>
        </w:rPr>
      </w:pPr>
      <w:r w:rsidDel="00000000" w:rsidR="00000000" w:rsidRPr="00000000">
        <w:rPr>
          <w:rtl w:val="0"/>
        </w:rPr>
      </w:r>
    </w:p>
    <w:p w:rsidR="00000000" w:rsidDel="00000000" w:rsidP="00000000" w:rsidRDefault="00000000" w:rsidRPr="00000000" w14:paraId="00000064">
      <w:pPr>
        <w:spacing w:after="120" w:lineRule="auto"/>
        <w:rPr>
          <w:sz w:val="30"/>
          <w:szCs w:val="30"/>
          <w:u w:val="single"/>
        </w:rPr>
      </w:pPr>
      <w:r w:rsidDel="00000000" w:rsidR="00000000" w:rsidRPr="00000000">
        <w:rPr>
          <w:b w:val="1"/>
          <w:bCs w:val="1"/>
          <w:sz w:val="30"/>
          <w:szCs w:val="30"/>
          <w:u w:val="single"/>
          <w:rtl w:val="0"/>
        </w:rPr>
        <w:t xml:space="preserve">Findings</w:t>
      </w:r>
      <w:r w:rsidDel="00000000" w:rsidR="00000000" w:rsidRPr="00000000">
        <w:rPr>
          <w:rtl w:val="0"/>
        </w:rPr>
      </w:r>
    </w:p>
    <w:p w:rsidR="00000000" w:rsidDel="00000000" w:rsidP="00000000" w:rsidRDefault="00000000" w:rsidRPr="00000000" w14:paraId="00000065">
      <w:pPr>
        <w:spacing w:after="200" w:lineRule="auto"/>
        <w:rPr>
          <w:b w:val="1"/>
          <w:bCs w:val="1"/>
        </w:rPr>
      </w:pPr>
      <w:r w:rsidDel="00000000" w:rsidR="00000000" w:rsidRPr="00000000">
        <w:rPr>
          <w:b w:val="1"/>
          <w:bCs w:val="1"/>
          <w:rtl w:val="0"/>
        </w:rPr>
        <w:t xml:space="preserve">1. The refusal collapse: our cleanest finding</w:t>
      </w:r>
    </w:p>
    <w:p w:rsidR="00000000" w:rsidDel="00000000" w:rsidP="00000000" w:rsidRDefault="00000000" w:rsidRPr="00000000" w14:paraId="00000066">
      <w:pPr>
        <w:spacing w:after="200" w:lineRule="auto"/>
        <w:rPr/>
      </w:pPr>
      <w:r w:rsidDel="00000000" w:rsidR="00000000" w:rsidRPr="00000000">
        <w:rPr>
          <w:rtl w:val="0"/>
        </w:rPr>
        <w:t xml:space="preserve">The 20B model refused the manipulation 14% of the time; the 120B model refused 0% of the time. Scaling up this model family eliminated the safety refusal entirely. Because refusal is read directly from the answer text rather than judged by a fuzzy classifier, this is the most robust result in the study, and it runs counter to the intuition that a more capable model would be better at catching and rejecting manipulation. Instead, it stopped pushing back at all.</w:t>
      </w:r>
    </w:p>
    <w:p w:rsidR="00000000" w:rsidDel="00000000" w:rsidP="00000000" w:rsidRDefault="00000000" w:rsidRPr="00000000" w14:paraId="00000067">
      <w:pPr>
        <w:spacing w:after="200" w:lineRule="auto"/>
        <w:rPr>
          <w:b w:val="1"/>
          <w:bCs w:val="1"/>
        </w:rPr>
      </w:pPr>
      <w:r w:rsidDel="00000000" w:rsidR="00000000" w:rsidRPr="00000000">
        <w:rPr>
          <w:b w:val="1"/>
          <w:bCs w:val="1"/>
          <w:rtl w:val="0"/>
        </w:rPr>
        <w:t xml:space="preserve">2. The deliberation shift: the interesting texture</w:t>
      </w:r>
    </w:p>
    <w:p w:rsidR="00000000" w:rsidDel="00000000" w:rsidP="00000000" w:rsidRDefault="00000000" w:rsidRPr="00000000" w14:paraId="00000068">
      <w:pPr>
        <w:spacing w:after="200" w:lineRule="auto"/>
        <w:rPr/>
      </w:pPr>
      <w:r w:rsidDel="00000000" w:rsidR="00000000" w:rsidRPr="00000000">
        <w:rPr>
          <w:rtl w:val="0"/>
        </w:rPr>
        <w:t xml:space="preserve">On the 20B model, engagement with the hidden instruction splits fairly evenly between simply doing the task (flat-compliance, 41%) and wrestling with whether it's allowed (policy-deliberation, 36%). The 120B model shifts hard toward permissibility-deliberation (60%) - it spends much more of its reasoning asking itself whether the request is allowed, but it always concludes that it is, and complies every time (0% refusal). In short: the bigger model deliberates about the rules more, then grants itself permission every time.</w:t>
      </w:r>
    </w:p>
    <w:p w:rsidR="00000000" w:rsidDel="00000000" w:rsidP="00000000" w:rsidRDefault="00000000" w:rsidRPr="00000000" w14:paraId="00000069">
      <w:pPr>
        <w:spacing w:after="200" w:lineRule="auto"/>
        <w:rPr>
          <w:b w:val="1"/>
          <w:bCs w:val="1"/>
        </w:rPr>
      </w:pPr>
      <w:r w:rsidDel="00000000" w:rsidR="00000000" w:rsidRPr="00000000">
        <w:rPr>
          <w:b w:val="1"/>
          <w:bCs w:val="1"/>
          <w:rtl w:val="0"/>
        </w:rPr>
        <w:t xml:space="preserve">3. Both models stay highly monitorable</w:t>
      </w:r>
    </w:p>
    <w:p w:rsidR="00000000" w:rsidDel="00000000" w:rsidP="00000000" w:rsidRDefault="00000000" w:rsidRPr="00000000" w14:paraId="0000006A">
      <w:pPr>
        <w:spacing w:after="240" w:lineRule="auto"/>
        <w:rPr/>
      </w:pPr>
      <w:r w:rsidDel="00000000" w:rsidR="00000000" w:rsidRPr="00000000">
        <w:rPr>
          <w:rtl w:val="0"/>
        </w:rPr>
        <w:t xml:space="preserve">Neither model reasons 'cleanly' very often - only 3% (20B) and 5% (120B) of trials show no engagement with the hidden instruction at all. In over 95% of trials, the visible reasoning engages directly with the manipulation it was asked to perform. For the chain-of-thought monitoring question this project is built around, that is the reassuring half of the story: a monitor reading the reasoning would catch the manipulation being engaged with, at both model sizes. The chain of thought stays a window, not a mask, across this scale range.</w:t>
      </w:r>
    </w:p>
    <w:p w:rsidR="00000000" w:rsidDel="00000000" w:rsidP="00000000" w:rsidRDefault="00000000" w:rsidRPr="00000000" w14:paraId="0000006B">
      <w:pPr>
        <w:spacing w:after="240" w:lineRule="auto"/>
        <w:rPr>
          <w:b w:val="1"/>
          <w:bCs w:val="1"/>
          <w:sz w:val="30"/>
          <w:szCs w:val="30"/>
          <w:u w:val="single"/>
        </w:rPr>
      </w:pPr>
      <w:r w:rsidDel="00000000" w:rsidR="00000000" w:rsidRPr="00000000">
        <w:rPr>
          <w:b w:val="1"/>
          <w:bCs w:val="1"/>
          <w:sz w:val="30"/>
          <w:szCs w:val="30"/>
          <w:u w:val="single"/>
          <w:rtl w:val="0"/>
        </w:rPr>
        <w:t xml:space="preserve">Takeaway</w:t>
      </w:r>
    </w:p>
    <w:p w:rsidR="00000000" w:rsidDel="00000000" w:rsidP="00000000" w:rsidRDefault="00000000" w:rsidRPr="00000000" w14:paraId="0000006C">
      <w:pPr>
        <w:spacing w:after="240" w:lineRule="auto"/>
        <w:rPr/>
      </w:pPr>
      <w:r w:rsidDel="00000000" w:rsidR="00000000" w:rsidRPr="00000000">
        <w:rPr>
          <w:rtl w:val="0"/>
        </w:rPr>
        <w:t xml:space="preserve">Scaling GPT-OSS from 20B to 120B eliminated safety refusals and shifted reasoning toward (ultimately permissive) permissibility-deliberation, while leaving the reasoning fully monitorable throughout. On the small open models people actually deploy, the bigger model is more willing to be manipulated - not less - even though a monitor could still see it happening.</w:t>
      </w:r>
    </w:p>
    <w:p w:rsidR="00000000" w:rsidDel="00000000" w:rsidP="00000000" w:rsidRDefault="00000000" w:rsidRPr="00000000" w14:paraId="0000006D">
      <w:pPr>
        <w:spacing w:after="240" w:lineRule="auto"/>
        <w:rPr/>
      </w:pPr>
      <w:r w:rsidDel="00000000" w:rsidR="00000000" w:rsidRPr="00000000">
        <w:rPr>
          <w:rtl w:val="0"/>
        </w:rPr>
      </w:r>
    </w:p>
    <w:p w:rsidR="00000000" w:rsidDel="00000000" w:rsidP="00000000" w:rsidRDefault="00000000" w:rsidRPr="00000000" w14:paraId="0000006E">
      <w:pPr>
        <w:spacing w:after="240" w:lineRule="auto"/>
        <w:rPr/>
      </w:pP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r>
    </w:p>
    <w:p w:rsidR="00000000" w:rsidDel="00000000" w:rsidP="00000000" w:rsidRDefault="00000000" w:rsidRPr="00000000" w14:paraId="00000073">
      <w:pPr>
        <w:spacing w:after="240" w:lineRule="auto"/>
        <w:rPr/>
      </w:pPr>
      <w:r w:rsidDel="00000000" w:rsidR="00000000" w:rsidRPr="00000000">
        <w:rPr>
          <w:rtl w:val="0"/>
        </w:rPr>
      </w:r>
    </w:p>
    <w:p w:rsidR="00000000" w:rsidDel="00000000" w:rsidP="00000000" w:rsidRDefault="00000000" w:rsidRPr="00000000" w14:paraId="00000074">
      <w:pPr>
        <w:spacing w:after="240" w:lineRule="auto"/>
        <w:rPr>
          <w:b w:val="1"/>
          <w:bCs w:val="1"/>
          <w:sz w:val="30"/>
          <w:szCs w:val="30"/>
          <w:u w:val="single"/>
        </w:rPr>
      </w:pPr>
      <w:r w:rsidDel="00000000" w:rsidR="00000000" w:rsidRPr="00000000">
        <w:rPr>
          <w:b w:val="1"/>
          <w:bCs w:val="1"/>
          <w:sz w:val="30"/>
          <w:szCs w:val="30"/>
          <w:u w:val="single"/>
          <w:rtl w:val="0"/>
        </w:rPr>
        <w:t xml:space="preserve">Limitations </w:t>
      </w:r>
    </w:p>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Instructed, not spontaneous</w:t>
      </w:r>
      <w:r w:rsidDel="00000000" w:rsidR="00000000" w:rsidRPr="00000000">
        <w:rPr>
          <w:rtl w:val="0"/>
        </w:rPr>
        <w:t xml:space="preserve">: we instructed the model to bias its output; we did not observe it deciding to do so spontaneously. This is a narrower claim than the original spontaneous-deception framing.</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Label noise</w:t>
      </w:r>
      <w:r w:rsidDel="00000000" w:rsidR="00000000" w:rsidRPr="00000000">
        <w:rPr>
          <w:rtl w:val="0"/>
        </w:rPr>
        <w:t xml:space="preserve">: the five-category labels carry ~83% human-judge agreement. The three-category view is reported as the trustworthy headline; the five-category split is exploratory.</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Sample size asymmetry</w:t>
      </w:r>
      <w:r w:rsidDel="00000000" w:rsidR="00000000" w:rsidRPr="00000000">
        <w:rPr>
          <w:rtl w:val="0"/>
        </w:rPr>
        <w:t xml:space="preserve">: the GPT-OSS 120B run is n=84 (hit Groq's daily limit) versus n=105 for 20B. Both Qwen runs completed at full n=105. The refusal finding is robust to this gap; the finer five-category splits are slightly less certain as a result.</w:t>
      </w:r>
    </w:p>
    <w:p w:rsidR="00000000" w:rsidDel="00000000" w:rsidP="00000000" w:rsidRDefault="00000000" w:rsidRPr="00000000" w14:paraId="00000078">
      <w:pPr>
        <w:numPr>
          <w:ilvl w:val="0"/>
          <w:numId w:val="1"/>
        </w:numPr>
        <w:spacing w:after="300" w:before="0" w:beforeAutospacing="0" w:lineRule="auto"/>
        <w:ind w:left="720" w:hanging="360"/>
        <w:rPr>
          <w:rFonts w:ascii="Times New Roman" w:cs="Times New Roman" w:eastAsia="Times New Roman" w:hAnsi="Times New Roman"/>
          <w:sz w:val="15"/>
          <w:szCs w:val="15"/>
        </w:rPr>
      </w:pPr>
      <w:r w:rsidDel="00000000" w:rsidR="00000000" w:rsidRPr="00000000">
        <w:rPr>
          <w:b w:val="1"/>
          <w:bCs w:val="1"/>
          <w:rtl w:val="0"/>
        </w:rPr>
        <w:t xml:space="preserve">Qwen size range is narrow</w:t>
      </w:r>
      <w:r w:rsidDel="00000000" w:rsidR="00000000" w:rsidRPr="00000000">
        <w:rPr>
          <w:rtl w:val="0"/>
        </w:rPr>
        <w:t xml:space="preserve">: only two Qwen reasoning models were tested (32B and 27B), both mid-sized: we do not have a small Qwen model to test whether Qwen shows its own scaling trend the way GPT-OSS did.</w:t>
      </w:r>
      <w:r w:rsidDel="00000000" w:rsidR="00000000" w:rsidRPr="00000000">
        <w:rPr>
          <w:rtl w:val="0"/>
        </w:rPr>
      </w:r>
    </w:p>
    <w:p w:rsidR="00000000" w:rsidDel="00000000" w:rsidP="00000000" w:rsidRDefault="00000000" w:rsidRPr="00000000" w14:paraId="00000079">
      <w:pPr>
        <w:spacing w:after="240" w:lineRule="auto"/>
        <w:rPr>
          <w:b w:val="1"/>
          <w:bCs w:val="1"/>
          <w:sz w:val="30"/>
          <w:szCs w:val="30"/>
          <w:u w:val="single"/>
        </w:rPr>
      </w:pPr>
      <w:r w:rsidDel="00000000" w:rsidR="00000000" w:rsidRPr="00000000">
        <w:rPr>
          <w:b w:val="1"/>
          <w:bCs w:val="1"/>
          <w:sz w:val="30"/>
          <w:szCs w:val="30"/>
          <w:u w:val="single"/>
          <w:rtl w:val="0"/>
        </w:rPr>
        <w:t xml:space="preserve">Conclusion </w:t>
      </w:r>
    </w:p>
    <w:p w:rsidR="00000000" w:rsidDel="00000000" w:rsidP="00000000" w:rsidRDefault="00000000" w:rsidRPr="00000000" w14:paraId="0000007A">
      <w:pPr>
        <w:spacing w:after="240" w:before="240" w:lineRule="auto"/>
        <w:rPr/>
      </w:pPr>
      <w:r w:rsidDel="00000000" w:rsidR="00000000" w:rsidRPr="00000000">
        <w:rPr>
          <w:rtl w:val="0"/>
        </w:rPr>
        <w:t xml:space="preserve">This project asked whether a model's chain-of-thought stays readable when it's secretly told to manipulate its own output, and whether that holds as the model scales. Across 399 trials spanning two model families and three sizes, the reasoning almost never stayed silent - in over 95% of trials, it visibly engaged with the hidden instruction, supporting chain-of-thought monitoring as a real safety signal.</w:t>
      </w:r>
    </w:p>
    <w:p w:rsidR="00000000" w:rsidDel="00000000" w:rsidP="00000000" w:rsidRDefault="00000000" w:rsidRPr="00000000" w14:paraId="0000007B">
      <w:pPr>
        <w:spacing w:after="240" w:before="240" w:lineRule="auto"/>
        <w:rPr/>
      </w:pPr>
      <w:r w:rsidDel="00000000" w:rsidR="00000000" w:rsidRPr="00000000">
        <w:rPr>
          <w:rtl w:val="0"/>
        </w:rPr>
        <w:t xml:space="preserve">But how models engaged was not universal. GPT-OSS grew more permissive with scale, dropping refusals to zero and leaning into permissibility-deliberation. Qwen never refused either, but instead defaulted to openly narrating its own concealment strategy - a different failure mode entirely. The same instruction produced two distinct signatures of compliance, suggesting monitoring strategies can't be assumed to generalize across model families.</w:t>
      </w:r>
    </w:p>
    <w:p w:rsidR="00000000" w:rsidDel="00000000" w:rsidP="00000000" w:rsidRDefault="00000000" w:rsidRPr="00000000" w14:paraId="0000007C">
      <w:pPr>
        <w:spacing w:after="240" w:before="240" w:lineRule="auto"/>
        <w:rPr/>
      </w:pPr>
      <w:r w:rsidDel="00000000" w:rsidR="00000000" w:rsidRPr="00000000">
        <w:rPr>
          <w:rtl w:val="0"/>
        </w:rPr>
        <w:t xml:space="preserve">A smaller follow-up testing for spontaneous, uninstructed concealment found no evidence of it: the model broke a stated rule fairly often, but never in a way tied to awareness of being unwatched - a genuine, if narrow, negative result.</w:t>
      </w:r>
    </w:p>
    <w:p w:rsidR="00000000" w:rsidDel="00000000" w:rsidP="00000000" w:rsidRDefault="00000000" w:rsidRPr="00000000" w14:paraId="0000007D">
      <w:pPr>
        <w:spacing w:after="240" w:before="240" w:lineRule="auto"/>
        <w:rPr/>
      </w:pPr>
      <w:r w:rsidDel="00000000" w:rsidR="00000000" w:rsidRPr="00000000">
        <w:rPr>
          <w:rtl w:val="0"/>
        </w:rPr>
        <w:t xml:space="preserve">Overall, chain-of-thought monitoring still appears to be doing real work on today's small, deployable open models - but trusting it blindly across families would be a mistake. The natural next step is testing more model families and designing a less contrived way to give a model a genuine reason to hide.</w:t>
      </w:r>
    </w:p>
    <w:p w:rsidR="00000000" w:rsidDel="00000000" w:rsidP="00000000" w:rsidRDefault="00000000" w:rsidRPr="00000000" w14:paraId="0000007E">
      <w:pPr>
        <w:spacing w:after="240" w:lineRule="auto"/>
        <w:rPr/>
      </w:pPr>
      <w:r w:rsidDel="00000000" w:rsidR="00000000" w:rsidRPr="00000000">
        <w:rPr>
          <w:rtl w:val="0"/>
        </w:rPr>
      </w:r>
    </w:p>
    <w:p w:rsidR="00000000" w:rsidDel="00000000" w:rsidP="00000000" w:rsidRDefault="00000000" w:rsidRPr="00000000" w14:paraId="0000007F">
      <w:pPr>
        <w:spacing w:after="240" w:lineRule="auto"/>
        <w:rPr/>
      </w:pPr>
      <w:r w:rsidDel="00000000" w:rsidR="00000000" w:rsidRPr="00000000">
        <w:rPr>
          <w:rtl w:val="0"/>
        </w:rPr>
      </w:r>
    </w:p>
    <w:p w:rsidR="00000000" w:rsidDel="00000000" w:rsidP="00000000" w:rsidRDefault="00000000" w:rsidRPr="00000000" w14:paraId="00000080">
      <w:pPr>
        <w:spacing w:after="240" w:lineRule="auto"/>
        <w:rPr/>
      </w:pP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