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2" w:lineRule="auto"/>
        <w:ind w:left="10" w:hanging="10"/>
        <w:jc w:val="center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M.Sc.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2" w:lineRule="auto"/>
        <w:ind w:left="10" w:hanging="10"/>
        <w:jc w:val="center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Semester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2" w:lineRule="auto"/>
        <w:ind w:left="10" w:hanging="10"/>
        <w:jc w:val="center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E-Commerce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2" w:lineRule="auto"/>
        <w:ind w:left="10" w:hanging="10"/>
        <w:jc w:val="center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Saumya Gupta (39)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21" w:lineRule="auto"/>
        <w:ind w:left="10" w:hanging="10"/>
        <w:jc w:val="center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November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361" w:lineRule="auto"/>
        <w:ind w:left="642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URL of Github Directory for E-Commerce Project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0563c1"/>
            <w:u w:val="single"/>
            <w:rtl w:val="0"/>
          </w:rPr>
          <w:t xml:space="preserve">https://github.com/saumya39/E-Commerce-Project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66" w:lineRule="auto"/>
        <w:ind w:left="642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E-Commerce Project Proposal: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66" w:lineRule="auto"/>
        <w:ind w:left="642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Skinsci – Skinsci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 an E-commerce website with a B2C business model that focuses on providing skincare products to its customers. It is a gender-neutral website and its products can be used by men and women both. It also provides the facility to connect with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Skinsci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experts and order custom made products according to their skin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48" w:lineRule="auto"/>
        <w:ind w:left="642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Features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8" w:lineRule="auto"/>
        <w:ind w:left="667" w:hanging="1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(i) Must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46" w:lineRule="auto"/>
        <w:ind w:left="1362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Register Customer(Login/Signup)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46" w:lineRule="auto"/>
        <w:ind w:left="1362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Explore Products according to skin concern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46" w:lineRule="auto"/>
        <w:ind w:left="1362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to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46" w:lineRule="auto"/>
        <w:ind w:left="1362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Easy billing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46" w:lineRule="auto"/>
        <w:ind w:left="1362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Browse without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8" w:lineRule="auto"/>
        <w:ind w:left="667" w:hanging="1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(ii)Good to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46" w:lineRule="auto"/>
        <w:ind w:left="1362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Talk with product experts and formulators for customized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46" w:lineRule="auto"/>
        <w:ind w:left="1362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Ratings of products by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46" w:lineRule="auto"/>
        <w:ind w:left="1362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Customer reviews</w:t>
      </w:r>
    </w:p>
    <w:p w:rsidR="00000000" w:rsidDel="00000000" w:rsidP="00000000" w:rsidRDefault="00000000" w:rsidRPr="00000000" w14:paraId="00000014">
      <w:pPr>
        <w:spacing w:after="4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Database Schema</w:t>
      </w:r>
    </w:p>
    <w:p w:rsidR="00000000" w:rsidDel="00000000" w:rsidP="00000000" w:rsidRDefault="00000000" w:rsidRPr="00000000" w14:paraId="00000016">
      <w:pPr>
        <w:spacing w:after="4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Users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user_id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ind w:left="720" w:firstLine="0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int 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user_name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ind w:left="720" w:firstLine="0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varchar, Length - 255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password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ind w:left="720" w:firstLine="0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varchar, Length - 255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contact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ind w:left="720" w:firstLine="0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varchar, Length - 10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ind w:left="720" w:firstLine="0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varchar, Length - 255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ind w:left="720" w:firstLine="0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varchar, Length - 255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Products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product_id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left="720" w:firstLine="0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int primary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product_name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ind w:left="720" w:firstLine="0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varchar, Length - 255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mrp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ind w:left="720" w:firstLine="0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720" w:firstLine="0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Product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720" w:firstLine="0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ind w:left="720" w:firstLine="0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varchar, Length - 255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Product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ind w:left="720" w:firstLine="0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varchar, Length - 2000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status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ind w:left="720" w:firstLine="0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tinyint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Product-Categories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Lora" w:cs="Lora" w:eastAsia="Lora" w:hAnsi="L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Lora" w:cs="Lora" w:eastAsia="Lora" w:hAnsi="L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Lora" w:cs="Lora" w:eastAsia="Lora" w:hAnsi="L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product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_id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ind w:left="720" w:firstLine="0"/>
              <w:rPr>
                <w:rFonts w:ascii="Lora" w:cs="Lora" w:eastAsia="Lora" w:hAnsi="L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varchar, Length- 20 primary key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Lora" w:cs="Lora" w:eastAsia="Lora" w:hAnsi="L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product_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ind w:left="720" w:firstLine="0"/>
              <w:rPr>
                <w:rFonts w:ascii="Lora" w:cs="Lora" w:eastAsia="Lora" w:hAnsi="L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varchar, Length - 255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Lora" w:cs="Lora" w:eastAsia="Lora" w:hAnsi="L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product_desc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ind w:left="720" w:firstLine="0"/>
              <w:rPr>
                <w:rFonts w:ascii="Lora" w:cs="Lora" w:eastAsia="Lora" w:hAnsi="L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="240" w:lineRule="auto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2" w:firstLine="0"/>
      </w:pPr>
      <w:rPr>
        <w:rFonts w:ascii="Courier New" w:cs="Courier New" w:eastAsia="Courier New" w:hAnsi="Courier New"/>
        <w:b w:val="1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362" w:firstLine="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097" w:firstLine="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17" w:firstLine="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537" w:firstLine="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257" w:firstLine="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977" w:firstLine="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697" w:firstLine="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17" w:firstLine="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62F1B"/>
    <w:pPr>
      <w:spacing w:line="256" w:lineRule="auto"/>
    </w:pPr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262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82FFA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82FF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aumya39/E-Commerce-Proje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qKOZMdriGxe2CYSLJpdhq7on5w==">AMUW2mU/i7BpCbc2jligRk8bDXNIUrRuPa/ECMQ5lYEXBZ4yKURPUSLWfqWmdpBX6ed9aPyntZXYlwQGFmmEkmv8h5HRgsjqshW35+MpeL0XZWrnAalVEo8=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2022-11-01T10:12:00Z</dcterms:created>
  <dc:creator>saumya gupta</dc:creator>
</cp:coreProperties>
</file>